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3EC" w:rsidRDefault="00FC33EC" w:rsidP="00FC33EC">
      <w:pPr>
        <w:jc w:val="both"/>
        <w:rPr>
          <w:sz w:val="22"/>
          <w:szCs w:val="22"/>
        </w:rPr>
      </w:pPr>
      <w:r>
        <w:rPr>
          <w:sz w:val="22"/>
          <w:szCs w:val="22"/>
        </w:rPr>
        <w:t>MATERIAL SUPLEMENTARIO.</w:t>
      </w:r>
    </w:p>
    <w:p w:rsidR="00FC33EC" w:rsidRDefault="00FC33EC" w:rsidP="00FC33EC">
      <w:pPr>
        <w:jc w:val="both"/>
        <w:rPr>
          <w:sz w:val="22"/>
          <w:szCs w:val="22"/>
        </w:rPr>
      </w:pPr>
    </w:p>
    <w:p w:rsidR="00274F6B" w:rsidRDefault="00FC33EC" w:rsidP="00FC33EC">
      <w:pPr>
        <w:jc w:val="both"/>
        <w:rPr>
          <w:sz w:val="22"/>
          <w:szCs w:val="22"/>
        </w:rPr>
      </w:pPr>
      <w:r w:rsidRPr="00F10F42">
        <w:rPr>
          <w:sz w:val="22"/>
          <w:szCs w:val="22"/>
        </w:rPr>
        <w:t xml:space="preserve">TABLA  2. </w:t>
      </w:r>
      <w:r w:rsidR="00274F6B">
        <w:rPr>
          <w:sz w:val="22"/>
          <w:szCs w:val="22"/>
        </w:rPr>
        <w:t xml:space="preserve">Categorías diagnósticas de la clasificación de </w:t>
      </w:r>
      <w:proofErr w:type="spellStart"/>
      <w:r w:rsidR="00274F6B">
        <w:rPr>
          <w:sz w:val="22"/>
          <w:szCs w:val="22"/>
        </w:rPr>
        <w:t>Bethesda</w:t>
      </w:r>
      <w:proofErr w:type="spellEnd"/>
      <w:r w:rsidR="00274F6B">
        <w:rPr>
          <w:sz w:val="22"/>
          <w:szCs w:val="22"/>
        </w:rPr>
        <w:t xml:space="preserve"> para la citología tiroidea</w:t>
      </w:r>
      <w:r w:rsidR="000779A7">
        <w:rPr>
          <w:sz w:val="22"/>
          <w:szCs w:val="22"/>
          <w:vertAlign w:val="superscript"/>
        </w:rPr>
        <w:t>19</w:t>
      </w:r>
      <w:r w:rsidR="00274F6B">
        <w:rPr>
          <w:sz w:val="22"/>
          <w:szCs w:val="22"/>
        </w:rPr>
        <w:t>.</w:t>
      </w:r>
    </w:p>
    <w:p w:rsidR="00274F6B" w:rsidRPr="00274F6B" w:rsidRDefault="00274F6B" w:rsidP="00274F6B">
      <w:pPr>
        <w:jc w:val="both"/>
        <w:rPr>
          <w:sz w:val="22"/>
          <w:szCs w:val="22"/>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2"/>
        <w:gridCol w:w="4201"/>
        <w:gridCol w:w="1318"/>
        <w:gridCol w:w="2091"/>
      </w:tblGrid>
      <w:tr w:rsidR="00274F6B" w:rsidRPr="00274F6B" w:rsidTr="00EE2EDC">
        <w:tc>
          <w:tcPr>
            <w:tcW w:w="1072" w:type="dxa"/>
            <w:shd w:val="clear" w:color="auto" w:fill="auto"/>
          </w:tcPr>
          <w:p w:rsidR="00274F6B" w:rsidRPr="00274F6B" w:rsidRDefault="00274F6B" w:rsidP="00274F6B">
            <w:pPr>
              <w:jc w:val="both"/>
            </w:pPr>
            <w:r w:rsidRPr="00274F6B">
              <w:rPr>
                <w:sz w:val="22"/>
                <w:szCs w:val="22"/>
              </w:rPr>
              <w:t>Categoría</w:t>
            </w:r>
          </w:p>
        </w:tc>
        <w:tc>
          <w:tcPr>
            <w:tcW w:w="4201" w:type="dxa"/>
            <w:shd w:val="clear" w:color="auto" w:fill="auto"/>
          </w:tcPr>
          <w:p w:rsidR="00274F6B" w:rsidRPr="00274F6B" w:rsidRDefault="00274F6B" w:rsidP="00274F6B">
            <w:pPr>
              <w:jc w:val="both"/>
            </w:pPr>
            <w:r w:rsidRPr="00274F6B">
              <w:rPr>
                <w:sz w:val="22"/>
                <w:szCs w:val="22"/>
              </w:rPr>
              <w:t>Características</w:t>
            </w:r>
          </w:p>
        </w:tc>
        <w:tc>
          <w:tcPr>
            <w:tcW w:w="1318" w:type="dxa"/>
            <w:shd w:val="clear" w:color="auto" w:fill="auto"/>
          </w:tcPr>
          <w:p w:rsidR="00274F6B" w:rsidRPr="00274F6B" w:rsidRDefault="00274F6B" w:rsidP="00274F6B">
            <w:pPr>
              <w:jc w:val="both"/>
            </w:pPr>
            <w:r w:rsidRPr="00274F6B">
              <w:rPr>
                <w:sz w:val="22"/>
                <w:szCs w:val="22"/>
              </w:rPr>
              <w:t xml:space="preserve">Riesgo </w:t>
            </w:r>
            <w:r w:rsidR="00EE2EDC">
              <w:rPr>
                <w:sz w:val="22"/>
                <w:szCs w:val="22"/>
              </w:rPr>
              <w:t xml:space="preserve">de </w:t>
            </w:r>
            <w:r w:rsidRPr="00274F6B">
              <w:rPr>
                <w:sz w:val="22"/>
                <w:szCs w:val="22"/>
              </w:rPr>
              <w:t>malignidad</w:t>
            </w:r>
          </w:p>
        </w:tc>
        <w:tc>
          <w:tcPr>
            <w:tcW w:w="2091" w:type="dxa"/>
          </w:tcPr>
          <w:p w:rsidR="00274F6B" w:rsidRPr="00274F6B" w:rsidRDefault="00274F6B" w:rsidP="00274F6B">
            <w:pPr>
              <w:jc w:val="both"/>
            </w:pPr>
            <w:r>
              <w:rPr>
                <w:sz w:val="22"/>
                <w:szCs w:val="22"/>
              </w:rPr>
              <w:t>Recomendación clínica</w:t>
            </w:r>
          </w:p>
        </w:tc>
      </w:tr>
      <w:tr w:rsidR="00274F6B" w:rsidRPr="00274F6B" w:rsidTr="00EE2EDC">
        <w:tc>
          <w:tcPr>
            <w:tcW w:w="1072" w:type="dxa"/>
            <w:shd w:val="clear" w:color="auto" w:fill="auto"/>
          </w:tcPr>
          <w:p w:rsidR="00274F6B" w:rsidRPr="00274F6B" w:rsidRDefault="00274F6B" w:rsidP="00274F6B">
            <w:pPr>
              <w:jc w:val="center"/>
            </w:pPr>
            <w:r w:rsidRPr="00274F6B">
              <w:rPr>
                <w:sz w:val="22"/>
                <w:szCs w:val="22"/>
              </w:rPr>
              <w:t>1</w:t>
            </w:r>
          </w:p>
        </w:tc>
        <w:tc>
          <w:tcPr>
            <w:tcW w:w="4201" w:type="dxa"/>
            <w:shd w:val="clear" w:color="auto" w:fill="auto"/>
          </w:tcPr>
          <w:p w:rsidR="00274F6B" w:rsidRPr="00274F6B" w:rsidRDefault="00274F6B" w:rsidP="00274F6B">
            <w:pPr>
              <w:jc w:val="both"/>
            </w:pPr>
            <w:r w:rsidRPr="00274F6B">
              <w:rPr>
                <w:sz w:val="22"/>
                <w:szCs w:val="22"/>
              </w:rPr>
              <w:t>Insatisfactoria</w:t>
            </w:r>
          </w:p>
        </w:tc>
        <w:tc>
          <w:tcPr>
            <w:tcW w:w="1318" w:type="dxa"/>
            <w:shd w:val="clear" w:color="auto" w:fill="auto"/>
          </w:tcPr>
          <w:p w:rsidR="00274F6B" w:rsidRPr="00274F6B" w:rsidRDefault="00274F6B" w:rsidP="00274F6B">
            <w:pPr>
              <w:jc w:val="center"/>
            </w:pPr>
            <w:r w:rsidRPr="00274F6B">
              <w:rPr>
                <w:sz w:val="22"/>
                <w:szCs w:val="22"/>
              </w:rPr>
              <w:t>1-4 %</w:t>
            </w:r>
          </w:p>
        </w:tc>
        <w:tc>
          <w:tcPr>
            <w:tcW w:w="2091" w:type="dxa"/>
          </w:tcPr>
          <w:p w:rsidR="00274F6B" w:rsidRPr="00274F6B" w:rsidRDefault="00274F6B" w:rsidP="00274F6B">
            <w:r>
              <w:rPr>
                <w:sz w:val="22"/>
                <w:szCs w:val="22"/>
              </w:rPr>
              <w:t>Nueva PAAF</w:t>
            </w:r>
            <w:r w:rsidR="00EE2EDC">
              <w:rPr>
                <w:sz w:val="22"/>
                <w:szCs w:val="22"/>
              </w:rPr>
              <w:t xml:space="preserve"> </w:t>
            </w:r>
            <w:proofErr w:type="spellStart"/>
            <w:r w:rsidR="00EE2EDC">
              <w:rPr>
                <w:sz w:val="22"/>
                <w:szCs w:val="22"/>
              </w:rPr>
              <w:t>ecoguiada</w:t>
            </w:r>
            <w:proofErr w:type="spellEnd"/>
          </w:p>
        </w:tc>
      </w:tr>
      <w:tr w:rsidR="00274F6B" w:rsidRPr="00274F6B" w:rsidTr="00EE2EDC">
        <w:tc>
          <w:tcPr>
            <w:tcW w:w="1072" w:type="dxa"/>
            <w:shd w:val="clear" w:color="auto" w:fill="auto"/>
          </w:tcPr>
          <w:p w:rsidR="00274F6B" w:rsidRPr="00274F6B" w:rsidRDefault="00274F6B" w:rsidP="00274F6B">
            <w:pPr>
              <w:jc w:val="center"/>
            </w:pPr>
            <w:r w:rsidRPr="00274F6B">
              <w:rPr>
                <w:sz w:val="22"/>
                <w:szCs w:val="22"/>
              </w:rPr>
              <w:t>2</w:t>
            </w:r>
          </w:p>
        </w:tc>
        <w:tc>
          <w:tcPr>
            <w:tcW w:w="4201" w:type="dxa"/>
            <w:shd w:val="clear" w:color="auto" w:fill="auto"/>
          </w:tcPr>
          <w:p w:rsidR="00274F6B" w:rsidRPr="00274F6B" w:rsidRDefault="00274F6B" w:rsidP="00274F6B">
            <w:pPr>
              <w:jc w:val="both"/>
            </w:pPr>
            <w:r w:rsidRPr="00274F6B">
              <w:rPr>
                <w:sz w:val="22"/>
                <w:szCs w:val="22"/>
              </w:rPr>
              <w:t>Benigna</w:t>
            </w:r>
          </w:p>
        </w:tc>
        <w:tc>
          <w:tcPr>
            <w:tcW w:w="1318" w:type="dxa"/>
            <w:shd w:val="clear" w:color="auto" w:fill="auto"/>
          </w:tcPr>
          <w:p w:rsidR="00274F6B" w:rsidRPr="00274F6B" w:rsidRDefault="00274F6B" w:rsidP="00274F6B">
            <w:pPr>
              <w:jc w:val="center"/>
            </w:pPr>
            <w:r w:rsidRPr="00274F6B">
              <w:rPr>
                <w:sz w:val="22"/>
                <w:szCs w:val="22"/>
              </w:rPr>
              <w:t>0-3 %</w:t>
            </w:r>
          </w:p>
        </w:tc>
        <w:tc>
          <w:tcPr>
            <w:tcW w:w="2091" w:type="dxa"/>
          </w:tcPr>
          <w:p w:rsidR="00274F6B" w:rsidRPr="00274F6B" w:rsidRDefault="00EE2EDC" w:rsidP="00274F6B">
            <w:r>
              <w:rPr>
                <w:sz w:val="22"/>
                <w:szCs w:val="22"/>
              </w:rPr>
              <w:t>Seguimiento clínico</w:t>
            </w:r>
          </w:p>
        </w:tc>
      </w:tr>
      <w:tr w:rsidR="00274F6B" w:rsidRPr="00274F6B" w:rsidTr="00EE2EDC">
        <w:tc>
          <w:tcPr>
            <w:tcW w:w="1072" w:type="dxa"/>
            <w:shd w:val="clear" w:color="auto" w:fill="auto"/>
          </w:tcPr>
          <w:p w:rsidR="00274F6B" w:rsidRPr="00274F6B" w:rsidRDefault="00274F6B" w:rsidP="00274F6B">
            <w:pPr>
              <w:jc w:val="center"/>
            </w:pPr>
            <w:r w:rsidRPr="00274F6B">
              <w:rPr>
                <w:sz w:val="22"/>
                <w:szCs w:val="22"/>
              </w:rPr>
              <w:t>3</w:t>
            </w:r>
          </w:p>
        </w:tc>
        <w:tc>
          <w:tcPr>
            <w:tcW w:w="4201" w:type="dxa"/>
            <w:shd w:val="clear" w:color="auto" w:fill="auto"/>
          </w:tcPr>
          <w:p w:rsidR="00274F6B" w:rsidRPr="00274F6B" w:rsidRDefault="00274F6B" w:rsidP="00274F6B">
            <w:pPr>
              <w:jc w:val="both"/>
            </w:pPr>
            <w:r w:rsidRPr="00274F6B">
              <w:rPr>
                <w:sz w:val="22"/>
                <w:szCs w:val="22"/>
              </w:rPr>
              <w:t>Atipia, lesión folicular indeterminada</w:t>
            </w:r>
          </w:p>
        </w:tc>
        <w:tc>
          <w:tcPr>
            <w:tcW w:w="1318" w:type="dxa"/>
            <w:shd w:val="clear" w:color="auto" w:fill="auto"/>
          </w:tcPr>
          <w:p w:rsidR="00274F6B" w:rsidRPr="00274F6B" w:rsidRDefault="00274F6B" w:rsidP="00274F6B">
            <w:pPr>
              <w:jc w:val="center"/>
            </w:pPr>
            <w:r w:rsidRPr="00274F6B">
              <w:rPr>
                <w:sz w:val="22"/>
                <w:szCs w:val="22"/>
              </w:rPr>
              <w:t>5-10 %</w:t>
            </w:r>
          </w:p>
        </w:tc>
        <w:tc>
          <w:tcPr>
            <w:tcW w:w="2091" w:type="dxa"/>
          </w:tcPr>
          <w:p w:rsidR="00274F6B" w:rsidRPr="00274F6B" w:rsidRDefault="00EE2EDC" w:rsidP="00274F6B">
            <w:r>
              <w:rPr>
                <w:sz w:val="22"/>
                <w:szCs w:val="22"/>
              </w:rPr>
              <w:t xml:space="preserve">Nueva PAAF </w:t>
            </w:r>
            <w:proofErr w:type="spellStart"/>
            <w:r>
              <w:rPr>
                <w:sz w:val="22"/>
                <w:szCs w:val="22"/>
              </w:rPr>
              <w:t>ecoguiada</w:t>
            </w:r>
            <w:proofErr w:type="spellEnd"/>
          </w:p>
        </w:tc>
      </w:tr>
      <w:tr w:rsidR="00274F6B" w:rsidRPr="00274F6B" w:rsidTr="00EE2EDC">
        <w:tc>
          <w:tcPr>
            <w:tcW w:w="1072" w:type="dxa"/>
            <w:shd w:val="clear" w:color="auto" w:fill="auto"/>
          </w:tcPr>
          <w:p w:rsidR="00274F6B" w:rsidRPr="00274F6B" w:rsidRDefault="00274F6B" w:rsidP="00274F6B">
            <w:pPr>
              <w:jc w:val="center"/>
            </w:pPr>
            <w:r w:rsidRPr="00274F6B">
              <w:rPr>
                <w:sz w:val="22"/>
                <w:szCs w:val="22"/>
              </w:rPr>
              <w:t>4</w:t>
            </w:r>
          </w:p>
        </w:tc>
        <w:tc>
          <w:tcPr>
            <w:tcW w:w="4201" w:type="dxa"/>
            <w:shd w:val="clear" w:color="auto" w:fill="auto"/>
          </w:tcPr>
          <w:p w:rsidR="00274F6B" w:rsidRPr="00274F6B" w:rsidRDefault="00274F6B" w:rsidP="00274F6B">
            <w:pPr>
              <w:jc w:val="both"/>
            </w:pPr>
            <w:r w:rsidRPr="00274F6B">
              <w:rPr>
                <w:sz w:val="22"/>
                <w:szCs w:val="22"/>
              </w:rPr>
              <w:t>Neoplasia o sospecha de neoplasia folicular</w:t>
            </w:r>
          </w:p>
        </w:tc>
        <w:tc>
          <w:tcPr>
            <w:tcW w:w="1318" w:type="dxa"/>
            <w:shd w:val="clear" w:color="auto" w:fill="auto"/>
          </w:tcPr>
          <w:p w:rsidR="00274F6B" w:rsidRPr="00274F6B" w:rsidRDefault="00274F6B" w:rsidP="00274F6B">
            <w:pPr>
              <w:jc w:val="center"/>
            </w:pPr>
            <w:r w:rsidRPr="00274F6B">
              <w:rPr>
                <w:sz w:val="22"/>
                <w:szCs w:val="22"/>
              </w:rPr>
              <w:t>20-30 %</w:t>
            </w:r>
          </w:p>
        </w:tc>
        <w:tc>
          <w:tcPr>
            <w:tcW w:w="2091" w:type="dxa"/>
          </w:tcPr>
          <w:p w:rsidR="00274F6B" w:rsidRPr="00274F6B" w:rsidRDefault="00EE2EDC" w:rsidP="00274F6B">
            <w:r>
              <w:rPr>
                <w:sz w:val="22"/>
                <w:szCs w:val="22"/>
              </w:rPr>
              <w:t>Lobectomía</w:t>
            </w:r>
          </w:p>
        </w:tc>
      </w:tr>
      <w:tr w:rsidR="00274F6B" w:rsidRPr="00274F6B" w:rsidTr="00EE2EDC">
        <w:tc>
          <w:tcPr>
            <w:tcW w:w="1072" w:type="dxa"/>
            <w:shd w:val="clear" w:color="auto" w:fill="auto"/>
          </w:tcPr>
          <w:p w:rsidR="00274F6B" w:rsidRPr="00274F6B" w:rsidRDefault="00274F6B" w:rsidP="00274F6B">
            <w:pPr>
              <w:jc w:val="center"/>
            </w:pPr>
            <w:r w:rsidRPr="00274F6B">
              <w:rPr>
                <w:sz w:val="22"/>
                <w:szCs w:val="22"/>
              </w:rPr>
              <w:t>5</w:t>
            </w:r>
          </w:p>
        </w:tc>
        <w:tc>
          <w:tcPr>
            <w:tcW w:w="4201" w:type="dxa"/>
            <w:shd w:val="clear" w:color="auto" w:fill="auto"/>
          </w:tcPr>
          <w:p w:rsidR="00274F6B" w:rsidRPr="00274F6B" w:rsidRDefault="00274F6B" w:rsidP="00274F6B">
            <w:pPr>
              <w:jc w:val="both"/>
            </w:pPr>
            <w:r w:rsidRPr="00274F6B">
              <w:rPr>
                <w:sz w:val="22"/>
                <w:szCs w:val="22"/>
              </w:rPr>
              <w:t>Sospecha de malignidad</w:t>
            </w:r>
          </w:p>
        </w:tc>
        <w:tc>
          <w:tcPr>
            <w:tcW w:w="1318" w:type="dxa"/>
            <w:shd w:val="clear" w:color="auto" w:fill="auto"/>
          </w:tcPr>
          <w:p w:rsidR="00274F6B" w:rsidRPr="00274F6B" w:rsidRDefault="00274F6B" w:rsidP="00274F6B">
            <w:pPr>
              <w:jc w:val="center"/>
            </w:pPr>
            <w:r w:rsidRPr="00274F6B">
              <w:rPr>
                <w:sz w:val="22"/>
                <w:szCs w:val="22"/>
              </w:rPr>
              <w:t>50-75 %</w:t>
            </w:r>
          </w:p>
        </w:tc>
        <w:tc>
          <w:tcPr>
            <w:tcW w:w="2091" w:type="dxa"/>
          </w:tcPr>
          <w:p w:rsidR="00274F6B" w:rsidRPr="00274F6B" w:rsidRDefault="00EE2EDC" w:rsidP="00274F6B">
            <w:r>
              <w:rPr>
                <w:sz w:val="22"/>
                <w:szCs w:val="22"/>
              </w:rPr>
              <w:t>Tiroidectomía total o lobectomía</w:t>
            </w:r>
          </w:p>
        </w:tc>
      </w:tr>
      <w:tr w:rsidR="00274F6B" w:rsidRPr="00274F6B" w:rsidTr="00EE2EDC">
        <w:tc>
          <w:tcPr>
            <w:tcW w:w="1072" w:type="dxa"/>
            <w:shd w:val="clear" w:color="auto" w:fill="auto"/>
          </w:tcPr>
          <w:p w:rsidR="00274F6B" w:rsidRPr="00274F6B" w:rsidRDefault="00274F6B" w:rsidP="00274F6B">
            <w:pPr>
              <w:jc w:val="center"/>
            </w:pPr>
            <w:r w:rsidRPr="00274F6B">
              <w:rPr>
                <w:sz w:val="22"/>
                <w:szCs w:val="22"/>
              </w:rPr>
              <w:t>6</w:t>
            </w:r>
          </w:p>
        </w:tc>
        <w:tc>
          <w:tcPr>
            <w:tcW w:w="4201" w:type="dxa"/>
            <w:shd w:val="clear" w:color="auto" w:fill="auto"/>
          </w:tcPr>
          <w:p w:rsidR="00274F6B" w:rsidRPr="00274F6B" w:rsidRDefault="00274F6B" w:rsidP="00274F6B">
            <w:pPr>
              <w:jc w:val="both"/>
            </w:pPr>
            <w:r w:rsidRPr="00274F6B">
              <w:rPr>
                <w:sz w:val="22"/>
                <w:szCs w:val="22"/>
              </w:rPr>
              <w:t>Citología maligna</w:t>
            </w:r>
          </w:p>
        </w:tc>
        <w:tc>
          <w:tcPr>
            <w:tcW w:w="1318" w:type="dxa"/>
            <w:shd w:val="clear" w:color="auto" w:fill="auto"/>
          </w:tcPr>
          <w:p w:rsidR="00274F6B" w:rsidRPr="00274F6B" w:rsidRDefault="00274F6B" w:rsidP="00274F6B">
            <w:pPr>
              <w:jc w:val="center"/>
            </w:pPr>
            <w:r w:rsidRPr="00274F6B">
              <w:rPr>
                <w:sz w:val="22"/>
                <w:szCs w:val="22"/>
              </w:rPr>
              <w:t>97-99 %</w:t>
            </w:r>
          </w:p>
        </w:tc>
        <w:tc>
          <w:tcPr>
            <w:tcW w:w="2091" w:type="dxa"/>
          </w:tcPr>
          <w:p w:rsidR="00274F6B" w:rsidRPr="00274F6B" w:rsidRDefault="00EE2EDC" w:rsidP="00274F6B">
            <w:r>
              <w:rPr>
                <w:sz w:val="22"/>
                <w:szCs w:val="22"/>
              </w:rPr>
              <w:t>Tiroidectomía total</w:t>
            </w:r>
          </w:p>
        </w:tc>
      </w:tr>
    </w:tbl>
    <w:p w:rsidR="00274F6B" w:rsidRDefault="00274F6B">
      <w:pPr>
        <w:spacing w:after="200" w:line="276" w:lineRule="auto"/>
        <w:rPr>
          <w:sz w:val="22"/>
          <w:szCs w:val="22"/>
        </w:rPr>
      </w:pPr>
      <w:r>
        <w:rPr>
          <w:sz w:val="22"/>
          <w:szCs w:val="22"/>
        </w:rPr>
        <w:br w:type="page"/>
      </w:r>
    </w:p>
    <w:p w:rsidR="00FC33EC" w:rsidRPr="00F10F42" w:rsidRDefault="00274F6B" w:rsidP="00FC33EC">
      <w:pPr>
        <w:jc w:val="both"/>
        <w:rPr>
          <w:sz w:val="22"/>
          <w:szCs w:val="22"/>
        </w:rPr>
      </w:pPr>
      <w:r>
        <w:rPr>
          <w:sz w:val="22"/>
          <w:szCs w:val="22"/>
        </w:rPr>
        <w:lastRenderedPageBreak/>
        <w:t xml:space="preserve">Tabla 3. </w:t>
      </w:r>
      <w:r w:rsidR="00FC33EC" w:rsidRPr="00F10F42">
        <w:rPr>
          <w:sz w:val="22"/>
          <w:szCs w:val="22"/>
        </w:rPr>
        <w:t>Modelo d</w:t>
      </w:r>
      <w:r w:rsidR="00FC33EC">
        <w:rPr>
          <w:sz w:val="22"/>
          <w:szCs w:val="22"/>
        </w:rPr>
        <w:t>e estratificación de riesgo de ETV</w:t>
      </w:r>
      <w:r w:rsidR="00FC33EC" w:rsidRPr="00F10F42">
        <w:rPr>
          <w:sz w:val="22"/>
          <w:szCs w:val="22"/>
        </w:rPr>
        <w:t xml:space="preserve"> de </w:t>
      </w:r>
      <w:r w:rsidR="00FC33EC">
        <w:rPr>
          <w:sz w:val="22"/>
          <w:szCs w:val="22"/>
        </w:rPr>
        <w:t>C</w:t>
      </w:r>
      <w:r w:rsidR="00FC33EC" w:rsidRPr="00F10F42">
        <w:rPr>
          <w:sz w:val="22"/>
          <w:szCs w:val="22"/>
        </w:rPr>
        <w:t>aprini</w:t>
      </w:r>
      <w:r w:rsidR="00FC33EC" w:rsidRPr="00F10F42">
        <w:rPr>
          <w:sz w:val="22"/>
          <w:szCs w:val="22"/>
          <w:vertAlign w:val="superscript"/>
        </w:rPr>
        <w:t>45</w:t>
      </w:r>
      <w:r w:rsidR="00FC33EC" w:rsidRPr="00F10F42">
        <w:rPr>
          <w:sz w:val="22"/>
          <w:szCs w:val="22"/>
        </w:rPr>
        <w:t>.</w:t>
      </w:r>
    </w:p>
    <w:p w:rsidR="00FC33EC" w:rsidRPr="00F10F42" w:rsidRDefault="00FC33EC" w:rsidP="00FC33EC">
      <w:pPr>
        <w:ind w:left="540"/>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59"/>
        <w:gridCol w:w="2154"/>
        <w:gridCol w:w="2156"/>
        <w:gridCol w:w="2143"/>
      </w:tblGrid>
      <w:tr w:rsidR="00FC33EC" w:rsidRPr="00F10F42" w:rsidTr="00274F6B">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rPr>
                <w:bCs/>
              </w:rPr>
            </w:pPr>
            <w:r w:rsidRPr="00F10F42">
              <w:rPr>
                <w:bCs/>
                <w:sz w:val="22"/>
                <w:szCs w:val="22"/>
              </w:rPr>
              <w:t>1 PUNTO</w:t>
            </w: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rPr>
                <w:bCs/>
              </w:rPr>
            </w:pPr>
            <w:r w:rsidRPr="00F10F42">
              <w:rPr>
                <w:bCs/>
                <w:sz w:val="22"/>
                <w:szCs w:val="22"/>
              </w:rPr>
              <w:t>2 PUNTOS</w:t>
            </w: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rPr>
                <w:bCs/>
              </w:rPr>
            </w:pPr>
            <w:r w:rsidRPr="00F10F42">
              <w:rPr>
                <w:bCs/>
                <w:sz w:val="22"/>
                <w:szCs w:val="22"/>
              </w:rPr>
              <w:t>3 PUNTOS</w:t>
            </w: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rPr>
                <w:bCs/>
              </w:rPr>
            </w:pPr>
            <w:r w:rsidRPr="00F10F42">
              <w:rPr>
                <w:bCs/>
                <w:sz w:val="22"/>
                <w:szCs w:val="22"/>
              </w:rPr>
              <w:t>5 PUNTOS</w:t>
            </w:r>
          </w:p>
        </w:tc>
      </w:tr>
      <w:tr w:rsidR="00FC33EC" w:rsidRPr="00F10F42" w:rsidTr="00274F6B">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r w:rsidRPr="00F10F42">
              <w:rPr>
                <w:sz w:val="22"/>
                <w:szCs w:val="22"/>
              </w:rPr>
              <w:t>Edad 41-60 años</w:t>
            </w: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pPr>
            <w:r w:rsidRPr="00F10F42">
              <w:rPr>
                <w:sz w:val="22"/>
                <w:szCs w:val="22"/>
              </w:rPr>
              <w:t>61-74 años</w:t>
            </w: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pPr>
            <w:r w:rsidRPr="00F10F42">
              <w:rPr>
                <w:sz w:val="22"/>
                <w:szCs w:val="22"/>
              </w:rPr>
              <w:t>&gt; 75 años</w:t>
            </w: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pPr>
            <w:r w:rsidRPr="00F10F42">
              <w:rPr>
                <w:sz w:val="22"/>
                <w:szCs w:val="22"/>
              </w:rPr>
              <w:t>Ictus (&lt; 1 mes)</w:t>
            </w:r>
          </w:p>
        </w:tc>
      </w:tr>
      <w:tr w:rsidR="00FC33EC" w:rsidRPr="000779A7" w:rsidTr="00274F6B">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r w:rsidRPr="00F10F42">
              <w:rPr>
                <w:sz w:val="22"/>
                <w:szCs w:val="22"/>
              </w:rPr>
              <w:t>Cirugía menor</w:t>
            </w: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pPr>
            <w:r w:rsidRPr="00F10F42">
              <w:rPr>
                <w:sz w:val="22"/>
                <w:szCs w:val="22"/>
              </w:rPr>
              <w:t xml:space="preserve">Cirugía </w:t>
            </w:r>
            <w:proofErr w:type="spellStart"/>
            <w:r w:rsidRPr="00F10F42">
              <w:rPr>
                <w:sz w:val="22"/>
                <w:szCs w:val="22"/>
              </w:rPr>
              <w:t>artroscópica</w:t>
            </w:r>
            <w:proofErr w:type="spellEnd"/>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pPr>
            <w:r w:rsidRPr="00F10F42">
              <w:rPr>
                <w:sz w:val="22"/>
                <w:szCs w:val="22"/>
              </w:rPr>
              <w:t>Historia ETV</w:t>
            </w: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rPr>
                <w:lang w:val="pt-BR"/>
              </w:rPr>
            </w:pPr>
            <w:proofErr w:type="spellStart"/>
            <w:r w:rsidRPr="00F10F42">
              <w:rPr>
                <w:sz w:val="22"/>
                <w:szCs w:val="22"/>
                <w:lang w:val="pt-BR"/>
              </w:rPr>
              <w:t>Artroplastia</w:t>
            </w:r>
            <w:proofErr w:type="spellEnd"/>
            <w:r w:rsidRPr="00F10F42">
              <w:rPr>
                <w:sz w:val="22"/>
                <w:szCs w:val="22"/>
                <w:lang w:val="pt-BR"/>
              </w:rPr>
              <w:t xml:space="preserve"> programada de </w:t>
            </w:r>
            <w:proofErr w:type="spellStart"/>
            <w:r w:rsidRPr="00F10F42">
              <w:rPr>
                <w:sz w:val="22"/>
                <w:szCs w:val="22"/>
                <w:lang w:val="pt-BR"/>
              </w:rPr>
              <w:t>cadera</w:t>
            </w:r>
            <w:proofErr w:type="spellEnd"/>
            <w:r w:rsidRPr="00F10F42">
              <w:rPr>
                <w:sz w:val="22"/>
                <w:szCs w:val="22"/>
                <w:lang w:val="pt-BR"/>
              </w:rPr>
              <w:t xml:space="preserve"> o </w:t>
            </w:r>
            <w:proofErr w:type="spellStart"/>
            <w:r w:rsidRPr="00F10F42">
              <w:rPr>
                <w:sz w:val="22"/>
                <w:szCs w:val="22"/>
                <w:lang w:val="pt-BR"/>
              </w:rPr>
              <w:t>rodilla</w:t>
            </w:r>
            <w:proofErr w:type="spellEnd"/>
          </w:p>
        </w:tc>
      </w:tr>
      <w:tr w:rsidR="00FC33EC" w:rsidRPr="00F10F42" w:rsidTr="00274F6B">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r w:rsidRPr="00F10F42">
              <w:rPr>
                <w:sz w:val="22"/>
                <w:szCs w:val="22"/>
              </w:rPr>
              <w:t>IMC &gt; 25 Kg/m</w:t>
            </w:r>
            <w:r w:rsidRPr="00F10F42">
              <w:rPr>
                <w:sz w:val="22"/>
                <w:szCs w:val="22"/>
                <w:vertAlign w:val="superscript"/>
              </w:rPr>
              <w:t>2</w:t>
            </w: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pPr>
            <w:r w:rsidRPr="00F10F42">
              <w:rPr>
                <w:sz w:val="22"/>
                <w:szCs w:val="22"/>
              </w:rPr>
              <w:t>Cirugía abierta mayor (&gt; 45 minutos)</w:t>
            </w: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pPr>
            <w:r w:rsidRPr="00F10F42">
              <w:rPr>
                <w:sz w:val="22"/>
                <w:szCs w:val="22"/>
              </w:rPr>
              <w:t>Historia familiar ETV</w:t>
            </w: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pPr>
            <w:r w:rsidRPr="00F10F42">
              <w:rPr>
                <w:sz w:val="22"/>
                <w:szCs w:val="22"/>
              </w:rPr>
              <w:t>Fractura de pierna, cadera o pelvis</w:t>
            </w:r>
          </w:p>
        </w:tc>
      </w:tr>
      <w:tr w:rsidR="00FC33EC" w:rsidRPr="00F10F42" w:rsidTr="00274F6B">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r w:rsidRPr="00F10F42">
              <w:rPr>
                <w:sz w:val="22"/>
                <w:szCs w:val="22"/>
              </w:rPr>
              <w:t>Tumefacción MMII</w:t>
            </w: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pPr>
            <w:r w:rsidRPr="00F10F42">
              <w:rPr>
                <w:sz w:val="22"/>
                <w:szCs w:val="22"/>
              </w:rPr>
              <w:t>Cirugía laparoscópica (&gt; 45 minutos)</w:t>
            </w: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pPr>
            <w:r w:rsidRPr="00F10F42">
              <w:rPr>
                <w:sz w:val="22"/>
                <w:szCs w:val="22"/>
              </w:rPr>
              <w:t>Factor V Leiden</w:t>
            </w: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pPr>
            <w:r w:rsidRPr="00F10F42">
              <w:rPr>
                <w:sz w:val="22"/>
                <w:szCs w:val="22"/>
              </w:rPr>
              <w:t>Daño espinal agudo (&lt; 1 mes)</w:t>
            </w:r>
          </w:p>
        </w:tc>
      </w:tr>
      <w:tr w:rsidR="00FC33EC" w:rsidRPr="00F10F42" w:rsidTr="00274F6B">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r w:rsidRPr="00F10F42">
              <w:rPr>
                <w:sz w:val="22"/>
                <w:szCs w:val="22"/>
              </w:rPr>
              <w:t>Varices</w:t>
            </w: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pPr>
            <w:r w:rsidRPr="00F10F42">
              <w:rPr>
                <w:sz w:val="22"/>
                <w:szCs w:val="22"/>
              </w:rPr>
              <w:t>Cáncer</w:t>
            </w: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pPr>
            <w:r w:rsidRPr="00F10F42">
              <w:rPr>
                <w:sz w:val="22"/>
                <w:szCs w:val="22"/>
              </w:rPr>
              <w:t>Gen de la protrombina 20210A</w:t>
            </w: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pPr>
          </w:p>
        </w:tc>
      </w:tr>
      <w:tr w:rsidR="00FC33EC" w:rsidRPr="00F10F42" w:rsidTr="00274F6B">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r w:rsidRPr="00F10F42">
              <w:rPr>
                <w:sz w:val="22"/>
                <w:szCs w:val="22"/>
              </w:rPr>
              <w:t>Embarazo o puerperio</w:t>
            </w: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pPr>
            <w:proofErr w:type="spellStart"/>
            <w:r w:rsidRPr="00F10F42">
              <w:rPr>
                <w:sz w:val="22"/>
                <w:szCs w:val="22"/>
              </w:rPr>
              <w:t>Encamamiento</w:t>
            </w:r>
            <w:proofErr w:type="spellEnd"/>
            <w:r w:rsidRPr="00F10F42">
              <w:rPr>
                <w:sz w:val="22"/>
                <w:szCs w:val="22"/>
              </w:rPr>
              <w:t xml:space="preserve"> (&gt; 72 horas)</w:t>
            </w: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pPr>
            <w:r w:rsidRPr="00F10F42">
              <w:rPr>
                <w:sz w:val="22"/>
                <w:szCs w:val="22"/>
              </w:rPr>
              <w:t xml:space="preserve">Anticoagulante </w:t>
            </w:r>
            <w:proofErr w:type="spellStart"/>
            <w:r w:rsidRPr="00F10F42">
              <w:rPr>
                <w:sz w:val="22"/>
                <w:szCs w:val="22"/>
              </w:rPr>
              <w:t>lúpico</w:t>
            </w:r>
            <w:proofErr w:type="spellEnd"/>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pPr>
          </w:p>
        </w:tc>
      </w:tr>
      <w:tr w:rsidR="00FC33EC" w:rsidRPr="00F10F42" w:rsidTr="00274F6B">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r w:rsidRPr="00F10F42">
              <w:rPr>
                <w:sz w:val="22"/>
                <w:szCs w:val="22"/>
              </w:rPr>
              <w:t>Historia de abortos espontáneos inexplicados o recurrentes</w:t>
            </w: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pPr>
            <w:r w:rsidRPr="00F10F42">
              <w:rPr>
                <w:sz w:val="22"/>
                <w:szCs w:val="22"/>
              </w:rPr>
              <w:t>Escayola</w:t>
            </w: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pPr>
            <w:r w:rsidRPr="00F10F42">
              <w:rPr>
                <w:sz w:val="22"/>
                <w:szCs w:val="22"/>
              </w:rPr>
              <w:t xml:space="preserve">Anticuerpos </w:t>
            </w:r>
            <w:proofErr w:type="spellStart"/>
            <w:r w:rsidRPr="00F10F42">
              <w:rPr>
                <w:sz w:val="22"/>
                <w:szCs w:val="22"/>
              </w:rPr>
              <w:t>anticardiolipina</w:t>
            </w:r>
            <w:proofErr w:type="spellEnd"/>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pPr>
          </w:p>
        </w:tc>
      </w:tr>
      <w:tr w:rsidR="00FC33EC" w:rsidRPr="00F10F42" w:rsidTr="00274F6B">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rPr>
                <w:lang w:val="pt-BR"/>
              </w:rPr>
            </w:pPr>
            <w:r w:rsidRPr="00F10F42">
              <w:rPr>
                <w:sz w:val="22"/>
                <w:szCs w:val="22"/>
                <w:lang w:val="pt-BR"/>
              </w:rPr>
              <w:t xml:space="preserve">Anticonceptivos o terapia hormonal </w:t>
            </w:r>
            <w:proofErr w:type="spellStart"/>
            <w:r w:rsidRPr="00F10F42">
              <w:rPr>
                <w:sz w:val="22"/>
                <w:szCs w:val="22"/>
                <w:lang w:val="pt-BR"/>
              </w:rPr>
              <w:t>sustitutiva</w:t>
            </w:r>
            <w:proofErr w:type="spellEnd"/>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pPr>
            <w:r w:rsidRPr="00F10F42">
              <w:rPr>
                <w:sz w:val="22"/>
                <w:szCs w:val="22"/>
              </w:rPr>
              <w:t>Acceso venoso central</w:t>
            </w: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pPr>
            <w:r w:rsidRPr="00F10F42">
              <w:rPr>
                <w:sz w:val="22"/>
                <w:szCs w:val="22"/>
              </w:rPr>
              <w:t>Aumento</w:t>
            </w:r>
            <w:r>
              <w:rPr>
                <w:sz w:val="22"/>
                <w:szCs w:val="22"/>
              </w:rPr>
              <w:t xml:space="preserve"> en</w:t>
            </w:r>
            <w:r w:rsidRPr="00F10F42">
              <w:rPr>
                <w:sz w:val="22"/>
                <w:szCs w:val="22"/>
              </w:rPr>
              <w:t xml:space="preserve"> niveles </w:t>
            </w:r>
            <w:r>
              <w:rPr>
                <w:sz w:val="22"/>
                <w:szCs w:val="22"/>
              </w:rPr>
              <w:t xml:space="preserve">de </w:t>
            </w:r>
            <w:proofErr w:type="spellStart"/>
            <w:r w:rsidRPr="00F10F42">
              <w:rPr>
                <w:sz w:val="22"/>
                <w:szCs w:val="22"/>
              </w:rPr>
              <w:t>homocisteína</w:t>
            </w:r>
            <w:proofErr w:type="spellEnd"/>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pPr>
          </w:p>
        </w:tc>
      </w:tr>
      <w:tr w:rsidR="00FC33EC" w:rsidRPr="00F10F42" w:rsidTr="00274F6B">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roofErr w:type="spellStart"/>
            <w:r w:rsidRPr="00F10F42">
              <w:rPr>
                <w:sz w:val="22"/>
                <w:szCs w:val="22"/>
              </w:rPr>
              <w:t>Sepsis</w:t>
            </w:r>
            <w:proofErr w:type="spellEnd"/>
            <w:r w:rsidRPr="00F10F42">
              <w:rPr>
                <w:sz w:val="22"/>
                <w:szCs w:val="22"/>
              </w:rPr>
              <w:t xml:space="preserve"> (&lt; 1 mes)</w:t>
            </w: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rPr>
                <w:bCs/>
              </w:rPr>
            </w:pP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pPr>
            <w:proofErr w:type="spellStart"/>
            <w:r w:rsidRPr="00F10F42">
              <w:rPr>
                <w:sz w:val="22"/>
                <w:szCs w:val="22"/>
              </w:rPr>
              <w:t>Trombopenia</w:t>
            </w:r>
            <w:proofErr w:type="spellEnd"/>
            <w:r w:rsidRPr="00F10F42">
              <w:rPr>
                <w:sz w:val="22"/>
                <w:szCs w:val="22"/>
              </w:rPr>
              <w:t xml:space="preserve"> inducida por heparina</w:t>
            </w: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rPr>
                <w:bCs/>
              </w:rPr>
            </w:pPr>
          </w:p>
        </w:tc>
      </w:tr>
      <w:tr w:rsidR="00FC33EC" w:rsidRPr="00F10F42" w:rsidTr="00274F6B">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r w:rsidRPr="00F10F42">
              <w:rPr>
                <w:sz w:val="22"/>
                <w:szCs w:val="22"/>
              </w:rPr>
              <w:t>Enfermedad pulmonar grave, incluida neumonía (&lt; 1 mes)</w:t>
            </w: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rPr>
                <w:bCs/>
              </w:rPr>
            </w:pP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pPr>
            <w:r w:rsidRPr="00F10F42">
              <w:rPr>
                <w:sz w:val="22"/>
                <w:szCs w:val="22"/>
              </w:rPr>
              <w:t>Otras trombofilias hereditarias o adquiridas</w:t>
            </w: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rPr>
                <w:bCs/>
              </w:rPr>
            </w:pPr>
          </w:p>
        </w:tc>
      </w:tr>
      <w:tr w:rsidR="00FC33EC" w:rsidRPr="00F10F42" w:rsidTr="00274F6B">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r w:rsidRPr="00F10F42">
              <w:rPr>
                <w:sz w:val="22"/>
                <w:szCs w:val="22"/>
              </w:rPr>
              <w:t>Función pulmonar disminuida</w:t>
            </w: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rPr>
                <w:bCs/>
              </w:rPr>
            </w:pP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rPr>
                <w:bCs/>
              </w:rPr>
            </w:pP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rPr>
                <w:bCs/>
              </w:rPr>
            </w:pPr>
          </w:p>
        </w:tc>
      </w:tr>
      <w:tr w:rsidR="00FC33EC" w:rsidRPr="00F10F42" w:rsidTr="00274F6B">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r w:rsidRPr="00F10F42">
              <w:rPr>
                <w:sz w:val="22"/>
                <w:szCs w:val="22"/>
              </w:rPr>
              <w:t>Infarto agudo de miocardio</w:t>
            </w: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rPr>
                <w:bCs/>
              </w:rPr>
            </w:pP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rPr>
                <w:bCs/>
              </w:rPr>
            </w:pP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rPr>
                <w:bCs/>
              </w:rPr>
            </w:pPr>
          </w:p>
        </w:tc>
      </w:tr>
      <w:tr w:rsidR="00FC33EC" w:rsidRPr="00F10F42" w:rsidTr="00274F6B">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r w:rsidRPr="00F10F42">
              <w:rPr>
                <w:sz w:val="22"/>
                <w:szCs w:val="22"/>
              </w:rPr>
              <w:t>Insuficiencia cardiaca congestiva (&lt; 1 mes)</w:t>
            </w: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rPr>
                <w:bCs/>
              </w:rPr>
            </w:pP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rPr>
                <w:bCs/>
              </w:rPr>
            </w:pP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rPr>
                <w:bCs/>
              </w:rPr>
            </w:pPr>
          </w:p>
        </w:tc>
      </w:tr>
      <w:tr w:rsidR="00FC33EC" w:rsidRPr="00F10F42" w:rsidTr="00274F6B">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r w:rsidRPr="00F10F42">
              <w:rPr>
                <w:sz w:val="22"/>
                <w:szCs w:val="22"/>
              </w:rPr>
              <w:t>Enfermedad inflamatoria intestinal</w:t>
            </w: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rPr>
                <w:bCs/>
              </w:rPr>
            </w:pP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rPr>
                <w:bCs/>
              </w:rPr>
            </w:pP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rPr>
                <w:bCs/>
              </w:rPr>
            </w:pPr>
          </w:p>
        </w:tc>
      </w:tr>
      <w:tr w:rsidR="00FC33EC" w:rsidRPr="00F10F42" w:rsidTr="00274F6B">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r w:rsidRPr="00F10F42">
              <w:rPr>
                <w:sz w:val="22"/>
                <w:szCs w:val="22"/>
              </w:rPr>
              <w:t>Paciente inmovilizado por enfermedad médica</w:t>
            </w: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rPr>
                <w:bCs/>
              </w:rPr>
            </w:pP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rPr>
                <w:bCs/>
              </w:rPr>
            </w:pPr>
          </w:p>
        </w:tc>
        <w:tc>
          <w:tcPr>
            <w:tcW w:w="2180" w:type="dxa"/>
            <w:tcBorders>
              <w:top w:val="single" w:sz="4" w:space="0" w:color="000000"/>
              <w:left w:val="single" w:sz="4" w:space="0" w:color="000000"/>
              <w:bottom w:val="single" w:sz="4" w:space="0" w:color="000000"/>
              <w:right w:val="single" w:sz="4" w:space="0" w:color="000000"/>
            </w:tcBorders>
          </w:tcPr>
          <w:p w:rsidR="00FC33EC" w:rsidRPr="00F10F42" w:rsidRDefault="00FC33EC" w:rsidP="00274F6B">
            <w:pPr>
              <w:jc w:val="center"/>
              <w:rPr>
                <w:bCs/>
              </w:rPr>
            </w:pPr>
          </w:p>
        </w:tc>
      </w:tr>
    </w:tbl>
    <w:p w:rsidR="00FC33EC" w:rsidRDefault="00FC33EC" w:rsidP="00FC33EC">
      <w:pPr>
        <w:pStyle w:val="Textodebloque"/>
        <w:spacing w:line="240" w:lineRule="auto"/>
        <w:ind w:left="0"/>
        <w:rPr>
          <w:b w:val="0"/>
          <w:bCs w:val="0"/>
          <w:sz w:val="22"/>
          <w:szCs w:val="22"/>
        </w:rPr>
      </w:pPr>
    </w:p>
    <w:p w:rsidR="00FC33EC" w:rsidRDefault="00FC33EC" w:rsidP="00FC33EC">
      <w:pPr>
        <w:pStyle w:val="Textodebloque"/>
        <w:spacing w:line="240" w:lineRule="auto"/>
        <w:ind w:left="0"/>
        <w:rPr>
          <w:b w:val="0"/>
          <w:bCs w:val="0"/>
          <w:sz w:val="22"/>
          <w:szCs w:val="22"/>
        </w:rPr>
      </w:pPr>
      <w:r>
        <w:rPr>
          <w:b w:val="0"/>
          <w:bCs w:val="0"/>
          <w:sz w:val="22"/>
          <w:szCs w:val="22"/>
        </w:rPr>
        <w:t>MMII: miembros inferiores.</w:t>
      </w:r>
    </w:p>
    <w:p w:rsidR="00FC33EC" w:rsidRDefault="00FC33EC" w:rsidP="00FC33EC">
      <w:pPr>
        <w:pStyle w:val="Textodebloque"/>
        <w:spacing w:line="240" w:lineRule="auto"/>
        <w:ind w:left="0"/>
        <w:rPr>
          <w:b w:val="0"/>
          <w:bCs w:val="0"/>
          <w:sz w:val="22"/>
          <w:szCs w:val="22"/>
        </w:rPr>
      </w:pPr>
      <w:r>
        <w:rPr>
          <w:b w:val="0"/>
          <w:bCs w:val="0"/>
          <w:sz w:val="22"/>
          <w:szCs w:val="22"/>
        </w:rPr>
        <w:t>ETV: enfermedad tromboembólica venosa.</w:t>
      </w:r>
    </w:p>
    <w:p w:rsidR="00FC33EC" w:rsidRPr="000C038B" w:rsidRDefault="00FC33EC" w:rsidP="00FC33EC">
      <w:pPr>
        <w:pStyle w:val="Textodebloque"/>
        <w:spacing w:line="240" w:lineRule="auto"/>
        <w:ind w:left="0"/>
      </w:pPr>
      <w:r w:rsidRPr="00F10F42">
        <w:rPr>
          <w:b w:val="0"/>
          <w:bCs w:val="0"/>
          <w:sz w:val="22"/>
          <w:szCs w:val="22"/>
        </w:rPr>
        <w:br w:type="page"/>
      </w:r>
      <w:r w:rsidRPr="00193370">
        <w:rPr>
          <w:b w:val="0"/>
          <w:bCs w:val="0"/>
          <w:sz w:val="22"/>
          <w:szCs w:val="22"/>
        </w:rPr>
        <w:lastRenderedPageBreak/>
        <w:t>T</w:t>
      </w:r>
      <w:r>
        <w:rPr>
          <w:b w:val="0"/>
          <w:bCs w:val="0"/>
          <w:sz w:val="22"/>
          <w:szCs w:val="22"/>
        </w:rPr>
        <w:t>ABLA</w:t>
      </w:r>
      <w:r w:rsidR="00274F6B">
        <w:rPr>
          <w:b w:val="0"/>
          <w:bCs w:val="0"/>
          <w:sz w:val="22"/>
          <w:szCs w:val="22"/>
        </w:rPr>
        <w:t xml:space="preserve"> 4</w:t>
      </w:r>
      <w:r w:rsidRPr="00193370">
        <w:rPr>
          <w:b w:val="0"/>
          <w:bCs w:val="0"/>
          <w:sz w:val="22"/>
          <w:szCs w:val="22"/>
        </w:rPr>
        <w:t xml:space="preserve">. </w:t>
      </w:r>
      <w:r w:rsidRPr="00193370">
        <w:rPr>
          <w:b w:val="0"/>
          <w:sz w:val="22"/>
          <w:szCs w:val="22"/>
        </w:rPr>
        <w:t>Recomendaciones de terapia antitrombótica (</w:t>
      </w:r>
      <w:r>
        <w:rPr>
          <w:b w:val="0"/>
          <w:sz w:val="22"/>
          <w:szCs w:val="22"/>
        </w:rPr>
        <w:t xml:space="preserve">a partir del </w:t>
      </w:r>
      <w:r w:rsidRPr="00193370">
        <w:rPr>
          <w:b w:val="0"/>
          <w:sz w:val="22"/>
          <w:szCs w:val="22"/>
        </w:rPr>
        <w:t xml:space="preserve">American </w:t>
      </w:r>
      <w:proofErr w:type="spellStart"/>
      <w:r w:rsidRPr="00193370">
        <w:rPr>
          <w:b w:val="0"/>
          <w:sz w:val="22"/>
          <w:szCs w:val="22"/>
        </w:rPr>
        <w:t>College</w:t>
      </w:r>
      <w:proofErr w:type="spellEnd"/>
      <w:r w:rsidRPr="00193370">
        <w:rPr>
          <w:b w:val="0"/>
          <w:sz w:val="22"/>
          <w:szCs w:val="22"/>
        </w:rPr>
        <w:t xml:space="preserve"> of </w:t>
      </w:r>
      <w:proofErr w:type="spellStart"/>
      <w:r w:rsidRPr="00193370">
        <w:rPr>
          <w:b w:val="0"/>
          <w:sz w:val="22"/>
          <w:szCs w:val="22"/>
        </w:rPr>
        <w:t>Chest</w:t>
      </w:r>
      <w:proofErr w:type="spellEnd"/>
      <w:r w:rsidRPr="00193370">
        <w:rPr>
          <w:b w:val="0"/>
          <w:sz w:val="22"/>
          <w:szCs w:val="22"/>
        </w:rPr>
        <w:t xml:space="preserve"> </w:t>
      </w:r>
      <w:proofErr w:type="spellStart"/>
      <w:r w:rsidRPr="00193370">
        <w:rPr>
          <w:b w:val="0"/>
          <w:sz w:val="22"/>
          <w:szCs w:val="22"/>
        </w:rPr>
        <w:t>Physicians</w:t>
      </w:r>
      <w:proofErr w:type="spellEnd"/>
      <w:r w:rsidRPr="00193370">
        <w:rPr>
          <w:b w:val="0"/>
          <w:sz w:val="22"/>
          <w:szCs w:val="22"/>
        </w:rPr>
        <w:t xml:space="preserve"> Ed. 2012 y </w:t>
      </w:r>
      <w:r>
        <w:rPr>
          <w:b w:val="0"/>
          <w:sz w:val="22"/>
          <w:szCs w:val="22"/>
        </w:rPr>
        <w:t xml:space="preserve">la escala de estratificación de riesgo de </w:t>
      </w:r>
      <w:proofErr w:type="spellStart"/>
      <w:r>
        <w:rPr>
          <w:b w:val="0"/>
          <w:sz w:val="22"/>
          <w:szCs w:val="22"/>
        </w:rPr>
        <w:t>Caprini</w:t>
      </w:r>
      <w:proofErr w:type="spellEnd"/>
      <w:r>
        <w:rPr>
          <w:b w:val="0"/>
          <w:sz w:val="22"/>
          <w:szCs w:val="22"/>
        </w:rPr>
        <w:t xml:space="preserve">). </w:t>
      </w:r>
    </w:p>
    <w:p w:rsidR="00FC33EC" w:rsidRPr="00193370" w:rsidRDefault="00FC33EC" w:rsidP="00FC33EC">
      <w:pPr>
        <w:jc w:val="both"/>
        <w:rPr>
          <w:sz w:val="22"/>
        </w:rPr>
      </w:pPr>
    </w:p>
    <w:p w:rsidR="00FC33EC" w:rsidRPr="00193370" w:rsidRDefault="00FC33EC" w:rsidP="00FC33EC">
      <w:pPr>
        <w:jc w:val="both"/>
        <w:rPr>
          <w:sz w:val="22"/>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9"/>
        <w:gridCol w:w="2573"/>
        <w:gridCol w:w="2813"/>
      </w:tblGrid>
      <w:tr w:rsidR="00FC33EC" w:rsidRPr="00193370" w:rsidTr="00274F6B">
        <w:tc>
          <w:tcPr>
            <w:tcW w:w="3119" w:type="dxa"/>
          </w:tcPr>
          <w:p w:rsidR="00FC33EC" w:rsidRPr="00193370" w:rsidRDefault="00FC33EC" w:rsidP="00274F6B">
            <w:pPr>
              <w:jc w:val="both"/>
            </w:pPr>
            <w:r w:rsidRPr="00193370">
              <w:rPr>
                <w:sz w:val="22"/>
              </w:rPr>
              <w:t>Riesgo</w:t>
            </w:r>
          </w:p>
        </w:tc>
        <w:tc>
          <w:tcPr>
            <w:tcW w:w="2573" w:type="dxa"/>
          </w:tcPr>
          <w:p w:rsidR="00FC33EC" w:rsidRPr="00193370" w:rsidRDefault="00FC33EC" w:rsidP="00274F6B">
            <w:pPr>
              <w:jc w:val="both"/>
            </w:pPr>
            <w:r w:rsidRPr="00193370">
              <w:rPr>
                <w:sz w:val="22"/>
              </w:rPr>
              <w:t xml:space="preserve">Profilaxis </w:t>
            </w:r>
            <w:proofErr w:type="spellStart"/>
            <w:r w:rsidRPr="00193370">
              <w:rPr>
                <w:sz w:val="22"/>
              </w:rPr>
              <w:t>farmacologica</w:t>
            </w:r>
            <w:proofErr w:type="spellEnd"/>
          </w:p>
        </w:tc>
        <w:tc>
          <w:tcPr>
            <w:tcW w:w="2813" w:type="dxa"/>
          </w:tcPr>
          <w:p w:rsidR="00FC33EC" w:rsidRPr="00193370" w:rsidRDefault="00FC33EC" w:rsidP="00274F6B">
            <w:pPr>
              <w:jc w:val="both"/>
            </w:pPr>
            <w:r w:rsidRPr="00193370">
              <w:rPr>
                <w:sz w:val="22"/>
              </w:rPr>
              <w:t>Profilaxis mecánica</w:t>
            </w:r>
          </w:p>
        </w:tc>
      </w:tr>
      <w:tr w:rsidR="00FC33EC" w:rsidRPr="00193370" w:rsidTr="00274F6B">
        <w:tc>
          <w:tcPr>
            <w:tcW w:w="3119" w:type="dxa"/>
          </w:tcPr>
          <w:p w:rsidR="00FC33EC" w:rsidRPr="00193370" w:rsidRDefault="00FC33EC" w:rsidP="00274F6B">
            <w:pPr>
              <w:jc w:val="both"/>
            </w:pPr>
            <w:r w:rsidRPr="00193370">
              <w:rPr>
                <w:sz w:val="22"/>
              </w:rPr>
              <w:t>Muy bajo</w:t>
            </w:r>
          </w:p>
        </w:tc>
        <w:tc>
          <w:tcPr>
            <w:tcW w:w="2573" w:type="dxa"/>
          </w:tcPr>
          <w:p w:rsidR="00FC33EC" w:rsidRPr="00193370" w:rsidRDefault="00FC33EC" w:rsidP="00274F6B">
            <w:pPr>
              <w:jc w:val="both"/>
            </w:pPr>
            <w:r w:rsidRPr="00193370">
              <w:rPr>
                <w:sz w:val="22"/>
              </w:rPr>
              <w:t xml:space="preserve">no </w:t>
            </w:r>
          </w:p>
        </w:tc>
        <w:tc>
          <w:tcPr>
            <w:tcW w:w="2813" w:type="dxa"/>
          </w:tcPr>
          <w:p w:rsidR="00FC33EC" w:rsidRPr="00193370" w:rsidRDefault="00FC33EC" w:rsidP="00274F6B">
            <w:pPr>
              <w:jc w:val="both"/>
            </w:pPr>
            <w:r w:rsidRPr="00193370">
              <w:rPr>
                <w:sz w:val="22"/>
              </w:rPr>
              <w:t>no</w:t>
            </w:r>
          </w:p>
        </w:tc>
      </w:tr>
      <w:tr w:rsidR="00FC33EC" w:rsidRPr="00193370" w:rsidTr="00274F6B">
        <w:tc>
          <w:tcPr>
            <w:tcW w:w="3119" w:type="dxa"/>
          </w:tcPr>
          <w:p w:rsidR="00FC33EC" w:rsidRPr="00193370" w:rsidRDefault="00FC33EC" w:rsidP="00274F6B">
            <w:pPr>
              <w:jc w:val="both"/>
            </w:pPr>
            <w:r w:rsidRPr="00193370">
              <w:rPr>
                <w:sz w:val="22"/>
              </w:rPr>
              <w:t>Bajo (</w:t>
            </w:r>
            <w:proofErr w:type="spellStart"/>
            <w:r w:rsidRPr="00193370">
              <w:rPr>
                <w:sz w:val="22"/>
              </w:rPr>
              <w:t>Caprini</w:t>
            </w:r>
            <w:proofErr w:type="spellEnd"/>
            <w:r w:rsidRPr="00193370">
              <w:rPr>
                <w:sz w:val="22"/>
              </w:rPr>
              <w:t xml:space="preserve"> 1-2)</w:t>
            </w:r>
          </w:p>
        </w:tc>
        <w:tc>
          <w:tcPr>
            <w:tcW w:w="2573" w:type="dxa"/>
          </w:tcPr>
          <w:p w:rsidR="00FC33EC" w:rsidRPr="00193370" w:rsidRDefault="00FC33EC" w:rsidP="00274F6B">
            <w:pPr>
              <w:jc w:val="both"/>
            </w:pPr>
            <w:r w:rsidRPr="00193370">
              <w:rPr>
                <w:sz w:val="22"/>
              </w:rPr>
              <w:t>no</w:t>
            </w:r>
          </w:p>
        </w:tc>
        <w:tc>
          <w:tcPr>
            <w:tcW w:w="2813" w:type="dxa"/>
          </w:tcPr>
          <w:p w:rsidR="00FC33EC" w:rsidRPr="00193370" w:rsidRDefault="00FC33EC" w:rsidP="00274F6B">
            <w:pPr>
              <w:jc w:val="both"/>
            </w:pPr>
            <w:r w:rsidRPr="00193370">
              <w:rPr>
                <w:sz w:val="22"/>
              </w:rPr>
              <w:t>MCG/CNI</w:t>
            </w:r>
          </w:p>
        </w:tc>
      </w:tr>
      <w:tr w:rsidR="00FC33EC" w:rsidRPr="00193370" w:rsidTr="00274F6B">
        <w:tc>
          <w:tcPr>
            <w:tcW w:w="3119" w:type="dxa"/>
          </w:tcPr>
          <w:p w:rsidR="00FC33EC" w:rsidRPr="00193370" w:rsidRDefault="00FC33EC" w:rsidP="00274F6B">
            <w:pPr>
              <w:jc w:val="both"/>
            </w:pPr>
            <w:r w:rsidRPr="00193370">
              <w:rPr>
                <w:sz w:val="22"/>
              </w:rPr>
              <w:t>Moderado (</w:t>
            </w:r>
            <w:proofErr w:type="spellStart"/>
            <w:r w:rsidRPr="00193370">
              <w:rPr>
                <w:sz w:val="22"/>
              </w:rPr>
              <w:t>Caprini</w:t>
            </w:r>
            <w:proofErr w:type="spellEnd"/>
            <w:r w:rsidRPr="00193370">
              <w:rPr>
                <w:sz w:val="22"/>
              </w:rPr>
              <w:t xml:space="preserve"> 3-4):</w:t>
            </w:r>
          </w:p>
        </w:tc>
        <w:tc>
          <w:tcPr>
            <w:tcW w:w="2573" w:type="dxa"/>
          </w:tcPr>
          <w:p w:rsidR="00FC33EC" w:rsidRPr="00193370" w:rsidRDefault="00FC33EC" w:rsidP="00274F6B">
            <w:pPr>
              <w:jc w:val="both"/>
            </w:pPr>
            <w:r w:rsidRPr="00193370">
              <w:rPr>
                <w:sz w:val="22"/>
              </w:rPr>
              <w:t>HBPM o HNF a dosis bajas</w:t>
            </w:r>
          </w:p>
        </w:tc>
        <w:tc>
          <w:tcPr>
            <w:tcW w:w="2813" w:type="dxa"/>
          </w:tcPr>
          <w:p w:rsidR="00FC33EC" w:rsidRPr="00193370" w:rsidRDefault="00FC33EC" w:rsidP="00274F6B">
            <w:pPr>
              <w:jc w:val="both"/>
            </w:pPr>
            <w:r w:rsidRPr="00193370">
              <w:rPr>
                <w:sz w:val="22"/>
              </w:rPr>
              <w:t>CNI</w:t>
            </w:r>
          </w:p>
        </w:tc>
      </w:tr>
      <w:tr w:rsidR="00FC33EC" w:rsidRPr="00193370" w:rsidTr="00274F6B">
        <w:tc>
          <w:tcPr>
            <w:tcW w:w="3119" w:type="dxa"/>
          </w:tcPr>
          <w:p w:rsidR="00FC33EC" w:rsidRPr="00193370" w:rsidRDefault="00FC33EC" w:rsidP="00274F6B">
            <w:pPr>
              <w:jc w:val="both"/>
            </w:pPr>
            <w:r w:rsidRPr="00193370">
              <w:rPr>
                <w:sz w:val="22"/>
              </w:rPr>
              <w:t>Moderado pero con elevado riesgo de sangrado</w:t>
            </w:r>
          </w:p>
        </w:tc>
        <w:tc>
          <w:tcPr>
            <w:tcW w:w="2573" w:type="dxa"/>
          </w:tcPr>
          <w:p w:rsidR="00FC33EC" w:rsidRPr="00193370" w:rsidRDefault="00FC33EC" w:rsidP="00274F6B">
            <w:pPr>
              <w:jc w:val="both"/>
            </w:pPr>
          </w:p>
        </w:tc>
        <w:tc>
          <w:tcPr>
            <w:tcW w:w="2813" w:type="dxa"/>
          </w:tcPr>
          <w:p w:rsidR="00FC33EC" w:rsidRPr="00193370" w:rsidRDefault="00FC33EC" w:rsidP="00274F6B">
            <w:pPr>
              <w:jc w:val="both"/>
            </w:pPr>
            <w:r w:rsidRPr="00193370">
              <w:rPr>
                <w:sz w:val="22"/>
              </w:rPr>
              <w:t>CNI</w:t>
            </w:r>
          </w:p>
        </w:tc>
      </w:tr>
      <w:tr w:rsidR="00FC33EC" w:rsidRPr="00193370" w:rsidTr="00274F6B">
        <w:tc>
          <w:tcPr>
            <w:tcW w:w="3119" w:type="dxa"/>
          </w:tcPr>
          <w:p w:rsidR="00FC33EC" w:rsidRPr="00193370" w:rsidRDefault="00FC33EC" w:rsidP="00274F6B">
            <w:pPr>
              <w:jc w:val="both"/>
            </w:pPr>
            <w:r w:rsidRPr="00193370">
              <w:rPr>
                <w:sz w:val="22"/>
              </w:rPr>
              <w:t>Alto (</w:t>
            </w:r>
            <w:proofErr w:type="spellStart"/>
            <w:r w:rsidRPr="00193370">
              <w:rPr>
                <w:sz w:val="22"/>
              </w:rPr>
              <w:t>Caprini</w:t>
            </w:r>
            <w:proofErr w:type="spellEnd"/>
            <w:r w:rsidRPr="00193370">
              <w:rPr>
                <w:sz w:val="22"/>
              </w:rPr>
              <w:t xml:space="preserve"> ≥ 5)</w:t>
            </w:r>
          </w:p>
        </w:tc>
        <w:tc>
          <w:tcPr>
            <w:tcW w:w="2573" w:type="dxa"/>
          </w:tcPr>
          <w:p w:rsidR="00FC33EC" w:rsidRPr="00193370" w:rsidRDefault="00FC33EC" w:rsidP="00274F6B">
            <w:pPr>
              <w:jc w:val="both"/>
            </w:pPr>
            <w:r w:rsidRPr="00193370">
              <w:rPr>
                <w:sz w:val="22"/>
              </w:rPr>
              <w:t xml:space="preserve">HBPM o HNF </w:t>
            </w:r>
          </w:p>
        </w:tc>
        <w:tc>
          <w:tcPr>
            <w:tcW w:w="2813" w:type="dxa"/>
          </w:tcPr>
          <w:p w:rsidR="00FC33EC" w:rsidRPr="00193370" w:rsidRDefault="00FC33EC" w:rsidP="00274F6B">
            <w:pPr>
              <w:jc w:val="both"/>
            </w:pPr>
            <w:r w:rsidRPr="00193370">
              <w:rPr>
                <w:sz w:val="22"/>
              </w:rPr>
              <w:t>CNI</w:t>
            </w:r>
          </w:p>
        </w:tc>
      </w:tr>
      <w:tr w:rsidR="00FC33EC" w:rsidRPr="00193370" w:rsidTr="00274F6B">
        <w:tc>
          <w:tcPr>
            <w:tcW w:w="3119" w:type="dxa"/>
          </w:tcPr>
          <w:p w:rsidR="00FC33EC" w:rsidRPr="00193370" w:rsidRDefault="00FC33EC" w:rsidP="00274F6B">
            <w:pPr>
              <w:jc w:val="both"/>
            </w:pPr>
            <w:proofErr w:type="spellStart"/>
            <w:r w:rsidRPr="00193370">
              <w:rPr>
                <w:sz w:val="22"/>
              </w:rPr>
              <w:t>Alto+riesgo</w:t>
            </w:r>
            <w:proofErr w:type="spellEnd"/>
            <w:r w:rsidRPr="00193370">
              <w:rPr>
                <w:sz w:val="22"/>
              </w:rPr>
              <w:t xml:space="preserve"> alto hemorragia</w:t>
            </w:r>
          </w:p>
        </w:tc>
        <w:tc>
          <w:tcPr>
            <w:tcW w:w="2573" w:type="dxa"/>
          </w:tcPr>
          <w:p w:rsidR="00FC33EC" w:rsidRPr="00193370" w:rsidRDefault="00FC33EC" w:rsidP="00274F6B">
            <w:pPr>
              <w:jc w:val="both"/>
            </w:pPr>
            <w:r w:rsidRPr="00193370">
              <w:rPr>
                <w:sz w:val="22"/>
              </w:rPr>
              <w:t>Cuando se pueda</w:t>
            </w:r>
          </w:p>
        </w:tc>
        <w:tc>
          <w:tcPr>
            <w:tcW w:w="2813" w:type="dxa"/>
          </w:tcPr>
          <w:p w:rsidR="00FC33EC" w:rsidRPr="00193370" w:rsidRDefault="00FC33EC" w:rsidP="00274F6B">
            <w:pPr>
              <w:jc w:val="both"/>
            </w:pPr>
            <w:r w:rsidRPr="00193370">
              <w:rPr>
                <w:sz w:val="22"/>
              </w:rPr>
              <w:t>CNI</w:t>
            </w:r>
          </w:p>
        </w:tc>
      </w:tr>
    </w:tbl>
    <w:p w:rsidR="00FC33EC" w:rsidRPr="00193370" w:rsidRDefault="00FC33EC" w:rsidP="00FC33EC">
      <w:pPr>
        <w:pStyle w:val="Textodebloque"/>
        <w:spacing w:line="240" w:lineRule="auto"/>
        <w:ind w:left="0"/>
        <w:rPr>
          <w:b w:val="0"/>
          <w:color w:val="FF0000"/>
          <w:sz w:val="22"/>
          <w:szCs w:val="24"/>
        </w:rPr>
      </w:pPr>
    </w:p>
    <w:p w:rsidR="00FC33EC" w:rsidRPr="00193370" w:rsidRDefault="00FC33EC" w:rsidP="00FC33EC">
      <w:pPr>
        <w:pStyle w:val="Prrafodelista1"/>
        <w:ind w:left="0"/>
        <w:jc w:val="both"/>
        <w:rPr>
          <w:sz w:val="22"/>
          <w:lang w:val="es-ES"/>
        </w:rPr>
      </w:pPr>
      <w:r w:rsidRPr="00193370">
        <w:rPr>
          <w:sz w:val="22"/>
          <w:lang w:val="es-ES"/>
        </w:rPr>
        <w:t>MCG: Medias de compresión graduada. CNI: Compresión neumática intermitente. HBPM: heparina de bajo peso molecular. HNF: heparina no fraccionada.</w:t>
      </w:r>
    </w:p>
    <w:p w:rsidR="00FC33EC" w:rsidRPr="000C038B" w:rsidRDefault="00FC33EC" w:rsidP="00FC33EC">
      <w:pPr>
        <w:rPr>
          <w:color w:val="FF0000"/>
        </w:rPr>
      </w:pPr>
    </w:p>
    <w:p w:rsidR="00FC33EC" w:rsidRPr="000C038B" w:rsidRDefault="00FC33EC" w:rsidP="00FC33EC">
      <w:pPr>
        <w:rPr>
          <w:color w:val="FF0000"/>
        </w:rPr>
      </w:pPr>
    </w:p>
    <w:p w:rsidR="00FC33EC" w:rsidRPr="000C038B" w:rsidRDefault="00FC33EC" w:rsidP="00FC33EC">
      <w:pPr>
        <w:rPr>
          <w:color w:val="FF0000"/>
        </w:rPr>
      </w:pPr>
    </w:p>
    <w:p w:rsidR="00FC33EC" w:rsidRPr="000C038B" w:rsidRDefault="00FC33EC" w:rsidP="00FC33EC">
      <w:pPr>
        <w:rPr>
          <w:color w:val="FF0000"/>
        </w:rPr>
      </w:pPr>
    </w:p>
    <w:p w:rsidR="00FC33EC" w:rsidRPr="000C038B" w:rsidRDefault="00FC33EC" w:rsidP="00FC33EC">
      <w:pPr>
        <w:jc w:val="both"/>
        <w:rPr>
          <w:noProof/>
        </w:rPr>
      </w:pPr>
      <w:r>
        <w:rPr>
          <w:b/>
          <w:bCs/>
        </w:rPr>
        <w:br w:type="page"/>
      </w:r>
      <w:r>
        <w:rPr>
          <w:noProof/>
        </w:rPr>
        <w:lastRenderedPageBreak/>
        <w:t>TABLA</w:t>
      </w:r>
      <w:r w:rsidRPr="000C038B">
        <w:rPr>
          <w:noProof/>
        </w:rPr>
        <w:t xml:space="preserve"> </w:t>
      </w:r>
      <w:r w:rsidR="00274F6B">
        <w:rPr>
          <w:noProof/>
        </w:rPr>
        <w:t>5</w:t>
      </w:r>
      <w:r w:rsidRPr="000C038B">
        <w:rPr>
          <w:noProof/>
        </w:rPr>
        <w:t>. Contraindicaciones relativas para la tiroidectomía ambulatoria (</w:t>
      </w:r>
      <w:r>
        <w:rPr>
          <w:noProof/>
        </w:rPr>
        <w:t>A</w:t>
      </w:r>
      <w:r w:rsidRPr="000C038B">
        <w:rPr>
          <w:noProof/>
        </w:rPr>
        <w:t xml:space="preserve">merican </w:t>
      </w:r>
      <w:r>
        <w:rPr>
          <w:noProof/>
        </w:rPr>
        <w:t>T</w:t>
      </w:r>
      <w:r w:rsidRPr="000C038B">
        <w:rPr>
          <w:noProof/>
        </w:rPr>
        <w:t xml:space="preserve">hyroid </w:t>
      </w:r>
      <w:r>
        <w:rPr>
          <w:noProof/>
        </w:rPr>
        <w:t>A</w:t>
      </w:r>
      <w:r w:rsidRPr="000C038B">
        <w:rPr>
          <w:noProof/>
        </w:rPr>
        <w:t>ssociation)</w:t>
      </w:r>
      <w:r w:rsidR="008A1121">
        <w:rPr>
          <w:noProof/>
          <w:vertAlign w:val="superscript"/>
        </w:rPr>
        <w:t>146</w:t>
      </w:r>
      <w:r w:rsidRPr="000C038B">
        <w:rPr>
          <w:noProof/>
        </w:rPr>
        <w:t>.</w:t>
      </w:r>
    </w:p>
    <w:p w:rsidR="00FC33EC" w:rsidRPr="000C038B" w:rsidRDefault="00FC33EC" w:rsidP="00FC33EC">
      <w:pPr>
        <w:jc w:val="both"/>
        <w:rPr>
          <w:noProof/>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71"/>
        <w:gridCol w:w="2870"/>
        <w:gridCol w:w="2871"/>
      </w:tblGrid>
      <w:tr w:rsidR="00FC33EC" w:rsidRPr="000C038B" w:rsidTr="00274F6B">
        <w:tc>
          <w:tcPr>
            <w:tcW w:w="2881" w:type="dxa"/>
            <w:tcBorders>
              <w:top w:val="single" w:sz="4" w:space="0" w:color="000000"/>
              <w:left w:val="single" w:sz="4" w:space="0" w:color="000000"/>
              <w:bottom w:val="single" w:sz="4" w:space="0" w:color="000000"/>
              <w:right w:val="single" w:sz="4" w:space="0" w:color="000000"/>
            </w:tcBorders>
          </w:tcPr>
          <w:p w:rsidR="00FC33EC" w:rsidRPr="000C038B" w:rsidRDefault="00FC33EC" w:rsidP="00274F6B">
            <w:pPr>
              <w:jc w:val="center"/>
              <w:rPr>
                <w:noProof/>
              </w:rPr>
            </w:pPr>
          </w:p>
          <w:p w:rsidR="00FC33EC" w:rsidRPr="000C038B" w:rsidRDefault="00FC33EC" w:rsidP="00274F6B">
            <w:pPr>
              <w:jc w:val="center"/>
              <w:rPr>
                <w:noProof/>
              </w:rPr>
            </w:pPr>
            <w:r w:rsidRPr="000C038B">
              <w:rPr>
                <w:noProof/>
              </w:rPr>
              <w:t>DEL PACIENTE</w:t>
            </w:r>
          </w:p>
          <w:p w:rsidR="00FC33EC" w:rsidRPr="000C038B" w:rsidRDefault="00FC33EC" w:rsidP="00274F6B">
            <w:pPr>
              <w:jc w:val="center"/>
              <w:rPr>
                <w:noProof/>
              </w:rPr>
            </w:pPr>
          </w:p>
        </w:tc>
        <w:tc>
          <w:tcPr>
            <w:tcW w:w="2881" w:type="dxa"/>
            <w:tcBorders>
              <w:top w:val="single" w:sz="4" w:space="0" w:color="000000"/>
              <w:left w:val="single" w:sz="4" w:space="0" w:color="000000"/>
              <w:bottom w:val="single" w:sz="4" w:space="0" w:color="000000"/>
              <w:right w:val="single" w:sz="4" w:space="0" w:color="000000"/>
            </w:tcBorders>
          </w:tcPr>
          <w:p w:rsidR="00FC33EC" w:rsidRPr="000C038B" w:rsidRDefault="00FC33EC" w:rsidP="00274F6B">
            <w:pPr>
              <w:jc w:val="center"/>
              <w:rPr>
                <w:noProof/>
              </w:rPr>
            </w:pPr>
          </w:p>
          <w:p w:rsidR="00FC33EC" w:rsidRPr="000C038B" w:rsidRDefault="00FC33EC" w:rsidP="00274F6B">
            <w:pPr>
              <w:jc w:val="center"/>
              <w:rPr>
                <w:noProof/>
              </w:rPr>
            </w:pPr>
            <w:r w:rsidRPr="000C038B">
              <w:rPr>
                <w:noProof/>
              </w:rPr>
              <w:t xml:space="preserve">DEL ENTORNO </w:t>
            </w:r>
          </w:p>
        </w:tc>
        <w:tc>
          <w:tcPr>
            <w:tcW w:w="2882" w:type="dxa"/>
            <w:tcBorders>
              <w:top w:val="single" w:sz="4" w:space="0" w:color="000000"/>
              <w:left w:val="single" w:sz="4" w:space="0" w:color="000000"/>
              <w:bottom w:val="single" w:sz="4" w:space="0" w:color="000000"/>
              <w:right w:val="single" w:sz="4" w:space="0" w:color="000000"/>
            </w:tcBorders>
          </w:tcPr>
          <w:p w:rsidR="00FC33EC" w:rsidRPr="000C038B" w:rsidRDefault="00FC33EC" w:rsidP="00274F6B">
            <w:pPr>
              <w:jc w:val="center"/>
              <w:rPr>
                <w:noProof/>
              </w:rPr>
            </w:pPr>
          </w:p>
          <w:p w:rsidR="00FC33EC" w:rsidRPr="000C038B" w:rsidRDefault="00FC33EC" w:rsidP="00274F6B">
            <w:pPr>
              <w:jc w:val="center"/>
              <w:rPr>
                <w:noProof/>
              </w:rPr>
            </w:pPr>
            <w:r w:rsidRPr="000C038B">
              <w:rPr>
                <w:noProof/>
              </w:rPr>
              <w:t>DE LA PATOLOGÍA</w:t>
            </w:r>
          </w:p>
        </w:tc>
      </w:tr>
      <w:tr w:rsidR="00FC33EC" w:rsidRPr="000C038B" w:rsidTr="00274F6B">
        <w:tc>
          <w:tcPr>
            <w:tcW w:w="2881" w:type="dxa"/>
            <w:tcBorders>
              <w:top w:val="single" w:sz="4" w:space="0" w:color="000000"/>
              <w:left w:val="single" w:sz="4" w:space="0" w:color="000000"/>
              <w:bottom w:val="single" w:sz="4" w:space="0" w:color="000000"/>
              <w:right w:val="single" w:sz="4" w:space="0" w:color="000000"/>
            </w:tcBorders>
          </w:tcPr>
          <w:p w:rsidR="00FC33EC" w:rsidRPr="000C038B" w:rsidRDefault="00FC33EC" w:rsidP="00274F6B">
            <w:pPr>
              <w:jc w:val="both"/>
              <w:rPr>
                <w:noProof/>
              </w:rPr>
            </w:pPr>
            <w:r w:rsidRPr="000C038B">
              <w:rPr>
                <w:noProof/>
              </w:rPr>
              <w:t>Enfermedad cardiaca o respiratoria descompensada</w:t>
            </w:r>
          </w:p>
        </w:tc>
        <w:tc>
          <w:tcPr>
            <w:tcW w:w="2881" w:type="dxa"/>
            <w:tcBorders>
              <w:top w:val="single" w:sz="4" w:space="0" w:color="000000"/>
              <w:left w:val="single" w:sz="4" w:space="0" w:color="000000"/>
              <w:bottom w:val="single" w:sz="4" w:space="0" w:color="000000"/>
              <w:right w:val="single" w:sz="4" w:space="0" w:color="000000"/>
            </w:tcBorders>
          </w:tcPr>
          <w:p w:rsidR="00FC33EC" w:rsidRPr="000C038B" w:rsidRDefault="00FC33EC" w:rsidP="00274F6B">
            <w:pPr>
              <w:jc w:val="both"/>
              <w:rPr>
                <w:noProof/>
              </w:rPr>
            </w:pPr>
            <w:r w:rsidRPr="000C038B">
              <w:rPr>
                <w:noProof/>
              </w:rPr>
              <w:t>Distancia excesiva del domicilio al centro hospitalario</w:t>
            </w:r>
          </w:p>
        </w:tc>
        <w:tc>
          <w:tcPr>
            <w:tcW w:w="2882" w:type="dxa"/>
            <w:tcBorders>
              <w:top w:val="single" w:sz="4" w:space="0" w:color="000000"/>
              <w:left w:val="single" w:sz="4" w:space="0" w:color="000000"/>
              <w:bottom w:val="single" w:sz="4" w:space="0" w:color="000000"/>
              <w:right w:val="single" w:sz="4" w:space="0" w:color="000000"/>
            </w:tcBorders>
          </w:tcPr>
          <w:p w:rsidR="00FC33EC" w:rsidRPr="000C038B" w:rsidRDefault="00FC33EC" w:rsidP="00274F6B">
            <w:pPr>
              <w:jc w:val="both"/>
              <w:rPr>
                <w:noProof/>
              </w:rPr>
            </w:pPr>
            <w:r w:rsidRPr="000C038B">
              <w:rPr>
                <w:noProof/>
              </w:rPr>
              <w:t>Bocio de gran tamaño</w:t>
            </w:r>
          </w:p>
        </w:tc>
      </w:tr>
      <w:tr w:rsidR="00FC33EC" w:rsidRPr="000C038B" w:rsidTr="00274F6B">
        <w:tc>
          <w:tcPr>
            <w:tcW w:w="2881" w:type="dxa"/>
            <w:tcBorders>
              <w:top w:val="single" w:sz="4" w:space="0" w:color="000000"/>
              <w:left w:val="single" w:sz="4" w:space="0" w:color="000000"/>
              <w:bottom w:val="single" w:sz="4" w:space="0" w:color="000000"/>
              <w:right w:val="single" w:sz="4" w:space="0" w:color="000000"/>
            </w:tcBorders>
          </w:tcPr>
          <w:p w:rsidR="00FC33EC" w:rsidRPr="000C038B" w:rsidRDefault="00FC33EC" w:rsidP="00274F6B">
            <w:pPr>
              <w:jc w:val="both"/>
              <w:rPr>
                <w:noProof/>
              </w:rPr>
            </w:pPr>
            <w:r w:rsidRPr="000C038B">
              <w:rPr>
                <w:noProof/>
              </w:rPr>
              <w:t>Paciente con insuficiencia renal en diálisis</w:t>
            </w:r>
          </w:p>
        </w:tc>
        <w:tc>
          <w:tcPr>
            <w:tcW w:w="2881" w:type="dxa"/>
            <w:tcBorders>
              <w:top w:val="single" w:sz="4" w:space="0" w:color="000000"/>
              <w:left w:val="single" w:sz="4" w:space="0" w:color="000000"/>
              <w:bottom w:val="single" w:sz="4" w:space="0" w:color="000000"/>
              <w:right w:val="single" w:sz="4" w:space="0" w:color="000000"/>
            </w:tcBorders>
          </w:tcPr>
          <w:p w:rsidR="00FC33EC" w:rsidRPr="000C038B" w:rsidRDefault="00FC33EC" w:rsidP="00274F6B">
            <w:pPr>
              <w:jc w:val="both"/>
              <w:rPr>
                <w:noProof/>
              </w:rPr>
            </w:pPr>
            <w:r w:rsidRPr="000C038B">
              <w:rPr>
                <w:noProof/>
              </w:rPr>
              <w:t>Paciente que vive solo sin personas que puedan acompañarle</w:t>
            </w:r>
          </w:p>
        </w:tc>
        <w:tc>
          <w:tcPr>
            <w:tcW w:w="2882" w:type="dxa"/>
            <w:tcBorders>
              <w:top w:val="single" w:sz="4" w:space="0" w:color="000000"/>
              <w:left w:val="single" w:sz="4" w:space="0" w:color="000000"/>
              <w:bottom w:val="single" w:sz="4" w:space="0" w:color="000000"/>
              <w:right w:val="single" w:sz="4" w:space="0" w:color="000000"/>
            </w:tcBorders>
          </w:tcPr>
          <w:p w:rsidR="00FC33EC" w:rsidRPr="000C038B" w:rsidRDefault="00FC33EC" w:rsidP="00274F6B">
            <w:pPr>
              <w:jc w:val="both"/>
              <w:rPr>
                <w:noProof/>
              </w:rPr>
            </w:pPr>
            <w:r w:rsidRPr="000C038B">
              <w:rPr>
                <w:noProof/>
              </w:rPr>
              <w:t>Componente intratorácico extenso</w:t>
            </w:r>
          </w:p>
        </w:tc>
      </w:tr>
      <w:tr w:rsidR="00FC33EC" w:rsidRPr="000C038B" w:rsidTr="00274F6B">
        <w:tc>
          <w:tcPr>
            <w:tcW w:w="2881" w:type="dxa"/>
            <w:tcBorders>
              <w:top w:val="single" w:sz="4" w:space="0" w:color="000000"/>
              <w:left w:val="single" w:sz="4" w:space="0" w:color="000000"/>
              <w:bottom w:val="single" w:sz="4" w:space="0" w:color="000000"/>
              <w:right w:val="single" w:sz="4" w:space="0" w:color="000000"/>
            </w:tcBorders>
          </w:tcPr>
          <w:p w:rsidR="00FC33EC" w:rsidRPr="000C038B" w:rsidRDefault="00FC33EC" w:rsidP="00274F6B">
            <w:pPr>
              <w:jc w:val="both"/>
              <w:rPr>
                <w:noProof/>
              </w:rPr>
            </w:pPr>
            <w:r w:rsidRPr="000C038B">
              <w:rPr>
                <w:noProof/>
              </w:rPr>
              <w:t>Tratamiento anticoagulante o antiagregante</w:t>
            </w:r>
          </w:p>
        </w:tc>
        <w:tc>
          <w:tcPr>
            <w:tcW w:w="2881" w:type="dxa"/>
            <w:tcBorders>
              <w:top w:val="single" w:sz="4" w:space="0" w:color="000000"/>
              <w:left w:val="single" w:sz="4" w:space="0" w:color="000000"/>
              <w:bottom w:val="single" w:sz="4" w:space="0" w:color="000000"/>
              <w:right w:val="single" w:sz="4" w:space="0" w:color="000000"/>
            </w:tcBorders>
          </w:tcPr>
          <w:p w:rsidR="00FC33EC" w:rsidRPr="000C038B" w:rsidRDefault="00FC33EC" w:rsidP="00274F6B">
            <w:pPr>
              <w:jc w:val="both"/>
              <w:rPr>
                <w:noProof/>
              </w:rPr>
            </w:pPr>
            <w:r w:rsidRPr="000C038B">
              <w:rPr>
                <w:noProof/>
              </w:rPr>
              <w:t>No posibilidad de transporte propio</w:t>
            </w:r>
          </w:p>
        </w:tc>
        <w:tc>
          <w:tcPr>
            <w:tcW w:w="2882" w:type="dxa"/>
            <w:tcBorders>
              <w:top w:val="single" w:sz="4" w:space="0" w:color="000000"/>
              <w:left w:val="single" w:sz="4" w:space="0" w:color="000000"/>
              <w:bottom w:val="single" w:sz="4" w:space="0" w:color="000000"/>
              <w:right w:val="single" w:sz="4" w:space="0" w:color="000000"/>
            </w:tcBorders>
          </w:tcPr>
          <w:p w:rsidR="00FC33EC" w:rsidRPr="000C038B" w:rsidRDefault="00FC33EC" w:rsidP="00274F6B">
            <w:pPr>
              <w:jc w:val="both"/>
              <w:rPr>
                <w:noProof/>
              </w:rPr>
            </w:pPr>
            <w:r w:rsidRPr="000C038B">
              <w:rPr>
                <w:noProof/>
              </w:rPr>
              <w:t>Cáncer de tiroides localmente avanzado</w:t>
            </w:r>
          </w:p>
        </w:tc>
      </w:tr>
      <w:tr w:rsidR="00FC33EC" w:rsidRPr="000C038B" w:rsidTr="00274F6B">
        <w:tc>
          <w:tcPr>
            <w:tcW w:w="2881" w:type="dxa"/>
            <w:tcBorders>
              <w:top w:val="single" w:sz="4" w:space="0" w:color="000000"/>
              <w:left w:val="single" w:sz="4" w:space="0" w:color="000000"/>
              <w:bottom w:val="single" w:sz="4" w:space="0" w:color="000000"/>
              <w:right w:val="single" w:sz="4" w:space="0" w:color="000000"/>
            </w:tcBorders>
          </w:tcPr>
          <w:p w:rsidR="00FC33EC" w:rsidRPr="000C038B" w:rsidRDefault="00FC33EC" w:rsidP="00274F6B">
            <w:pPr>
              <w:jc w:val="both"/>
              <w:rPr>
                <w:noProof/>
              </w:rPr>
            </w:pPr>
            <w:r w:rsidRPr="000C038B">
              <w:rPr>
                <w:noProof/>
              </w:rPr>
              <w:t>Trastornos convulsivos</w:t>
            </w:r>
          </w:p>
        </w:tc>
        <w:tc>
          <w:tcPr>
            <w:tcW w:w="2881" w:type="dxa"/>
            <w:tcBorders>
              <w:top w:val="single" w:sz="4" w:space="0" w:color="000000"/>
              <w:left w:val="single" w:sz="4" w:space="0" w:color="000000"/>
              <w:bottom w:val="single" w:sz="4" w:space="0" w:color="000000"/>
              <w:right w:val="single" w:sz="4" w:space="0" w:color="000000"/>
            </w:tcBorders>
          </w:tcPr>
          <w:p w:rsidR="00FC33EC" w:rsidRPr="000C038B" w:rsidRDefault="00FC33EC" w:rsidP="00274F6B">
            <w:pPr>
              <w:jc w:val="both"/>
              <w:rPr>
                <w:noProof/>
              </w:rPr>
            </w:pPr>
            <w:r w:rsidRPr="000C038B">
              <w:rPr>
                <w:noProof/>
              </w:rPr>
              <w:t>Preferencia del paciente</w:t>
            </w:r>
          </w:p>
        </w:tc>
        <w:tc>
          <w:tcPr>
            <w:tcW w:w="2882" w:type="dxa"/>
            <w:tcBorders>
              <w:top w:val="single" w:sz="4" w:space="0" w:color="000000"/>
              <w:left w:val="single" w:sz="4" w:space="0" w:color="000000"/>
              <w:bottom w:val="single" w:sz="4" w:space="0" w:color="000000"/>
              <w:right w:val="single" w:sz="4" w:space="0" w:color="000000"/>
            </w:tcBorders>
          </w:tcPr>
          <w:p w:rsidR="00FC33EC" w:rsidRPr="000C038B" w:rsidRDefault="00FC33EC" w:rsidP="00274F6B">
            <w:pPr>
              <w:jc w:val="both"/>
              <w:rPr>
                <w:noProof/>
              </w:rPr>
            </w:pPr>
            <w:r w:rsidRPr="000C038B">
              <w:rPr>
                <w:noProof/>
              </w:rPr>
              <w:t>Hemostasia dificultosa</w:t>
            </w:r>
          </w:p>
        </w:tc>
      </w:tr>
      <w:tr w:rsidR="00FC33EC" w:rsidRPr="000C038B" w:rsidTr="00274F6B">
        <w:tc>
          <w:tcPr>
            <w:tcW w:w="2881" w:type="dxa"/>
            <w:tcBorders>
              <w:top w:val="single" w:sz="4" w:space="0" w:color="000000"/>
              <w:left w:val="single" w:sz="4" w:space="0" w:color="000000"/>
              <w:bottom w:val="single" w:sz="4" w:space="0" w:color="000000"/>
              <w:right w:val="single" w:sz="4" w:space="0" w:color="000000"/>
            </w:tcBorders>
          </w:tcPr>
          <w:p w:rsidR="00FC33EC" w:rsidRPr="000C038B" w:rsidRDefault="00FC33EC" w:rsidP="00274F6B">
            <w:pPr>
              <w:jc w:val="both"/>
              <w:rPr>
                <w:noProof/>
              </w:rPr>
            </w:pPr>
            <w:r w:rsidRPr="000C038B">
              <w:rPr>
                <w:noProof/>
              </w:rPr>
              <w:t>Trastorno ansioso</w:t>
            </w:r>
          </w:p>
        </w:tc>
        <w:tc>
          <w:tcPr>
            <w:tcW w:w="2881" w:type="dxa"/>
            <w:tcBorders>
              <w:top w:val="single" w:sz="4" w:space="0" w:color="000000"/>
              <w:left w:val="single" w:sz="4" w:space="0" w:color="000000"/>
              <w:bottom w:val="single" w:sz="4" w:space="0" w:color="000000"/>
              <w:right w:val="single" w:sz="4" w:space="0" w:color="000000"/>
            </w:tcBorders>
          </w:tcPr>
          <w:p w:rsidR="00FC33EC" w:rsidRPr="000C038B" w:rsidRDefault="00FC33EC" w:rsidP="00274F6B">
            <w:pPr>
              <w:jc w:val="both"/>
              <w:rPr>
                <w:noProof/>
              </w:rPr>
            </w:pPr>
            <w:r w:rsidRPr="000C038B">
              <w:rPr>
                <w:noProof/>
              </w:rPr>
              <w:t>Barreras idiomáticas o de comunicación</w:t>
            </w:r>
          </w:p>
        </w:tc>
        <w:tc>
          <w:tcPr>
            <w:tcW w:w="2882" w:type="dxa"/>
            <w:tcBorders>
              <w:top w:val="single" w:sz="4" w:space="0" w:color="000000"/>
              <w:left w:val="single" w:sz="4" w:space="0" w:color="000000"/>
              <w:bottom w:val="single" w:sz="4" w:space="0" w:color="000000"/>
              <w:right w:val="single" w:sz="4" w:space="0" w:color="000000"/>
            </w:tcBorders>
          </w:tcPr>
          <w:p w:rsidR="00FC33EC" w:rsidRPr="000C038B" w:rsidRDefault="00FC33EC" w:rsidP="00274F6B">
            <w:pPr>
              <w:jc w:val="both"/>
              <w:rPr>
                <w:noProof/>
              </w:rPr>
            </w:pPr>
            <w:r w:rsidRPr="000C038B">
              <w:rPr>
                <w:noProof/>
              </w:rPr>
              <w:t>Tiroidectomía difícil (tiroiditis de Hashimoto, enfermedad de Graves)</w:t>
            </w:r>
          </w:p>
        </w:tc>
      </w:tr>
      <w:tr w:rsidR="00FC33EC" w:rsidRPr="000C038B" w:rsidTr="00274F6B">
        <w:tc>
          <w:tcPr>
            <w:tcW w:w="2881" w:type="dxa"/>
            <w:tcBorders>
              <w:top w:val="single" w:sz="4" w:space="0" w:color="000000"/>
              <w:left w:val="single" w:sz="4" w:space="0" w:color="000000"/>
              <w:bottom w:val="single" w:sz="4" w:space="0" w:color="000000"/>
              <w:right w:val="single" w:sz="4" w:space="0" w:color="000000"/>
            </w:tcBorders>
          </w:tcPr>
          <w:p w:rsidR="00FC33EC" w:rsidRPr="000C038B" w:rsidRDefault="00FC33EC" w:rsidP="00274F6B">
            <w:pPr>
              <w:jc w:val="both"/>
              <w:rPr>
                <w:noProof/>
              </w:rPr>
            </w:pPr>
            <w:r w:rsidRPr="000C038B">
              <w:rPr>
                <w:noProof/>
              </w:rPr>
              <w:t>Apnea obstructiva del sueño.</w:t>
            </w:r>
          </w:p>
        </w:tc>
        <w:tc>
          <w:tcPr>
            <w:tcW w:w="2881" w:type="dxa"/>
            <w:tcBorders>
              <w:top w:val="single" w:sz="4" w:space="0" w:color="000000"/>
              <w:left w:val="single" w:sz="4" w:space="0" w:color="000000"/>
              <w:bottom w:val="single" w:sz="4" w:space="0" w:color="000000"/>
              <w:right w:val="single" w:sz="4" w:space="0" w:color="000000"/>
            </w:tcBorders>
          </w:tcPr>
          <w:p w:rsidR="00FC33EC" w:rsidRPr="000C038B" w:rsidRDefault="00FC33EC" w:rsidP="00274F6B">
            <w:pPr>
              <w:jc w:val="both"/>
              <w:rPr>
                <w:noProof/>
              </w:rPr>
            </w:pPr>
          </w:p>
        </w:tc>
        <w:tc>
          <w:tcPr>
            <w:tcW w:w="2882" w:type="dxa"/>
            <w:tcBorders>
              <w:top w:val="single" w:sz="4" w:space="0" w:color="000000"/>
              <w:left w:val="single" w:sz="4" w:space="0" w:color="000000"/>
              <w:bottom w:val="single" w:sz="4" w:space="0" w:color="000000"/>
              <w:right w:val="single" w:sz="4" w:space="0" w:color="000000"/>
            </w:tcBorders>
          </w:tcPr>
          <w:p w:rsidR="00FC33EC" w:rsidRPr="000C038B" w:rsidRDefault="00FC33EC" w:rsidP="00274F6B">
            <w:pPr>
              <w:jc w:val="both"/>
              <w:rPr>
                <w:noProof/>
              </w:rPr>
            </w:pPr>
          </w:p>
        </w:tc>
      </w:tr>
      <w:tr w:rsidR="00FC33EC" w:rsidRPr="000C038B" w:rsidTr="00274F6B">
        <w:tc>
          <w:tcPr>
            <w:tcW w:w="2881" w:type="dxa"/>
            <w:tcBorders>
              <w:top w:val="single" w:sz="4" w:space="0" w:color="000000"/>
              <w:left w:val="single" w:sz="4" w:space="0" w:color="000000"/>
              <w:bottom w:val="single" w:sz="4" w:space="0" w:color="000000"/>
              <w:right w:val="single" w:sz="4" w:space="0" w:color="000000"/>
            </w:tcBorders>
          </w:tcPr>
          <w:p w:rsidR="00FC33EC" w:rsidRPr="000C038B" w:rsidRDefault="00FC33EC" w:rsidP="00274F6B">
            <w:pPr>
              <w:jc w:val="both"/>
              <w:rPr>
                <w:noProof/>
              </w:rPr>
            </w:pPr>
            <w:r w:rsidRPr="000C038B">
              <w:rPr>
                <w:noProof/>
              </w:rPr>
              <w:t>Paciente con pérdida de audición o deterioro visual</w:t>
            </w:r>
          </w:p>
        </w:tc>
        <w:tc>
          <w:tcPr>
            <w:tcW w:w="2881" w:type="dxa"/>
            <w:tcBorders>
              <w:top w:val="single" w:sz="4" w:space="0" w:color="000000"/>
              <w:left w:val="single" w:sz="4" w:space="0" w:color="000000"/>
              <w:bottom w:val="single" w:sz="4" w:space="0" w:color="000000"/>
              <w:right w:val="single" w:sz="4" w:space="0" w:color="000000"/>
            </w:tcBorders>
          </w:tcPr>
          <w:p w:rsidR="00FC33EC" w:rsidRPr="000C038B" w:rsidRDefault="00FC33EC" w:rsidP="00274F6B">
            <w:pPr>
              <w:jc w:val="both"/>
              <w:rPr>
                <w:noProof/>
              </w:rPr>
            </w:pPr>
          </w:p>
        </w:tc>
        <w:tc>
          <w:tcPr>
            <w:tcW w:w="2882" w:type="dxa"/>
            <w:tcBorders>
              <w:top w:val="single" w:sz="4" w:space="0" w:color="000000"/>
              <w:left w:val="single" w:sz="4" w:space="0" w:color="000000"/>
              <w:bottom w:val="single" w:sz="4" w:space="0" w:color="000000"/>
              <w:right w:val="single" w:sz="4" w:space="0" w:color="000000"/>
            </w:tcBorders>
          </w:tcPr>
          <w:p w:rsidR="00FC33EC" w:rsidRPr="000C038B" w:rsidRDefault="00FC33EC" w:rsidP="00274F6B">
            <w:pPr>
              <w:jc w:val="both"/>
              <w:rPr>
                <w:noProof/>
              </w:rPr>
            </w:pPr>
          </w:p>
        </w:tc>
      </w:tr>
      <w:tr w:rsidR="00FC33EC" w:rsidRPr="000C038B" w:rsidTr="00274F6B">
        <w:tc>
          <w:tcPr>
            <w:tcW w:w="2881" w:type="dxa"/>
            <w:tcBorders>
              <w:top w:val="single" w:sz="4" w:space="0" w:color="000000"/>
              <w:left w:val="single" w:sz="4" w:space="0" w:color="000000"/>
              <w:bottom w:val="single" w:sz="4" w:space="0" w:color="000000"/>
              <w:right w:val="single" w:sz="4" w:space="0" w:color="000000"/>
            </w:tcBorders>
          </w:tcPr>
          <w:p w:rsidR="00FC33EC" w:rsidRPr="000C038B" w:rsidRDefault="00FC33EC" w:rsidP="00274F6B">
            <w:pPr>
              <w:jc w:val="both"/>
              <w:rPr>
                <w:noProof/>
              </w:rPr>
            </w:pPr>
            <w:r w:rsidRPr="000C038B">
              <w:rPr>
                <w:noProof/>
              </w:rPr>
              <w:t>Trastorno cognitivo</w:t>
            </w:r>
          </w:p>
        </w:tc>
        <w:tc>
          <w:tcPr>
            <w:tcW w:w="2881" w:type="dxa"/>
            <w:tcBorders>
              <w:top w:val="single" w:sz="4" w:space="0" w:color="000000"/>
              <w:left w:val="single" w:sz="4" w:space="0" w:color="000000"/>
              <w:bottom w:val="single" w:sz="4" w:space="0" w:color="000000"/>
              <w:right w:val="single" w:sz="4" w:space="0" w:color="000000"/>
            </w:tcBorders>
          </w:tcPr>
          <w:p w:rsidR="00FC33EC" w:rsidRPr="000C038B" w:rsidRDefault="00FC33EC" w:rsidP="00274F6B">
            <w:pPr>
              <w:jc w:val="both"/>
              <w:rPr>
                <w:noProof/>
              </w:rPr>
            </w:pPr>
          </w:p>
        </w:tc>
        <w:tc>
          <w:tcPr>
            <w:tcW w:w="2882" w:type="dxa"/>
            <w:tcBorders>
              <w:top w:val="single" w:sz="4" w:space="0" w:color="000000"/>
              <w:left w:val="single" w:sz="4" w:space="0" w:color="000000"/>
              <w:bottom w:val="single" w:sz="4" w:space="0" w:color="000000"/>
              <w:right w:val="single" w:sz="4" w:space="0" w:color="000000"/>
            </w:tcBorders>
          </w:tcPr>
          <w:p w:rsidR="00FC33EC" w:rsidRPr="000C038B" w:rsidRDefault="00FC33EC" w:rsidP="00274F6B">
            <w:pPr>
              <w:jc w:val="both"/>
              <w:rPr>
                <w:noProof/>
              </w:rPr>
            </w:pPr>
          </w:p>
        </w:tc>
      </w:tr>
      <w:tr w:rsidR="00FC33EC" w:rsidRPr="000C038B" w:rsidTr="00274F6B">
        <w:tc>
          <w:tcPr>
            <w:tcW w:w="2881" w:type="dxa"/>
            <w:tcBorders>
              <w:top w:val="single" w:sz="4" w:space="0" w:color="000000"/>
              <w:left w:val="single" w:sz="4" w:space="0" w:color="000000"/>
              <w:bottom w:val="single" w:sz="4" w:space="0" w:color="000000"/>
              <w:right w:val="single" w:sz="4" w:space="0" w:color="000000"/>
            </w:tcBorders>
          </w:tcPr>
          <w:p w:rsidR="00FC33EC" w:rsidRPr="000C038B" w:rsidRDefault="00FC33EC" w:rsidP="00274F6B">
            <w:pPr>
              <w:jc w:val="both"/>
              <w:rPr>
                <w:noProof/>
              </w:rPr>
            </w:pPr>
            <w:r w:rsidRPr="000C038B">
              <w:rPr>
                <w:noProof/>
              </w:rPr>
              <w:t>Embarazo</w:t>
            </w:r>
          </w:p>
        </w:tc>
        <w:tc>
          <w:tcPr>
            <w:tcW w:w="2881" w:type="dxa"/>
            <w:tcBorders>
              <w:top w:val="single" w:sz="4" w:space="0" w:color="000000"/>
              <w:left w:val="single" w:sz="4" w:space="0" w:color="000000"/>
              <w:bottom w:val="single" w:sz="4" w:space="0" w:color="000000"/>
              <w:right w:val="single" w:sz="4" w:space="0" w:color="000000"/>
            </w:tcBorders>
          </w:tcPr>
          <w:p w:rsidR="00FC33EC" w:rsidRPr="000C038B" w:rsidRDefault="00FC33EC" w:rsidP="00274F6B">
            <w:pPr>
              <w:jc w:val="both"/>
              <w:rPr>
                <w:noProof/>
              </w:rPr>
            </w:pPr>
          </w:p>
        </w:tc>
        <w:tc>
          <w:tcPr>
            <w:tcW w:w="2882" w:type="dxa"/>
            <w:tcBorders>
              <w:top w:val="single" w:sz="4" w:space="0" w:color="000000"/>
              <w:left w:val="single" w:sz="4" w:space="0" w:color="000000"/>
              <w:bottom w:val="single" w:sz="4" w:space="0" w:color="000000"/>
              <w:right w:val="single" w:sz="4" w:space="0" w:color="000000"/>
            </w:tcBorders>
          </w:tcPr>
          <w:p w:rsidR="00FC33EC" w:rsidRPr="000C038B" w:rsidRDefault="00FC33EC" w:rsidP="00274F6B">
            <w:pPr>
              <w:jc w:val="both"/>
              <w:rPr>
                <w:noProof/>
              </w:rPr>
            </w:pPr>
          </w:p>
        </w:tc>
      </w:tr>
    </w:tbl>
    <w:p w:rsidR="00FC33EC" w:rsidRPr="000C038B" w:rsidRDefault="00FC33EC" w:rsidP="00FC33EC">
      <w:pPr>
        <w:jc w:val="both"/>
        <w:rPr>
          <w:noProof/>
        </w:rPr>
      </w:pPr>
    </w:p>
    <w:p w:rsidR="00FC33EC" w:rsidRDefault="00FC33EC" w:rsidP="00FC33EC">
      <w:pPr>
        <w:shd w:val="clear" w:color="auto" w:fill="FFFFFF"/>
        <w:jc w:val="both"/>
        <w:rPr>
          <w:rFonts w:eastAsia="Batang"/>
          <w:sz w:val="18"/>
          <w:lang w:eastAsia="ko-KR"/>
        </w:rPr>
      </w:pPr>
    </w:p>
    <w:p w:rsidR="00FC33EC" w:rsidRPr="00DC43FA" w:rsidRDefault="00FC33EC" w:rsidP="00FC33EC">
      <w:pPr>
        <w:pStyle w:val="Textodebloque"/>
        <w:spacing w:line="240" w:lineRule="auto"/>
        <w:ind w:left="540"/>
        <w:rPr>
          <w:b w:val="0"/>
          <w:sz w:val="24"/>
          <w:szCs w:val="24"/>
        </w:rPr>
      </w:pPr>
      <w:r>
        <w:rPr>
          <w:noProof/>
        </w:rPr>
        <w:br w:type="page"/>
      </w:r>
      <w:r w:rsidRPr="00DC43FA">
        <w:rPr>
          <w:b w:val="0"/>
          <w:sz w:val="24"/>
          <w:szCs w:val="24"/>
        </w:rPr>
        <w:lastRenderedPageBreak/>
        <w:t xml:space="preserve">TABLA </w:t>
      </w:r>
      <w:r w:rsidR="00274F6B">
        <w:rPr>
          <w:b w:val="0"/>
          <w:sz w:val="24"/>
          <w:szCs w:val="24"/>
        </w:rPr>
        <w:t>6</w:t>
      </w:r>
      <w:r w:rsidRPr="00DC43FA">
        <w:rPr>
          <w:b w:val="0"/>
          <w:sz w:val="24"/>
          <w:szCs w:val="24"/>
        </w:rPr>
        <w:t xml:space="preserve">. Indicadores </w:t>
      </w:r>
      <w:r>
        <w:rPr>
          <w:b w:val="0"/>
          <w:sz w:val="24"/>
          <w:szCs w:val="24"/>
        </w:rPr>
        <w:t>de calidad.</w:t>
      </w:r>
    </w:p>
    <w:p w:rsidR="00FC33EC" w:rsidRPr="0005294E" w:rsidRDefault="00FC33EC" w:rsidP="00FC33EC">
      <w:pPr>
        <w:pStyle w:val="Textodebloque"/>
        <w:spacing w:line="240" w:lineRule="auto"/>
        <w:ind w:left="1080"/>
        <w:rPr>
          <w:sz w:val="24"/>
          <w:szCs w:val="24"/>
        </w:rPr>
      </w:pPr>
    </w:p>
    <w:p w:rsidR="00FC33EC" w:rsidRPr="00240B13" w:rsidRDefault="00FC33EC" w:rsidP="00FC33EC">
      <w:pPr>
        <w:pStyle w:val="Textodebloque"/>
        <w:spacing w:line="240" w:lineRule="auto"/>
        <w:ind w:left="360"/>
        <w:rPr>
          <w:b w:val="0"/>
          <w:bCs w:val="0"/>
          <w:sz w:val="24"/>
          <w:szCs w:val="24"/>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54"/>
        <w:gridCol w:w="7190"/>
      </w:tblGrid>
      <w:tr w:rsidR="00FC33EC" w:rsidRPr="00773BBD" w:rsidTr="00274F6B">
        <w:trPr>
          <w:trHeight w:val="745"/>
        </w:trPr>
        <w:tc>
          <w:tcPr>
            <w:tcW w:w="841" w:type="pct"/>
            <w:tcBorders>
              <w:top w:val="single" w:sz="4" w:space="0" w:color="auto"/>
              <w:left w:val="single" w:sz="4" w:space="0" w:color="auto"/>
              <w:bottom w:val="single" w:sz="4" w:space="0" w:color="auto"/>
              <w:right w:val="single" w:sz="4" w:space="0" w:color="auto"/>
            </w:tcBorders>
            <w:vAlign w:val="center"/>
          </w:tcPr>
          <w:p w:rsidR="00FC33EC" w:rsidRPr="00773BBD" w:rsidRDefault="00FC33EC" w:rsidP="00274F6B">
            <w:pPr>
              <w:spacing w:before="120"/>
              <w:rPr>
                <w:b/>
                <w:bCs/>
                <w:sz w:val="20"/>
                <w:szCs w:val="20"/>
              </w:rPr>
            </w:pPr>
          </w:p>
        </w:tc>
        <w:tc>
          <w:tcPr>
            <w:tcW w:w="4159"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jc w:val="both"/>
              <w:rPr>
                <w:b/>
                <w:bCs/>
                <w:sz w:val="20"/>
                <w:szCs w:val="20"/>
              </w:rPr>
            </w:pPr>
            <w:r w:rsidRPr="000830E7">
              <w:rPr>
                <w:b/>
                <w:bCs/>
                <w:sz w:val="20"/>
                <w:szCs w:val="20"/>
              </w:rPr>
              <w:t>Pacientes con consentimiento informado</w:t>
            </w:r>
            <w:r>
              <w:rPr>
                <w:b/>
                <w:bCs/>
                <w:sz w:val="20"/>
                <w:szCs w:val="20"/>
              </w:rPr>
              <w:t xml:space="preserve"> correctamente cumplimentado</w:t>
            </w:r>
          </w:p>
        </w:tc>
      </w:tr>
      <w:tr w:rsidR="00FC33EC" w:rsidRPr="00773BBD" w:rsidTr="00274F6B">
        <w:trPr>
          <w:trHeight w:val="529"/>
        </w:trPr>
        <w:tc>
          <w:tcPr>
            <w:tcW w:w="841" w:type="pct"/>
            <w:tcBorders>
              <w:top w:val="single" w:sz="4" w:space="0" w:color="auto"/>
              <w:left w:val="single" w:sz="4" w:space="0" w:color="auto"/>
              <w:bottom w:val="single" w:sz="4" w:space="0" w:color="auto"/>
              <w:right w:val="single" w:sz="4" w:space="0" w:color="auto"/>
            </w:tcBorders>
            <w:vAlign w:val="center"/>
          </w:tcPr>
          <w:p w:rsidR="00FC33EC" w:rsidRPr="00773BBD" w:rsidRDefault="00FC33EC" w:rsidP="00274F6B">
            <w:pPr>
              <w:spacing w:before="120"/>
              <w:rPr>
                <w:b/>
                <w:bCs/>
                <w:sz w:val="20"/>
                <w:szCs w:val="20"/>
              </w:rPr>
            </w:pPr>
            <w:r w:rsidRPr="00773BBD">
              <w:rPr>
                <w:b/>
                <w:bCs/>
                <w:sz w:val="20"/>
                <w:szCs w:val="20"/>
              </w:rPr>
              <w:t>Fórmula</w:t>
            </w:r>
          </w:p>
        </w:tc>
        <w:tc>
          <w:tcPr>
            <w:tcW w:w="4159" w:type="pct"/>
            <w:tcBorders>
              <w:top w:val="single" w:sz="4" w:space="0" w:color="auto"/>
              <w:left w:val="single" w:sz="4" w:space="0" w:color="auto"/>
              <w:bottom w:val="single" w:sz="4" w:space="0" w:color="auto"/>
              <w:right w:val="single" w:sz="4" w:space="0" w:color="auto"/>
            </w:tcBorders>
            <w:vAlign w:val="center"/>
          </w:tcPr>
          <w:p w:rsidR="00FC33EC" w:rsidRPr="00773BBD" w:rsidRDefault="00FC33EC" w:rsidP="00274F6B">
            <w:pPr>
              <w:rPr>
                <w:sz w:val="20"/>
                <w:szCs w:val="20"/>
              </w:rPr>
            </w:pPr>
            <w:r w:rsidRPr="00773BBD">
              <w:rPr>
                <w:rFonts w:eastAsia="Batang"/>
                <w:sz w:val="20"/>
                <w:szCs w:val="20"/>
                <w:lang w:eastAsia="ko-KR"/>
              </w:rPr>
              <w:t xml:space="preserve">Pacientes </w:t>
            </w:r>
            <w:r>
              <w:rPr>
                <w:rFonts w:eastAsia="Batang"/>
                <w:sz w:val="20"/>
                <w:szCs w:val="20"/>
                <w:lang w:eastAsia="ko-KR"/>
              </w:rPr>
              <w:t xml:space="preserve">intervenidos de tiroidectomía </w:t>
            </w:r>
            <w:r w:rsidRPr="00773BBD">
              <w:rPr>
                <w:rFonts w:eastAsia="Batang"/>
                <w:sz w:val="20"/>
                <w:szCs w:val="20"/>
                <w:lang w:eastAsia="ko-KR"/>
              </w:rPr>
              <w:t>con consentimiento informado en la historia clínica</w:t>
            </w:r>
            <w:r>
              <w:rPr>
                <w:rFonts w:eastAsia="Batang"/>
                <w:sz w:val="20"/>
                <w:szCs w:val="20"/>
                <w:lang w:eastAsia="ko-KR"/>
              </w:rPr>
              <w:t xml:space="preserve"> y correctamente cumplimentado</w:t>
            </w:r>
            <w:r w:rsidRPr="00773BBD">
              <w:rPr>
                <w:rFonts w:eastAsia="Batang"/>
                <w:sz w:val="20"/>
                <w:szCs w:val="20"/>
                <w:lang w:eastAsia="ko-KR"/>
              </w:rPr>
              <w:t xml:space="preserve"> x 100 /</w:t>
            </w:r>
            <w:r>
              <w:rPr>
                <w:rFonts w:eastAsia="Batang"/>
                <w:sz w:val="20"/>
                <w:szCs w:val="20"/>
                <w:lang w:eastAsia="ko-KR"/>
              </w:rPr>
              <w:t xml:space="preserve"> </w:t>
            </w:r>
            <w:r w:rsidRPr="00773BBD">
              <w:rPr>
                <w:rFonts w:eastAsia="Batang"/>
                <w:sz w:val="20"/>
                <w:szCs w:val="20"/>
                <w:lang w:eastAsia="ko-KR"/>
              </w:rPr>
              <w:t>Pacientes in</w:t>
            </w:r>
            <w:r>
              <w:rPr>
                <w:rFonts w:eastAsia="Batang"/>
                <w:sz w:val="20"/>
                <w:szCs w:val="20"/>
                <w:lang w:eastAsia="ko-KR"/>
              </w:rPr>
              <w:t>tervenidos de tiroidectomía.</w:t>
            </w:r>
          </w:p>
        </w:tc>
      </w:tr>
      <w:tr w:rsidR="00FC33EC" w:rsidRPr="00773BBD" w:rsidTr="00274F6B">
        <w:trPr>
          <w:trHeight w:val="579"/>
        </w:trPr>
        <w:tc>
          <w:tcPr>
            <w:tcW w:w="841" w:type="pct"/>
            <w:tcBorders>
              <w:top w:val="single" w:sz="4" w:space="0" w:color="auto"/>
              <w:left w:val="single" w:sz="4" w:space="0" w:color="auto"/>
              <w:bottom w:val="single" w:sz="4" w:space="0" w:color="auto"/>
              <w:right w:val="single" w:sz="4" w:space="0" w:color="auto"/>
            </w:tcBorders>
            <w:vAlign w:val="center"/>
          </w:tcPr>
          <w:p w:rsidR="00FC33EC" w:rsidRPr="00773BBD" w:rsidRDefault="00FC33EC" w:rsidP="00274F6B">
            <w:pPr>
              <w:spacing w:before="120" w:after="120"/>
              <w:rPr>
                <w:b/>
                <w:bCs/>
                <w:sz w:val="20"/>
                <w:szCs w:val="20"/>
              </w:rPr>
            </w:pPr>
            <w:r w:rsidRPr="00773BBD">
              <w:rPr>
                <w:b/>
                <w:bCs/>
                <w:sz w:val="20"/>
                <w:szCs w:val="20"/>
              </w:rPr>
              <w:t>Exclusiones</w:t>
            </w:r>
          </w:p>
        </w:tc>
        <w:tc>
          <w:tcPr>
            <w:tcW w:w="4159" w:type="pct"/>
            <w:tcBorders>
              <w:top w:val="single" w:sz="4" w:space="0" w:color="auto"/>
              <w:left w:val="single" w:sz="4" w:space="0" w:color="auto"/>
              <w:bottom w:val="single" w:sz="4" w:space="0" w:color="auto"/>
              <w:right w:val="single" w:sz="4" w:space="0" w:color="auto"/>
            </w:tcBorders>
            <w:vAlign w:val="center"/>
          </w:tcPr>
          <w:p w:rsidR="00FC33EC" w:rsidRPr="00773BBD" w:rsidRDefault="00FC33EC" w:rsidP="00274F6B">
            <w:pPr>
              <w:rPr>
                <w:sz w:val="20"/>
                <w:szCs w:val="20"/>
              </w:rPr>
            </w:pPr>
            <w:r>
              <w:rPr>
                <w:sz w:val="20"/>
                <w:szCs w:val="20"/>
              </w:rPr>
              <w:t>Ninguna</w:t>
            </w:r>
          </w:p>
        </w:tc>
      </w:tr>
      <w:tr w:rsidR="00FC33EC" w:rsidRPr="00773BBD" w:rsidTr="00274F6B">
        <w:trPr>
          <w:trHeight w:val="1242"/>
        </w:trPr>
        <w:tc>
          <w:tcPr>
            <w:tcW w:w="841" w:type="pct"/>
            <w:tcBorders>
              <w:top w:val="single" w:sz="4" w:space="0" w:color="auto"/>
              <w:left w:val="single" w:sz="4" w:space="0" w:color="auto"/>
              <w:bottom w:val="single" w:sz="4" w:space="0" w:color="auto"/>
              <w:right w:val="single" w:sz="4" w:space="0" w:color="auto"/>
            </w:tcBorders>
            <w:vAlign w:val="center"/>
          </w:tcPr>
          <w:p w:rsidR="00FC33EC" w:rsidRPr="00773BBD" w:rsidRDefault="00FC33EC" w:rsidP="00274F6B">
            <w:pPr>
              <w:spacing w:before="120"/>
              <w:rPr>
                <w:b/>
                <w:bCs/>
                <w:sz w:val="20"/>
                <w:szCs w:val="20"/>
              </w:rPr>
            </w:pPr>
            <w:r w:rsidRPr="00773BBD">
              <w:rPr>
                <w:b/>
                <w:bCs/>
                <w:sz w:val="20"/>
                <w:szCs w:val="20"/>
              </w:rPr>
              <w:t>Aclaraciones</w:t>
            </w:r>
          </w:p>
        </w:tc>
        <w:tc>
          <w:tcPr>
            <w:tcW w:w="4159" w:type="pct"/>
            <w:tcBorders>
              <w:top w:val="single" w:sz="4" w:space="0" w:color="auto"/>
              <w:left w:val="single" w:sz="4" w:space="0" w:color="auto"/>
              <w:bottom w:val="single" w:sz="4" w:space="0" w:color="auto"/>
              <w:right w:val="single" w:sz="4" w:space="0" w:color="auto"/>
            </w:tcBorders>
            <w:vAlign w:val="center"/>
          </w:tcPr>
          <w:p w:rsidR="00FC33EC" w:rsidRPr="00773BBD" w:rsidRDefault="00FC33EC" w:rsidP="00274F6B">
            <w:pPr>
              <w:autoSpaceDE w:val="0"/>
              <w:autoSpaceDN w:val="0"/>
              <w:adjustRightInd w:val="0"/>
              <w:rPr>
                <w:rFonts w:eastAsia="Batang"/>
                <w:sz w:val="20"/>
                <w:szCs w:val="20"/>
                <w:lang w:eastAsia="ko-KR"/>
              </w:rPr>
            </w:pPr>
            <w:r w:rsidRPr="00773BBD">
              <w:rPr>
                <w:rFonts w:eastAsia="Batang"/>
                <w:sz w:val="20"/>
                <w:szCs w:val="20"/>
                <w:lang w:eastAsia="ko-KR"/>
              </w:rPr>
              <w:t>• El consentimiento deberá corresponder al procedimiento realizado.</w:t>
            </w:r>
          </w:p>
          <w:p w:rsidR="00FC33EC" w:rsidRPr="00773BBD" w:rsidRDefault="00FC33EC" w:rsidP="00274F6B">
            <w:pPr>
              <w:rPr>
                <w:rFonts w:eastAsia="Batang"/>
                <w:sz w:val="20"/>
                <w:szCs w:val="20"/>
                <w:lang w:eastAsia="ko-KR"/>
              </w:rPr>
            </w:pPr>
            <w:r w:rsidRPr="00773BBD">
              <w:rPr>
                <w:rFonts w:eastAsia="Batang"/>
                <w:sz w:val="20"/>
                <w:szCs w:val="20"/>
                <w:lang w:eastAsia="ko-KR"/>
              </w:rPr>
              <w:t xml:space="preserve">• Pacientes ingresados para cirugía: Pacientes clasificados en </w:t>
            </w:r>
            <w:proofErr w:type="spellStart"/>
            <w:r w:rsidRPr="00773BBD">
              <w:rPr>
                <w:rFonts w:eastAsia="Batang"/>
                <w:sz w:val="20"/>
                <w:szCs w:val="20"/>
                <w:lang w:eastAsia="ko-KR"/>
              </w:rPr>
              <w:t>GRDs</w:t>
            </w:r>
            <w:proofErr w:type="spellEnd"/>
            <w:r w:rsidRPr="00773BBD">
              <w:rPr>
                <w:rFonts w:eastAsia="Batang"/>
                <w:sz w:val="20"/>
                <w:szCs w:val="20"/>
                <w:lang w:eastAsia="ko-KR"/>
              </w:rPr>
              <w:t xml:space="preserve"> </w:t>
            </w:r>
            <w:r>
              <w:rPr>
                <w:rFonts w:eastAsia="Batang"/>
                <w:sz w:val="20"/>
                <w:szCs w:val="20"/>
                <w:lang w:eastAsia="ko-KR"/>
              </w:rPr>
              <w:t>de tiroidectomía</w:t>
            </w:r>
            <w:r w:rsidRPr="00773BBD">
              <w:rPr>
                <w:rFonts w:eastAsia="Batang"/>
                <w:sz w:val="20"/>
                <w:szCs w:val="20"/>
                <w:lang w:eastAsia="ko-KR"/>
              </w:rPr>
              <w:t xml:space="preserve"> y que han sido intervenidos.</w:t>
            </w:r>
          </w:p>
          <w:p w:rsidR="00FC33EC" w:rsidRPr="00773BBD" w:rsidRDefault="00FC33EC" w:rsidP="00274F6B">
            <w:pPr>
              <w:widowControl w:val="0"/>
              <w:autoSpaceDE w:val="0"/>
              <w:autoSpaceDN w:val="0"/>
              <w:adjustRightInd w:val="0"/>
              <w:jc w:val="both"/>
              <w:rPr>
                <w:sz w:val="20"/>
                <w:szCs w:val="20"/>
              </w:rPr>
            </w:pPr>
            <w:r w:rsidRPr="00773BBD">
              <w:rPr>
                <w:sz w:val="20"/>
                <w:szCs w:val="20"/>
              </w:rPr>
              <w:t xml:space="preserve">Los datos mínimos que han de constar en los formularios del consentimiento </w:t>
            </w:r>
            <w:r>
              <w:rPr>
                <w:sz w:val="20"/>
                <w:szCs w:val="20"/>
              </w:rPr>
              <w:t>incluyen</w:t>
            </w:r>
            <w:r w:rsidRPr="00773BBD">
              <w:rPr>
                <w:sz w:val="20"/>
                <w:szCs w:val="20"/>
              </w:rPr>
              <w:t>:</w:t>
            </w:r>
          </w:p>
          <w:p w:rsidR="00FC33EC" w:rsidRPr="00773BBD" w:rsidRDefault="00FC33EC" w:rsidP="00274F6B">
            <w:pPr>
              <w:widowControl w:val="0"/>
              <w:autoSpaceDE w:val="0"/>
              <w:autoSpaceDN w:val="0"/>
              <w:adjustRightInd w:val="0"/>
              <w:jc w:val="both"/>
              <w:rPr>
                <w:sz w:val="20"/>
                <w:szCs w:val="20"/>
              </w:rPr>
            </w:pPr>
            <w:r w:rsidRPr="00773BBD">
              <w:rPr>
                <w:sz w:val="20"/>
                <w:szCs w:val="20"/>
              </w:rPr>
              <w:t>· Identificación del centro.</w:t>
            </w:r>
          </w:p>
          <w:p w:rsidR="00FC33EC" w:rsidRPr="00773BBD" w:rsidRDefault="00FC33EC" w:rsidP="00274F6B">
            <w:pPr>
              <w:widowControl w:val="0"/>
              <w:autoSpaceDE w:val="0"/>
              <w:autoSpaceDN w:val="0"/>
              <w:adjustRightInd w:val="0"/>
              <w:jc w:val="both"/>
              <w:rPr>
                <w:sz w:val="20"/>
                <w:szCs w:val="20"/>
              </w:rPr>
            </w:pPr>
            <w:r w:rsidRPr="00773BBD">
              <w:rPr>
                <w:sz w:val="20"/>
                <w:szCs w:val="20"/>
              </w:rPr>
              <w:t>· Identificación del paciente.</w:t>
            </w:r>
          </w:p>
          <w:p w:rsidR="00FC33EC" w:rsidRPr="00773BBD" w:rsidRDefault="00FC33EC" w:rsidP="00274F6B">
            <w:pPr>
              <w:widowControl w:val="0"/>
              <w:autoSpaceDE w:val="0"/>
              <w:autoSpaceDN w:val="0"/>
              <w:adjustRightInd w:val="0"/>
              <w:jc w:val="both"/>
              <w:rPr>
                <w:sz w:val="20"/>
                <w:szCs w:val="20"/>
              </w:rPr>
            </w:pPr>
            <w:r w:rsidRPr="00773BBD">
              <w:rPr>
                <w:sz w:val="20"/>
                <w:szCs w:val="20"/>
              </w:rPr>
              <w:t>·Identificación del representante legal, familiar o allegado que preste el consentimiento.</w:t>
            </w:r>
          </w:p>
          <w:p w:rsidR="00FC33EC" w:rsidRPr="00773BBD" w:rsidRDefault="00FC33EC" w:rsidP="00274F6B">
            <w:pPr>
              <w:widowControl w:val="0"/>
              <w:autoSpaceDE w:val="0"/>
              <w:autoSpaceDN w:val="0"/>
              <w:adjustRightInd w:val="0"/>
              <w:jc w:val="both"/>
              <w:rPr>
                <w:sz w:val="20"/>
                <w:szCs w:val="20"/>
              </w:rPr>
            </w:pPr>
            <w:r w:rsidRPr="00773BBD">
              <w:rPr>
                <w:sz w:val="20"/>
                <w:szCs w:val="20"/>
              </w:rPr>
              <w:t>· Identificación del médico que informa.</w:t>
            </w:r>
          </w:p>
          <w:p w:rsidR="00FC33EC" w:rsidRPr="00773BBD" w:rsidRDefault="00FC33EC" w:rsidP="00274F6B">
            <w:pPr>
              <w:widowControl w:val="0"/>
              <w:autoSpaceDE w:val="0"/>
              <w:autoSpaceDN w:val="0"/>
              <w:adjustRightInd w:val="0"/>
              <w:jc w:val="both"/>
              <w:rPr>
                <w:sz w:val="20"/>
                <w:szCs w:val="20"/>
              </w:rPr>
            </w:pPr>
            <w:r w:rsidRPr="00773BBD">
              <w:rPr>
                <w:sz w:val="20"/>
                <w:szCs w:val="20"/>
              </w:rPr>
              <w:t>· Identificación del procedimiento.</w:t>
            </w:r>
          </w:p>
          <w:p w:rsidR="00FC33EC" w:rsidRPr="00773BBD" w:rsidRDefault="00FC33EC" w:rsidP="00274F6B">
            <w:pPr>
              <w:widowControl w:val="0"/>
              <w:autoSpaceDE w:val="0"/>
              <w:autoSpaceDN w:val="0"/>
              <w:adjustRightInd w:val="0"/>
              <w:jc w:val="both"/>
              <w:rPr>
                <w:sz w:val="20"/>
                <w:szCs w:val="20"/>
              </w:rPr>
            </w:pPr>
            <w:r w:rsidRPr="00773BBD">
              <w:rPr>
                <w:sz w:val="20"/>
                <w:szCs w:val="20"/>
              </w:rPr>
              <w:t>· Lugar y fecha.</w:t>
            </w:r>
          </w:p>
          <w:p w:rsidR="00FC33EC" w:rsidRPr="00773BBD" w:rsidRDefault="00FC33EC" w:rsidP="00274F6B">
            <w:pPr>
              <w:widowControl w:val="0"/>
              <w:autoSpaceDE w:val="0"/>
              <w:autoSpaceDN w:val="0"/>
              <w:adjustRightInd w:val="0"/>
              <w:jc w:val="both"/>
              <w:rPr>
                <w:sz w:val="20"/>
                <w:szCs w:val="20"/>
              </w:rPr>
            </w:pPr>
            <w:r w:rsidRPr="00773BBD">
              <w:rPr>
                <w:sz w:val="20"/>
                <w:szCs w:val="20"/>
              </w:rPr>
              <w:t>· Firmas del médico y persona que presta el consentimiento.</w:t>
            </w:r>
          </w:p>
          <w:p w:rsidR="00FC33EC" w:rsidRPr="00773BBD" w:rsidRDefault="00FC33EC" w:rsidP="00274F6B">
            <w:pPr>
              <w:jc w:val="both"/>
              <w:rPr>
                <w:sz w:val="20"/>
                <w:szCs w:val="20"/>
              </w:rPr>
            </w:pPr>
            <w:r w:rsidRPr="00773BBD">
              <w:rPr>
                <w:sz w:val="20"/>
                <w:szCs w:val="20"/>
              </w:rPr>
              <w:t>· Apartado para la revocación del consentimiento.</w:t>
            </w:r>
          </w:p>
          <w:p w:rsidR="00FC33EC" w:rsidRPr="00773BBD" w:rsidRDefault="00FC33EC" w:rsidP="00274F6B">
            <w:pPr>
              <w:rPr>
                <w:sz w:val="20"/>
                <w:szCs w:val="20"/>
              </w:rPr>
            </w:pPr>
          </w:p>
        </w:tc>
      </w:tr>
      <w:tr w:rsidR="00FC33EC" w:rsidRPr="00773BBD" w:rsidTr="00274F6B">
        <w:trPr>
          <w:trHeight w:val="546"/>
        </w:trPr>
        <w:tc>
          <w:tcPr>
            <w:tcW w:w="841" w:type="pct"/>
            <w:tcBorders>
              <w:top w:val="single" w:sz="4" w:space="0" w:color="auto"/>
              <w:left w:val="single" w:sz="4" w:space="0" w:color="auto"/>
              <w:bottom w:val="single" w:sz="4" w:space="0" w:color="auto"/>
              <w:right w:val="single" w:sz="4" w:space="0" w:color="auto"/>
            </w:tcBorders>
            <w:vAlign w:val="center"/>
          </w:tcPr>
          <w:p w:rsidR="00FC33EC" w:rsidRPr="00773BBD" w:rsidRDefault="00FC33EC" w:rsidP="00274F6B">
            <w:pPr>
              <w:spacing w:before="120"/>
              <w:rPr>
                <w:b/>
                <w:bCs/>
                <w:sz w:val="20"/>
                <w:szCs w:val="20"/>
              </w:rPr>
            </w:pPr>
            <w:r w:rsidRPr="00773BBD">
              <w:rPr>
                <w:b/>
                <w:bCs/>
                <w:sz w:val="20"/>
                <w:szCs w:val="20"/>
              </w:rPr>
              <w:t xml:space="preserve">Tipo de indicador </w:t>
            </w:r>
          </w:p>
        </w:tc>
        <w:tc>
          <w:tcPr>
            <w:tcW w:w="4159" w:type="pct"/>
            <w:tcBorders>
              <w:top w:val="single" w:sz="4" w:space="0" w:color="auto"/>
              <w:left w:val="single" w:sz="4" w:space="0" w:color="auto"/>
              <w:bottom w:val="single" w:sz="4" w:space="0" w:color="auto"/>
              <w:right w:val="single" w:sz="4" w:space="0" w:color="auto"/>
            </w:tcBorders>
            <w:vAlign w:val="center"/>
          </w:tcPr>
          <w:p w:rsidR="00FC33EC" w:rsidRPr="00773BBD" w:rsidRDefault="00FC33EC" w:rsidP="00274F6B">
            <w:pPr>
              <w:rPr>
                <w:sz w:val="20"/>
                <w:szCs w:val="20"/>
              </w:rPr>
            </w:pPr>
            <w:r w:rsidRPr="00773BBD">
              <w:rPr>
                <w:sz w:val="20"/>
                <w:szCs w:val="20"/>
              </w:rPr>
              <w:t>Proceso</w:t>
            </w:r>
          </w:p>
        </w:tc>
      </w:tr>
      <w:tr w:rsidR="00FC33EC" w:rsidRPr="00773BBD" w:rsidTr="00274F6B">
        <w:trPr>
          <w:trHeight w:val="799"/>
        </w:trPr>
        <w:tc>
          <w:tcPr>
            <w:tcW w:w="841" w:type="pct"/>
            <w:tcBorders>
              <w:top w:val="single" w:sz="4" w:space="0" w:color="auto"/>
              <w:left w:val="single" w:sz="4" w:space="0" w:color="auto"/>
              <w:bottom w:val="single" w:sz="4" w:space="0" w:color="auto"/>
              <w:right w:val="single" w:sz="4" w:space="0" w:color="auto"/>
            </w:tcBorders>
            <w:vAlign w:val="center"/>
          </w:tcPr>
          <w:p w:rsidR="00FC33EC" w:rsidRPr="00773BBD" w:rsidRDefault="00FC33EC" w:rsidP="00274F6B">
            <w:pPr>
              <w:rPr>
                <w:b/>
                <w:bCs/>
                <w:sz w:val="20"/>
                <w:szCs w:val="20"/>
              </w:rPr>
            </w:pPr>
            <w:r w:rsidRPr="00773BBD">
              <w:rPr>
                <w:b/>
                <w:bCs/>
                <w:sz w:val="20"/>
                <w:szCs w:val="20"/>
              </w:rPr>
              <w:t>Justificación</w:t>
            </w:r>
          </w:p>
        </w:tc>
        <w:tc>
          <w:tcPr>
            <w:tcW w:w="4159" w:type="pct"/>
            <w:tcBorders>
              <w:top w:val="single" w:sz="4" w:space="0" w:color="auto"/>
              <w:left w:val="single" w:sz="4" w:space="0" w:color="auto"/>
              <w:bottom w:val="single" w:sz="4" w:space="0" w:color="auto"/>
              <w:right w:val="single" w:sz="4" w:space="0" w:color="auto"/>
            </w:tcBorders>
            <w:vAlign w:val="center"/>
          </w:tcPr>
          <w:p w:rsidR="00FC33EC" w:rsidRPr="00773BBD" w:rsidRDefault="00FC33EC" w:rsidP="00274F6B">
            <w:pPr>
              <w:autoSpaceDE w:val="0"/>
              <w:autoSpaceDN w:val="0"/>
              <w:adjustRightInd w:val="0"/>
              <w:rPr>
                <w:rFonts w:eastAsia="Batang"/>
                <w:sz w:val="20"/>
                <w:szCs w:val="20"/>
                <w:lang w:eastAsia="ko-KR"/>
              </w:rPr>
            </w:pPr>
            <w:r w:rsidRPr="00773BBD">
              <w:rPr>
                <w:rFonts w:eastAsia="Batang"/>
                <w:sz w:val="20"/>
                <w:szCs w:val="20"/>
                <w:lang w:eastAsia="ko-KR"/>
              </w:rPr>
              <w:t xml:space="preserve">Según la Ley 41/2002 de Autonomía del Paciente, el Consentimiento Informado es la conformidad libre, voluntaria y consciente de un paciente, manifestada en el pleno uso de sus facultades después de recibir la información adecuada, para que tenga lugar una actuación que afecta a su salud. </w:t>
            </w:r>
          </w:p>
          <w:p w:rsidR="00FC33EC" w:rsidRPr="00773BBD" w:rsidRDefault="00FC33EC" w:rsidP="00274F6B">
            <w:pPr>
              <w:rPr>
                <w:sz w:val="20"/>
                <w:szCs w:val="20"/>
              </w:rPr>
            </w:pPr>
            <w:r w:rsidRPr="00773BBD">
              <w:rPr>
                <w:rFonts w:eastAsia="Batang"/>
                <w:sz w:val="20"/>
                <w:szCs w:val="20"/>
                <w:lang w:eastAsia="ko-KR"/>
              </w:rPr>
              <w:t>El Documento de Consentimiento Informado (DCI) es el soporte documental de este proceso, y trata de garantizar que la información más relevante ha sido  ofrecida por el médico y recibida por el paciente. Es una importante fuente de información, que complementa a la obtenida de forma oral, y que permite completar su proceso de toma de decisión.</w:t>
            </w:r>
          </w:p>
        </w:tc>
      </w:tr>
      <w:tr w:rsidR="00FC33EC" w:rsidRPr="00773BBD" w:rsidTr="00274F6B">
        <w:trPr>
          <w:trHeight w:val="428"/>
        </w:trPr>
        <w:tc>
          <w:tcPr>
            <w:tcW w:w="841" w:type="pct"/>
            <w:tcBorders>
              <w:top w:val="single" w:sz="4" w:space="0" w:color="auto"/>
              <w:left w:val="single" w:sz="4" w:space="0" w:color="auto"/>
              <w:bottom w:val="single" w:sz="4" w:space="0" w:color="auto"/>
              <w:right w:val="single" w:sz="4" w:space="0" w:color="auto"/>
            </w:tcBorders>
            <w:vAlign w:val="center"/>
          </w:tcPr>
          <w:p w:rsidR="00FC33EC" w:rsidRPr="00773BBD" w:rsidRDefault="00FC33EC" w:rsidP="00274F6B">
            <w:pPr>
              <w:rPr>
                <w:b/>
                <w:bCs/>
                <w:sz w:val="20"/>
                <w:szCs w:val="20"/>
              </w:rPr>
            </w:pPr>
            <w:r w:rsidRPr="00773BBD">
              <w:rPr>
                <w:b/>
                <w:bCs/>
                <w:sz w:val="20"/>
                <w:szCs w:val="20"/>
              </w:rPr>
              <w:t>Origen del indicador</w:t>
            </w:r>
          </w:p>
        </w:tc>
        <w:tc>
          <w:tcPr>
            <w:tcW w:w="4159" w:type="pct"/>
            <w:tcBorders>
              <w:top w:val="single" w:sz="4" w:space="0" w:color="auto"/>
              <w:left w:val="single" w:sz="4" w:space="0" w:color="auto"/>
              <w:bottom w:val="single" w:sz="4" w:space="0" w:color="auto"/>
              <w:right w:val="single" w:sz="4" w:space="0" w:color="auto"/>
            </w:tcBorders>
            <w:vAlign w:val="center"/>
          </w:tcPr>
          <w:p w:rsidR="00FC33EC" w:rsidRPr="00773BBD" w:rsidRDefault="00FC33EC" w:rsidP="00274F6B">
            <w:pPr>
              <w:rPr>
                <w:sz w:val="20"/>
                <w:szCs w:val="20"/>
              </w:rPr>
            </w:pPr>
            <w:r w:rsidRPr="00773BBD">
              <w:rPr>
                <w:sz w:val="20"/>
                <w:szCs w:val="20"/>
              </w:rPr>
              <w:t>Elaboración propia a partir de la legislación vigente</w:t>
            </w:r>
          </w:p>
        </w:tc>
      </w:tr>
      <w:tr w:rsidR="00FC33EC" w:rsidRPr="00773BBD" w:rsidTr="00274F6B">
        <w:trPr>
          <w:trHeight w:val="803"/>
        </w:trPr>
        <w:tc>
          <w:tcPr>
            <w:tcW w:w="841" w:type="pct"/>
            <w:tcBorders>
              <w:top w:val="single" w:sz="4" w:space="0" w:color="auto"/>
              <w:left w:val="single" w:sz="4" w:space="0" w:color="auto"/>
              <w:bottom w:val="single" w:sz="4" w:space="0" w:color="auto"/>
              <w:right w:val="single" w:sz="4" w:space="0" w:color="auto"/>
            </w:tcBorders>
            <w:vAlign w:val="center"/>
          </w:tcPr>
          <w:p w:rsidR="00FC33EC" w:rsidRPr="003C40AE" w:rsidRDefault="00FC33EC" w:rsidP="00274F6B">
            <w:pPr>
              <w:rPr>
                <w:b/>
                <w:bCs/>
                <w:sz w:val="20"/>
                <w:szCs w:val="20"/>
              </w:rPr>
            </w:pPr>
            <w:r w:rsidRPr="003C40AE">
              <w:rPr>
                <w:b/>
                <w:bCs/>
                <w:sz w:val="20"/>
                <w:szCs w:val="20"/>
              </w:rPr>
              <w:t>Referencias bibliográficas</w:t>
            </w:r>
          </w:p>
        </w:tc>
        <w:tc>
          <w:tcPr>
            <w:tcW w:w="4159" w:type="pct"/>
            <w:tcBorders>
              <w:top w:val="single" w:sz="4" w:space="0" w:color="auto"/>
              <w:left w:val="single" w:sz="4" w:space="0" w:color="auto"/>
              <w:bottom w:val="single" w:sz="4" w:space="0" w:color="auto"/>
              <w:right w:val="single" w:sz="4" w:space="0" w:color="auto"/>
            </w:tcBorders>
            <w:vAlign w:val="center"/>
          </w:tcPr>
          <w:p w:rsidR="00FC33EC" w:rsidRPr="003C40AE" w:rsidRDefault="00FC33EC" w:rsidP="00274F6B">
            <w:pPr>
              <w:pStyle w:val="Prrafodelista1"/>
              <w:spacing w:after="120"/>
              <w:ind w:left="0"/>
              <w:jc w:val="both"/>
              <w:rPr>
                <w:vertAlign w:val="superscript"/>
                <w:lang w:val="es-ES"/>
              </w:rPr>
            </w:pPr>
            <w:r w:rsidRPr="003C40AE">
              <w:rPr>
                <w:rFonts w:eastAsia="Batang"/>
                <w:sz w:val="20"/>
                <w:szCs w:val="20"/>
                <w:lang w:eastAsia="ko-KR"/>
              </w:rPr>
              <w:t>•</w:t>
            </w:r>
            <w:r w:rsidRPr="00CB6ACA">
              <w:rPr>
                <w:rFonts w:eastAsia="Batang"/>
                <w:lang w:eastAsia="ko-KR"/>
              </w:rPr>
              <w:t xml:space="preserve"> Ley 41/2002, de 14 de Noviembre, Básica reguladora de la Autonomía del Paciente y de Derechos y Obligaciones en materia de Información y  Documentación Clínica. Boletín Oficial del Estado nº 274; 2002.</w:t>
            </w:r>
            <w:r>
              <w:rPr>
                <w:rFonts w:eastAsia="Batang"/>
                <w:vertAlign w:val="superscript"/>
                <w:lang w:eastAsia="ko-KR"/>
              </w:rPr>
              <w:t>15</w:t>
            </w:r>
            <w:r w:rsidR="008A1121">
              <w:rPr>
                <w:rFonts w:eastAsia="Batang"/>
                <w:vertAlign w:val="superscript"/>
                <w:lang w:eastAsia="ko-KR"/>
              </w:rPr>
              <w:t>7</w:t>
            </w:r>
          </w:p>
          <w:p w:rsidR="00FC33EC" w:rsidRPr="003C40AE" w:rsidRDefault="00FC33EC" w:rsidP="00274F6B">
            <w:pPr>
              <w:rPr>
                <w:sz w:val="20"/>
                <w:szCs w:val="20"/>
              </w:rPr>
            </w:pPr>
          </w:p>
        </w:tc>
      </w:tr>
    </w:tbl>
    <w:p w:rsidR="00FC33EC" w:rsidRDefault="00FC33EC" w:rsidP="00FC33EC">
      <w:pPr>
        <w:pStyle w:val="Textodebloque"/>
        <w:spacing w:line="240" w:lineRule="auto"/>
        <w:ind w:left="360" w:firstLine="348"/>
        <w:rPr>
          <w:b w:val="0"/>
          <w:bCs w:val="0"/>
          <w:sz w:val="24"/>
          <w:szCs w:val="24"/>
        </w:rPr>
      </w:pPr>
    </w:p>
    <w:p w:rsidR="00FC33EC" w:rsidRDefault="00FC33EC" w:rsidP="00FC33EC">
      <w:pPr>
        <w:pStyle w:val="Textodebloque"/>
        <w:spacing w:line="240" w:lineRule="auto"/>
        <w:ind w:firstLine="141"/>
        <w:rPr>
          <w:b w:val="0"/>
          <w:bCs w:val="0"/>
          <w:sz w:val="24"/>
          <w:szCs w:val="24"/>
        </w:rPr>
      </w:pPr>
    </w:p>
    <w:tbl>
      <w:tblPr>
        <w:tblW w:w="500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01"/>
        <w:gridCol w:w="5946"/>
      </w:tblGrid>
      <w:tr w:rsidR="00FC33EC" w:rsidRPr="000830E7" w:rsidTr="00274F6B">
        <w:trPr>
          <w:trHeight w:val="69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sidRPr="000830E7">
              <w:rPr>
                <w:b/>
                <w:bCs/>
                <w:sz w:val="20"/>
                <w:szCs w:val="20"/>
              </w:rPr>
              <w:t>Adecuación de la prescripción de profilaxis antibiótica</w:t>
            </w:r>
          </w:p>
        </w:tc>
      </w:tr>
      <w:tr w:rsidR="00FC33EC" w:rsidRPr="000830E7" w:rsidTr="00274F6B">
        <w:trPr>
          <w:trHeight w:val="52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Fórmula</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rPr>
            </w:pPr>
            <w:r w:rsidRPr="000830E7">
              <w:rPr>
                <w:rFonts w:eastAsia="Batang"/>
                <w:sz w:val="20"/>
                <w:szCs w:val="20"/>
                <w:lang w:eastAsia="ko-KR"/>
              </w:rPr>
              <w:t>Pacientes intervenidos de tiroidectomía con adecuada prescripción de profilaxis antibiótica x100/</w:t>
            </w:r>
            <w:r>
              <w:rPr>
                <w:rFonts w:eastAsia="Batang"/>
                <w:sz w:val="20"/>
                <w:szCs w:val="20"/>
                <w:lang w:eastAsia="ko-KR"/>
              </w:rPr>
              <w:t xml:space="preserve"> </w:t>
            </w:r>
            <w:r w:rsidRPr="000830E7">
              <w:rPr>
                <w:rFonts w:eastAsia="Batang"/>
                <w:sz w:val="20"/>
                <w:szCs w:val="20"/>
                <w:lang w:eastAsia="ko-KR"/>
              </w:rPr>
              <w:t>Pacientes intervenidos de tiroidectomía</w:t>
            </w:r>
          </w:p>
        </w:tc>
      </w:tr>
      <w:tr w:rsidR="00FC33EC" w:rsidRPr="000830E7" w:rsidTr="00274F6B">
        <w:trPr>
          <w:trHeight w:val="588"/>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after="120"/>
              <w:rPr>
                <w:b/>
                <w:bCs/>
                <w:sz w:val="20"/>
                <w:szCs w:val="20"/>
              </w:rPr>
            </w:pPr>
            <w:r w:rsidRPr="000830E7">
              <w:rPr>
                <w:b/>
                <w:bCs/>
                <w:sz w:val="20"/>
                <w:szCs w:val="20"/>
              </w:rPr>
              <w:t>Exclusiones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rPr>
            </w:pPr>
            <w:r w:rsidRPr="000830E7">
              <w:rPr>
                <w:rFonts w:eastAsia="Batang"/>
                <w:sz w:val="20"/>
                <w:szCs w:val="20"/>
                <w:lang w:eastAsia="ko-KR"/>
              </w:rPr>
              <w:t>• Pacientes con diagnóstico principal sugestivo de enfermedad</w:t>
            </w:r>
            <w:r>
              <w:rPr>
                <w:rFonts w:eastAsia="Batang"/>
                <w:sz w:val="20"/>
                <w:szCs w:val="20"/>
                <w:lang w:eastAsia="ko-KR"/>
              </w:rPr>
              <w:t xml:space="preserve"> </w:t>
            </w:r>
            <w:r w:rsidRPr="000830E7">
              <w:rPr>
                <w:rFonts w:eastAsia="Batang"/>
                <w:sz w:val="20"/>
                <w:szCs w:val="20"/>
                <w:lang w:eastAsia="ko-KR"/>
              </w:rPr>
              <w:t xml:space="preserve">infecciosa </w:t>
            </w:r>
            <w:r>
              <w:rPr>
                <w:rFonts w:eastAsia="Batang"/>
                <w:sz w:val="20"/>
                <w:szCs w:val="20"/>
                <w:lang w:eastAsia="ko-KR"/>
              </w:rPr>
              <w:t xml:space="preserve"> </w:t>
            </w:r>
            <w:r w:rsidRPr="000830E7">
              <w:rPr>
                <w:rFonts w:eastAsia="Batang"/>
                <w:sz w:val="20"/>
                <w:szCs w:val="20"/>
                <w:lang w:eastAsia="ko-KR"/>
              </w:rPr>
              <w:t>preoperatoria.</w:t>
            </w:r>
          </w:p>
        </w:tc>
      </w:tr>
      <w:tr w:rsidR="00FC33EC" w:rsidRPr="000830E7" w:rsidTr="00274F6B">
        <w:trPr>
          <w:trHeight w:val="1121"/>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Aclaraciones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FC33EC">
            <w:pPr>
              <w:pStyle w:val="Textodebloque"/>
              <w:numPr>
                <w:ilvl w:val="0"/>
                <w:numId w:val="10"/>
              </w:numPr>
              <w:spacing w:line="240" w:lineRule="auto"/>
              <w:rPr>
                <w:b w:val="0"/>
                <w:bCs w:val="0"/>
                <w:sz w:val="20"/>
                <w:szCs w:val="20"/>
              </w:rPr>
            </w:pPr>
            <w:r w:rsidRPr="000830E7">
              <w:rPr>
                <w:b w:val="0"/>
                <w:bCs w:val="0"/>
                <w:sz w:val="20"/>
                <w:szCs w:val="20"/>
              </w:rPr>
              <w:t>No necesaria en general.</w:t>
            </w:r>
          </w:p>
          <w:p w:rsidR="00FC33EC" w:rsidRPr="000830E7" w:rsidRDefault="00FC33EC" w:rsidP="00FC33EC">
            <w:pPr>
              <w:pStyle w:val="Textodebloque"/>
              <w:numPr>
                <w:ilvl w:val="0"/>
                <w:numId w:val="10"/>
              </w:numPr>
              <w:spacing w:line="240" w:lineRule="auto"/>
              <w:rPr>
                <w:b w:val="0"/>
                <w:bCs w:val="0"/>
                <w:sz w:val="20"/>
                <w:szCs w:val="20"/>
              </w:rPr>
            </w:pPr>
            <w:r>
              <w:rPr>
                <w:b w:val="0"/>
                <w:bCs w:val="0"/>
                <w:sz w:val="20"/>
                <w:szCs w:val="20"/>
              </w:rPr>
              <w:t xml:space="preserve">Indicado </w:t>
            </w:r>
            <w:r w:rsidRPr="000830E7">
              <w:rPr>
                <w:b w:val="0"/>
                <w:bCs w:val="0"/>
                <w:sz w:val="20"/>
                <w:szCs w:val="20"/>
              </w:rPr>
              <w:t>si</w:t>
            </w:r>
            <w:r>
              <w:rPr>
                <w:b w:val="0"/>
                <w:bCs w:val="0"/>
                <w:sz w:val="20"/>
                <w:szCs w:val="20"/>
              </w:rPr>
              <w:t xml:space="preserve"> hay</w:t>
            </w:r>
            <w:r w:rsidRPr="000830E7">
              <w:rPr>
                <w:b w:val="0"/>
                <w:bCs w:val="0"/>
                <w:sz w:val="20"/>
                <w:szCs w:val="20"/>
              </w:rPr>
              <w:t xml:space="preserve"> factores de riesgo asociados: obesidad, inmunodepresión, cirugía prolongada, adición</w:t>
            </w:r>
            <w:r>
              <w:rPr>
                <w:b w:val="0"/>
                <w:bCs w:val="0"/>
                <w:sz w:val="20"/>
                <w:szCs w:val="20"/>
              </w:rPr>
              <w:t xml:space="preserve"> de vaciamiento ganglionar.</w:t>
            </w:r>
          </w:p>
          <w:p w:rsidR="00FC33EC" w:rsidRPr="000830E7" w:rsidRDefault="00FC33EC" w:rsidP="00FC33EC">
            <w:pPr>
              <w:numPr>
                <w:ilvl w:val="0"/>
                <w:numId w:val="10"/>
              </w:numPr>
              <w:autoSpaceDE w:val="0"/>
              <w:autoSpaceDN w:val="0"/>
              <w:adjustRightInd w:val="0"/>
              <w:rPr>
                <w:rFonts w:eastAsia="Batang"/>
                <w:sz w:val="20"/>
                <w:szCs w:val="20"/>
                <w:lang w:eastAsia="ko-KR"/>
              </w:rPr>
            </w:pPr>
            <w:r w:rsidRPr="000830E7">
              <w:rPr>
                <w:rFonts w:eastAsia="Batang"/>
                <w:sz w:val="20"/>
                <w:szCs w:val="20"/>
                <w:lang w:eastAsia="ko-KR"/>
              </w:rPr>
              <w:t>Se considera cumplimiento cuando existe una razón documentada de prescripción.</w:t>
            </w:r>
          </w:p>
          <w:p w:rsidR="00FC33EC" w:rsidRPr="000830E7" w:rsidRDefault="00FC33EC" w:rsidP="00274F6B">
            <w:pPr>
              <w:pStyle w:val="Textodebloque"/>
              <w:spacing w:line="240" w:lineRule="auto"/>
              <w:ind w:left="0"/>
              <w:rPr>
                <w:sz w:val="20"/>
                <w:szCs w:val="20"/>
              </w:rPr>
            </w:pPr>
          </w:p>
        </w:tc>
      </w:tr>
      <w:tr w:rsidR="00FC33EC" w:rsidRPr="000830E7" w:rsidTr="00274F6B">
        <w:trPr>
          <w:trHeight w:val="703"/>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lastRenderedPageBreak/>
              <w:t xml:space="preserve">Tipo de indicador </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rPr>
            </w:pPr>
            <w:r w:rsidRPr="000830E7">
              <w:rPr>
                <w:sz w:val="20"/>
                <w:szCs w:val="20"/>
              </w:rPr>
              <w:t>Proceso</w:t>
            </w:r>
          </w:p>
        </w:tc>
      </w:tr>
      <w:tr w:rsidR="00FC33EC" w:rsidRPr="00464173" w:rsidTr="00274F6B">
        <w:trPr>
          <w:trHeight w:val="541"/>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sidRPr="000830E7">
              <w:rPr>
                <w:b/>
                <w:bCs/>
                <w:sz w:val="20"/>
                <w:szCs w:val="20"/>
              </w:rPr>
              <w:t>Origen del indicador</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lang w:val="fr-FR"/>
              </w:rPr>
            </w:pPr>
            <w:proofErr w:type="spellStart"/>
            <w:r w:rsidRPr="000830E7">
              <w:rPr>
                <w:rFonts w:eastAsia="Batang"/>
                <w:sz w:val="20"/>
                <w:szCs w:val="20"/>
                <w:lang w:val="fr-FR" w:eastAsia="ko-KR"/>
              </w:rPr>
              <w:t>Adaptado</w:t>
            </w:r>
            <w:proofErr w:type="spellEnd"/>
            <w:r w:rsidRPr="000830E7">
              <w:rPr>
                <w:rFonts w:eastAsia="Batang"/>
                <w:sz w:val="20"/>
                <w:szCs w:val="20"/>
                <w:lang w:val="fr-FR" w:eastAsia="ko-KR"/>
              </w:rPr>
              <w:t xml:space="preserve"> de la Joint Commission</w:t>
            </w:r>
          </w:p>
        </w:tc>
      </w:tr>
      <w:tr w:rsidR="00FC33EC" w:rsidRPr="000830E7" w:rsidTr="00274F6B">
        <w:trPr>
          <w:trHeight w:val="163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3C40AE" w:rsidRDefault="00FC33EC" w:rsidP="00274F6B">
            <w:pPr>
              <w:rPr>
                <w:b/>
                <w:bCs/>
                <w:sz w:val="20"/>
                <w:szCs w:val="20"/>
              </w:rPr>
            </w:pPr>
            <w:r w:rsidRPr="003C40AE">
              <w:rPr>
                <w:b/>
                <w:bCs/>
                <w:sz w:val="20"/>
                <w:szCs w:val="20"/>
              </w:rPr>
              <w:t>Referencias bibliográficas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827666" w:rsidRDefault="00FC33EC" w:rsidP="00274F6B">
            <w:pPr>
              <w:autoSpaceDE w:val="0"/>
              <w:autoSpaceDN w:val="0"/>
              <w:adjustRightInd w:val="0"/>
              <w:rPr>
                <w:rFonts w:eastAsia="Batang"/>
                <w:sz w:val="20"/>
                <w:szCs w:val="20"/>
                <w:lang w:val="en-GB" w:eastAsia="ko-KR"/>
              </w:rPr>
            </w:pPr>
            <w:r w:rsidRPr="00C73C1C">
              <w:rPr>
                <w:color w:val="FF0000"/>
                <w:sz w:val="20"/>
                <w:szCs w:val="20"/>
                <w:lang w:val="en-US"/>
              </w:rPr>
              <w:t xml:space="preserve">. </w:t>
            </w:r>
            <w:r w:rsidRPr="000830E7">
              <w:rPr>
                <w:rFonts w:eastAsia="Batang"/>
                <w:sz w:val="20"/>
                <w:szCs w:val="20"/>
                <w:lang w:val="en-GB" w:eastAsia="ko-KR"/>
              </w:rPr>
              <w:t>• Joint Commission Specifications Manual for National Hospital Inpatient Quality Measures Discharges 04-01-11 (2Q11) through 12-31-11 (4Q11) SCIP-Inf-1a-2h</w:t>
            </w:r>
            <w:r>
              <w:rPr>
                <w:rFonts w:eastAsia="Batang"/>
                <w:sz w:val="20"/>
                <w:szCs w:val="20"/>
                <w:vertAlign w:val="superscript"/>
                <w:lang w:val="en-GB" w:eastAsia="ko-KR"/>
              </w:rPr>
              <w:t>34</w:t>
            </w:r>
            <w:r>
              <w:rPr>
                <w:rFonts w:eastAsia="Batang"/>
                <w:sz w:val="20"/>
                <w:szCs w:val="20"/>
                <w:lang w:val="en-GB" w:eastAsia="ko-KR"/>
              </w:rPr>
              <w:t>.</w:t>
            </w:r>
          </w:p>
          <w:p w:rsidR="00FC33EC" w:rsidRPr="003C40AE" w:rsidRDefault="00FC33EC" w:rsidP="00274F6B">
            <w:pPr>
              <w:pStyle w:val="Prrafodelista1"/>
              <w:spacing w:after="120"/>
              <w:ind w:left="0"/>
              <w:jc w:val="both"/>
              <w:rPr>
                <w:sz w:val="20"/>
                <w:szCs w:val="20"/>
                <w:vertAlign w:val="superscript"/>
                <w:lang w:val="en-US"/>
              </w:rPr>
            </w:pPr>
            <w:r w:rsidRPr="000830E7">
              <w:rPr>
                <w:sz w:val="20"/>
                <w:szCs w:val="20"/>
                <w:lang w:val="en-US"/>
              </w:rPr>
              <w:t xml:space="preserve">. Scottish Intercollegiate Guidelines Network. “Antibiotic Prophylaxis in </w:t>
            </w:r>
            <w:proofErr w:type="spellStart"/>
            <w:r w:rsidRPr="000830E7">
              <w:rPr>
                <w:sz w:val="20"/>
                <w:szCs w:val="20"/>
                <w:lang w:val="en-US"/>
              </w:rPr>
              <w:t>Surgery.A</w:t>
            </w:r>
            <w:proofErr w:type="spellEnd"/>
            <w:r w:rsidRPr="000830E7">
              <w:rPr>
                <w:sz w:val="20"/>
                <w:szCs w:val="20"/>
                <w:lang w:val="en-US"/>
              </w:rPr>
              <w:t xml:space="preserve"> national clinical guideline.” July 2008</w:t>
            </w:r>
            <w:r>
              <w:rPr>
                <w:sz w:val="20"/>
                <w:szCs w:val="20"/>
                <w:vertAlign w:val="superscript"/>
                <w:lang w:val="en-US"/>
              </w:rPr>
              <w:t>35</w:t>
            </w:r>
            <w:r w:rsidRPr="000830E7">
              <w:rPr>
                <w:sz w:val="20"/>
                <w:szCs w:val="20"/>
                <w:lang w:val="en-US"/>
              </w:rPr>
              <w:t>.</w:t>
            </w:r>
          </w:p>
          <w:p w:rsidR="00FC33EC" w:rsidRPr="003C40AE" w:rsidRDefault="00FC33EC" w:rsidP="00274F6B">
            <w:pPr>
              <w:pStyle w:val="Prrafodelista1"/>
              <w:spacing w:after="120"/>
              <w:ind w:left="0"/>
              <w:jc w:val="both"/>
              <w:rPr>
                <w:sz w:val="20"/>
                <w:szCs w:val="20"/>
                <w:vertAlign w:val="superscript"/>
                <w:lang w:val="en-US"/>
              </w:rPr>
            </w:pPr>
            <w:r w:rsidRPr="000830E7">
              <w:rPr>
                <w:sz w:val="20"/>
                <w:szCs w:val="20"/>
                <w:lang w:val="en-US"/>
              </w:rPr>
              <w:t xml:space="preserve">. Johnson JT, Wagner RL. Infection following uncontaminated head and neck </w:t>
            </w:r>
            <w:proofErr w:type="spellStart"/>
            <w:r w:rsidRPr="000830E7">
              <w:rPr>
                <w:sz w:val="20"/>
                <w:szCs w:val="20"/>
                <w:lang w:val="en-US"/>
              </w:rPr>
              <w:t>surgery.Arch</w:t>
            </w:r>
            <w:proofErr w:type="spellEnd"/>
            <w:r w:rsidRPr="000830E7">
              <w:rPr>
                <w:sz w:val="20"/>
                <w:szCs w:val="20"/>
                <w:lang w:val="en-US"/>
              </w:rPr>
              <w:t xml:space="preserve"> </w:t>
            </w:r>
            <w:proofErr w:type="spellStart"/>
            <w:r w:rsidRPr="000830E7">
              <w:rPr>
                <w:sz w:val="20"/>
                <w:szCs w:val="20"/>
                <w:lang w:val="en-US"/>
              </w:rPr>
              <w:t>Otolaryngol</w:t>
            </w:r>
            <w:proofErr w:type="spellEnd"/>
            <w:r w:rsidRPr="000830E7">
              <w:rPr>
                <w:sz w:val="20"/>
                <w:szCs w:val="20"/>
                <w:lang w:val="en-US"/>
              </w:rPr>
              <w:t xml:space="preserve"> Head Neck </w:t>
            </w:r>
            <w:proofErr w:type="spellStart"/>
            <w:r w:rsidRPr="000830E7">
              <w:rPr>
                <w:sz w:val="20"/>
                <w:szCs w:val="20"/>
                <w:lang w:val="en-US"/>
              </w:rPr>
              <w:t>Surg</w:t>
            </w:r>
            <w:proofErr w:type="spellEnd"/>
            <w:r w:rsidRPr="000830E7">
              <w:rPr>
                <w:sz w:val="20"/>
                <w:szCs w:val="20"/>
                <w:lang w:val="en-US"/>
              </w:rPr>
              <w:t xml:space="preserve"> 1987; 113: 368-9</w:t>
            </w:r>
            <w:r>
              <w:rPr>
                <w:sz w:val="20"/>
                <w:szCs w:val="20"/>
                <w:vertAlign w:val="superscript"/>
                <w:lang w:val="en-US"/>
              </w:rPr>
              <w:t>36</w:t>
            </w:r>
            <w:r w:rsidRPr="000830E7">
              <w:rPr>
                <w:sz w:val="20"/>
                <w:szCs w:val="20"/>
                <w:lang w:val="en-US"/>
              </w:rPr>
              <w:t>.</w:t>
            </w:r>
          </w:p>
          <w:p w:rsidR="00FC33EC" w:rsidRPr="003C40AE" w:rsidRDefault="00FC33EC" w:rsidP="00274F6B">
            <w:pPr>
              <w:pStyle w:val="Prrafodelista1"/>
              <w:spacing w:after="120"/>
              <w:ind w:left="0"/>
              <w:jc w:val="both"/>
              <w:rPr>
                <w:sz w:val="20"/>
                <w:szCs w:val="20"/>
                <w:vertAlign w:val="superscript"/>
                <w:lang w:val="en-US"/>
              </w:rPr>
            </w:pPr>
            <w:r w:rsidRPr="000830E7">
              <w:rPr>
                <w:sz w:val="20"/>
                <w:szCs w:val="20"/>
                <w:lang w:val="en-US"/>
              </w:rPr>
              <w:t xml:space="preserve">. </w:t>
            </w:r>
            <w:proofErr w:type="spellStart"/>
            <w:r w:rsidRPr="000830E7">
              <w:rPr>
                <w:sz w:val="20"/>
                <w:szCs w:val="20"/>
                <w:lang w:val="en-US"/>
              </w:rPr>
              <w:t>Simo</w:t>
            </w:r>
            <w:proofErr w:type="spellEnd"/>
            <w:r w:rsidRPr="000830E7">
              <w:rPr>
                <w:sz w:val="20"/>
                <w:szCs w:val="20"/>
                <w:lang w:val="en-US"/>
              </w:rPr>
              <w:t xml:space="preserve"> R, French G. The use of prophylactic antibiotics in head and neck </w:t>
            </w:r>
            <w:proofErr w:type="spellStart"/>
            <w:r w:rsidRPr="000830E7">
              <w:rPr>
                <w:sz w:val="20"/>
                <w:szCs w:val="20"/>
                <w:lang w:val="en-US"/>
              </w:rPr>
              <w:t>oncological</w:t>
            </w:r>
            <w:proofErr w:type="spellEnd"/>
            <w:r w:rsidRPr="000830E7">
              <w:rPr>
                <w:sz w:val="20"/>
                <w:szCs w:val="20"/>
                <w:lang w:val="en-US"/>
              </w:rPr>
              <w:t xml:space="preserve"> surgery.</w:t>
            </w:r>
            <w:r>
              <w:rPr>
                <w:sz w:val="20"/>
                <w:szCs w:val="20"/>
                <w:lang w:val="en-US"/>
              </w:rPr>
              <w:t xml:space="preserve"> </w:t>
            </w:r>
            <w:proofErr w:type="spellStart"/>
            <w:r w:rsidRPr="000830E7">
              <w:rPr>
                <w:sz w:val="20"/>
                <w:szCs w:val="20"/>
                <w:lang w:val="en-US"/>
              </w:rPr>
              <w:t>Curr</w:t>
            </w:r>
            <w:proofErr w:type="spellEnd"/>
            <w:r>
              <w:rPr>
                <w:sz w:val="20"/>
                <w:szCs w:val="20"/>
                <w:lang w:val="en-US"/>
              </w:rPr>
              <w:t xml:space="preserve"> </w:t>
            </w:r>
            <w:proofErr w:type="spellStart"/>
            <w:r w:rsidRPr="000830E7">
              <w:rPr>
                <w:sz w:val="20"/>
                <w:szCs w:val="20"/>
                <w:lang w:val="en-US"/>
              </w:rPr>
              <w:t>Opin</w:t>
            </w:r>
            <w:proofErr w:type="spellEnd"/>
            <w:r w:rsidRPr="000830E7">
              <w:rPr>
                <w:sz w:val="20"/>
                <w:szCs w:val="20"/>
                <w:lang w:val="en-US"/>
              </w:rPr>
              <w:t xml:space="preserve"> </w:t>
            </w:r>
            <w:proofErr w:type="spellStart"/>
            <w:r w:rsidRPr="000830E7">
              <w:rPr>
                <w:sz w:val="20"/>
                <w:szCs w:val="20"/>
                <w:lang w:val="en-US"/>
              </w:rPr>
              <w:t>Otolaryngol</w:t>
            </w:r>
            <w:proofErr w:type="spellEnd"/>
            <w:r w:rsidRPr="000830E7">
              <w:rPr>
                <w:sz w:val="20"/>
                <w:szCs w:val="20"/>
                <w:lang w:val="en-US"/>
              </w:rPr>
              <w:t xml:space="preserve"> Head Neck </w:t>
            </w:r>
            <w:proofErr w:type="spellStart"/>
            <w:r w:rsidRPr="000830E7">
              <w:rPr>
                <w:sz w:val="20"/>
                <w:szCs w:val="20"/>
                <w:lang w:val="en-US"/>
              </w:rPr>
              <w:t>Surg</w:t>
            </w:r>
            <w:proofErr w:type="spellEnd"/>
            <w:r w:rsidRPr="000830E7">
              <w:rPr>
                <w:sz w:val="20"/>
                <w:szCs w:val="20"/>
                <w:lang w:val="en-US"/>
              </w:rPr>
              <w:t xml:space="preserve"> 2006; 14: 55-61</w:t>
            </w:r>
            <w:r>
              <w:rPr>
                <w:sz w:val="20"/>
                <w:szCs w:val="20"/>
                <w:vertAlign w:val="superscript"/>
                <w:lang w:val="en-US"/>
              </w:rPr>
              <w:t>37</w:t>
            </w:r>
            <w:r w:rsidRPr="000830E7">
              <w:rPr>
                <w:sz w:val="20"/>
                <w:szCs w:val="20"/>
                <w:lang w:val="en-US"/>
              </w:rPr>
              <w:t>.</w:t>
            </w:r>
          </w:p>
          <w:p w:rsidR="00FC33EC" w:rsidRPr="003C40AE" w:rsidRDefault="00FC33EC" w:rsidP="00274F6B">
            <w:pPr>
              <w:pStyle w:val="Prrafodelista1"/>
              <w:spacing w:after="120"/>
              <w:ind w:left="0"/>
              <w:jc w:val="both"/>
              <w:rPr>
                <w:sz w:val="20"/>
                <w:szCs w:val="20"/>
                <w:vertAlign w:val="superscript"/>
                <w:lang w:val="en-US"/>
              </w:rPr>
            </w:pPr>
            <w:r w:rsidRPr="000830E7">
              <w:rPr>
                <w:sz w:val="20"/>
                <w:szCs w:val="20"/>
                <w:lang w:val="en-US"/>
              </w:rPr>
              <w:t xml:space="preserve">. Surgical Site Infection. Prevention and treatment of surgical site </w:t>
            </w:r>
            <w:proofErr w:type="spellStart"/>
            <w:r w:rsidRPr="000830E7">
              <w:rPr>
                <w:sz w:val="20"/>
                <w:szCs w:val="20"/>
                <w:lang w:val="en-US"/>
              </w:rPr>
              <w:t>infection.Clinical</w:t>
            </w:r>
            <w:proofErr w:type="spellEnd"/>
            <w:r w:rsidRPr="000830E7">
              <w:rPr>
                <w:sz w:val="20"/>
                <w:szCs w:val="20"/>
                <w:lang w:val="en-US"/>
              </w:rPr>
              <w:t xml:space="preserve"> guideline. National Collaborating Centre for women’s and children’s health. </w:t>
            </w:r>
            <w:proofErr w:type="spellStart"/>
            <w:r w:rsidRPr="000830E7">
              <w:rPr>
                <w:sz w:val="20"/>
                <w:szCs w:val="20"/>
                <w:lang w:val="en-US"/>
              </w:rPr>
              <w:t>Comissioned</w:t>
            </w:r>
            <w:proofErr w:type="spellEnd"/>
            <w:r w:rsidRPr="000830E7">
              <w:rPr>
                <w:sz w:val="20"/>
                <w:szCs w:val="20"/>
                <w:lang w:val="en-US"/>
              </w:rPr>
              <w:t xml:space="preserve"> by de National Institute for Health Clinical Excellence. October 2008</w:t>
            </w:r>
            <w:r>
              <w:rPr>
                <w:sz w:val="20"/>
                <w:szCs w:val="20"/>
                <w:vertAlign w:val="superscript"/>
                <w:lang w:val="en-US"/>
              </w:rPr>
              <w:t>38</w:t>
            </w:r>
            <w:r w:rsidRPr="000830E7">
              <w:rPr>
                <w:sz w:val="20"/>
                <w:szCs w:val="20"/>
                <w:lang w:val="en-US"/>
              </w:rPr>
              <w:t>.</w:t>
            </w:r>
          </w:p>
          <w:p w:rsidR="00FC33EC" w:rsidRPr="003C40AE" w:rsidRDefault="00FC33EC" w:rsidP="00274F6B">
            <w:pPr>
              <w:pStyle w:val="Prrafodelista1"/>
              <w:spacing w:after="120"/>
              <w:ind w:left="0"/>
              <w:jc w:val="both"/>
              <w:rPr>
                <w:sz w:val="20"/>
                <w:szCs w:val="20"/>
                <w:vertAlign w:val="superscript"/>
                <w:lang w:val="en-US"/>
              </w:rPr>
            </w:pPr>
            <w:r w:rsidRPr="000830E7">
              <w:rPr>
                <w:sz w:val="20"/>
                <w:szCs w:val="20"/>
                <w:lang w:val="en-US"/>
              </w:rPr>
              <w:t xml:space="preserve">. Seven H </w:t>
            </w:r>
            <w:proofErr w:type="spellStart"/>
            <w:r w:rsidRPr="000830E7">
              <w:rPr>
                <w:sz w:val="20"/>
                <w:szCs w:val="20"/>
                <w:lang w:val="en-US"/>
              </w:rPr>
              <w:t>Sayin</w:t>
            </w:r>
            <w:proofErr w:type="spellEnd"/>
            <w:r w:rsidRPr="000830E7">
              <w:rPr>
                <w:sz w:val="20"/>
                <w:szCs w:val="20"/>
                <w:lang w:val="en-US"/>
              </w:rPr>
              <w:t xml:space="preserve"> I, </w:t>
            </w:r>
            <w:proofErr w:type="spellStart"/>
            <w:r w:rsidRPr="000830E7">
              <w:rPr>
                <w:sz w:val="20"/>
                <w:szCs w:val="20"/>
                <w:lang w:val="en-US"/>
              </w:rPr>
              <w:t>Turgut</w:t>
            </w:r>
            <w:proofErr w:type="spellEnd"/>
            <w:r w:rsidRPr="000830E7">
              <w:rPr>
                <w:sz w:val="20"/>
                <w:szCs w:val="20"/>
                <w:lang w:val="en-US"/>
              </w:rPr>
              <w:t xml:space="preserve"> S. Antibiotic prophylaxis in clean neck </w:t>
            </w:r>
            <w:proofErr w:type="spellStart"/>
            <w:r w:rsidRPr="000830E7">
              <w:rPr>
                <w:sz w:val="20"/>
                <w:szCs w:val="20"/>
                <w:lang w:val="en-US"/>
              </w:rPr>
              <w:t>disecctions</w:t>
            </w:r>
            <w:proofErr w:type="spellEnd"/>
            <w:r w:rsidRPr="000830E7">
              <w:rPr>
                <w:sz w:val="20"/>
                <w:szCs w:val="20"/>
                <w:lang w:val="en-US"/>
              </w:rPr>
              <w:t xml:space="preserve">. J </w:t>
            </w:r>
            <w:proofErr w:type="spellStart"/>
            <w:r w:rsidRPr="000830E7">
              <w:rPr>
                <w:sz w:val="20"/>
                <w:szCs w:val="20"/>
                <w:lang w:val="en-US"/>
              </w:rPr>
              <w:t>LaryngolOtol</w:t>
            </w:r>
            <w:proofErr w:type="spellEnd"/>
            <w:r w:rsidRPr="000830E7">
              <w:rPr>
                <w:sz w:val="20"/>
                <w:szCs w:val="20"/>
                <w:lang w:val="en-US"/>
              </w:rPr>
              <w:t xml:space="preserve"> 2004; 118: 213-6</w:t>
            </w:r>
            <w:r>
              <w:rPr>
                <w:sz w:val="20"/>
                <w:szCs w:val="20"/>
                <w:vertAlign w:val="superscript"/>
                <w:lang w:val="en-US"/>
              </w:rPr>
              <w:t>39</w:t>
            </w:r>
            <w:r w:rsidRPr="000830E7">
              <w:rPr>
                <w:sz w:val="20"/>
                <w:szCs w:val="20"/>
                <w:lang w:val="en-US"/>
              </w:rPr>
              <w:t>.</w:t>
            </w:r>
          </w:p>
          <w:p w:rsidR="00FC33EC" w:rsidRPr="003C40AE" w:rsidRDefault="00FC33EC" w:rsidP="00274F6B">
            <w:pPr>
              <w:pStyle w:val="Prrafodelista1"/>
              <w:spacing w:after="120"/>
              <w:ind w:left="0"/>
              <w:jc w:val="both"/>
              <w:rPr>
                <w:sz w:val="20"/>
                <w:szCs w:val="20"/>
                <w:vertAlign w:val="superscript"/>
                <w:lang w:val="en-US"/>
              </w:rPr>
            </w:pPr>
            <w:r w:rsidRPr="000830E7">
              <w:rPr>
                <w:sz w:val="20"/>
                <w:szCs w:val="20"/>
                <w:lang w:val="en-US"/>
              </w:rPr>
              <w:t xml:space="preserve">. </w:t>
            </w:r>
            <w:proofErr w:type="spellStart"/>
            <w:r w:rsidRPr="000830E7">
              <w:rPr>
                <w:sz w:val="20"/>
                <w:szCs w:val="20"/>
                <w:lang w:val="en-US"/>
              </w:rPr>
              <w:t>Mangram</w:t>
            </w:r>
            <w:proofErr w:type="spellEnd"/>
            <w:r w:rsidRPr="000830E7">
              <w:rPr>
                <w:sz w:val="20"/>
                <w:szCs w:val="20"/>
                <w:lang w:val="en-US"/>
              </w:rPr>
              <w:t xml:space="preserve"> AJ, Horan TC, Pearson ML, Silver LC, Jarvis </w:t>
            </w:r>
            <w:proofErr w:type="spellStart"/>
            <w:r w:rsidRPr="000830E7">
              <w:rPr>
                <w:sz w:val="20"/>
                <w:szCs w:val="20"/>
                <w:lang w:val="en-US"/>
              </w:rPr>
              <w:t>WR.Guideline</w:t>
            </w:r>
            <w:proofErr w:type="spellEnd"/>
            <w:r w:rsidRPr="000830E7">
              <w:rPr>
                <w:sz w:val="20"/>
                <w:szCs w:val="20"/>
                <w:lang w:val="en-US"/>
              </w:rPr>
              <w:t xml:space="preserve"> for Prevention of Surgical Site Infection, 1999. Hospital Infection Control Practices Advisory Committee. </w:t>
            </w:r>
            <w:proofErr w:type="gramStart"/>
            <w:r w:rsidRPr="000830E7">
              <w:rPr>
                <w:sz w:val="20"/>
                <w:szCs w:val="20"/>
                <w:lang w:val="en-US"/>
              </w:rPr>
              <w:t>Am</w:t>
            </w:r>
            <w:proofErr w:type="gramEnd"/>
            <w:r w:rsidRPr="000830E7">
              <w:rPr>
                <w:sz w:val="20"/>
                <w:szCs w:val="20"/>
                <w:lang w:val="en-US"/>
              </w:rPr>
              <w:t xml:space="preserve"> J Infect Control 199</w:t>
            </w:r>
            <w:r>
              <w:rPr>
                <w:sz w:val="20"/>
                <w:szCs w:val="20"/>
                <w:lang w:val="en-US"/>
              </w:rPr>
              <w:t>9</w:t>
            </w:r>
            <w:r w:rsidRPr="000830E7">
              <w:rPr>
                <w:sz w:val="20"/>
                <w:szCs w:val="20"/>
                <w:lang w:val="en-US"/>
              </w:rPr>
              <w:t>; 27: 97-132</w:t>
            </w:r>
            <w:r>
              <w:rPr>
                <w:sz w:val="20"/>
                <w:szCs w:val="20"/>
                <w:vertAlign w:val="superscript"/>
                <w:lang w:val="en-US"/>
              </w:rPr>
              <w:t>40</w:t>
            </w:r>
            <w:r w:rsidRPr="000830E7">
              <w:rPr>
                <w:sz w:val="20"/>
                <w:szCs w:val="20"/>
                <w:lang w:val="en-US"/>
              </w:rPr>
              <w:t>.</w:t>
            </w:r>
          </w:p>
          <w:p w:rsidR="00FC33EC" w:rsidRPr="003C40AE" w:rsidRDefault="00FC33EC" w:rsidP="008A1121">
            <w:pPr>
              <w:rPr>
                <w:sz w:val="20"/>
                <w:szCs w:val="20"/>
                <w:vertAlign w:val="superscript"/>
              </w:rPr>
            </w:pPr>
            <w:r w:rsidRPr="000830E7">
              <w:rPr>
                <w:sz w:val="20"/>
                <w:szCs w:val="20"/>
                <w:lang w:val="en-US"/>
              </w:rPr>
              <w:t xml:space="preserve">. Anderson DJ, Sexton DJ. Overview of control measures to prevent surgical site infection. </w:t>
            </w:r>
            <w:r w:rsidRPr="000830E7">
              <w:rPr>
                <w:sz w:val="20"/>
                <w:szCs w:val="20"/>
              </w:rPr>
              <w:t xml:space="preserve">Disponible: </w:t>
            </w:r>
            <w:hyperlink r:id="rId5" w:history="1">
              <w:r w:rsidRPr="00BA7171">
                <w:rPr>
                  <w:rStyle w:val="Hipervnculo"/>
                  <w:sz w:val="20"/>
                  <w:szCs w:val="20"/>
                </w:rPr>
                <w:t>http://www.uptodate.com/contents</w:t>
              </w:r>
            </w:hyperlink>
            <w:r>
              <w:rPr>
                <w:sz w:val="20"/>
                <w:szCs w:val="20"/>
              </w:rPr>
              <w:t xml:space="preserve">. Descargado el 1 de </w:t>
            </w:r>
            <w:r w:rsidRPr="000830E7">
              <w:rPr>
                <w:sz w:val="20"/>
                <w:szCs w:val="20"/>
              </w:rPr>
              <w:t>Julio</w:t>
            </w:r>
            <w:r>
              <w:rPr>
                <w:sz w:val="20"/>
                <w:szCs w:val="20"/>
              </w:rPr>
              <w:t xml:space="preserve"> de</w:t>
            </w:r>
            <w:r w:rsidRPr="000830E7">
              <w:rPr>
                <w:sz w:val="20"/>
                <w:szCs w:val="20"/>
              </w:rPr>
              <w:t xml:space="preserve"> 2013</w:t>
            </w:r>
            <w:r>
              <w:rPr>
                <w:sz w:val="20"/>
                <w:szCs w:val="20"/>
                <w:vertAlign w:val="superscript"/>
              </w:rPr>
              <w:t>15</w:t>
            </w:r>
            <w:r w:rsidR="008A1121">
              <w:rPr>
                <w:sz w:val="20"/>
                <w:szCs w:val="20"/>
                <w:vertAlign w:val="superscript"/>
              </w:rPr>
              <w:t>8</w:t>
            </w:r>
            <w:r>
              <w:rPr>
                <w:sz w:val="20"/>
                <w:szCs w:val="20"/>
              </w:rPr>
              <w:t>.</w:t>
            </w:r>
          </w:p>
        </w:tc>
      </w:tr>
    </w:tbl>
    <w:p w:rsidR="00FC33EC" w:rsidRDefault="00FC33EC" w:rsidP="00FC33EC">
      <w:pPr>
        <w:pStyle w:val="Textodebloque"/>
        <w:spacing w:line="240" w:lineRule="auto"/>
        <w:ind w:firstLine="141"/>
        <w:rPr>
          <w:b w:val="0"/>
          <w:bCs w:val="0"/>
          <w:sz w:val="24"/>
          <w:szCs w:val="24"/>
        </w:rPr>
      </w:pPr>
    </w:p>
    <w:p w:rsidR="00FC33EC" w:rsidRPr="00240B13" w:rsidRDefault="00FC33EC" w:rsidP="00FC33EC">
      <w:pPr>
        <w:pStyle w:val="Textodebloque"/>
        <w:spacing w:line="240" w:lineRule="auto"/>
        <w:rPr>
          <w:b w:val="0"/>
          <w:bCs w:val="0"/>
          <w:sz w:val="24"/>
          <w:szCs w:val="24"/>
        </w:rPr>
      </w:pPr>
    </w:p>
    <w:tbl>
      <w:tblPr>
        <w:tblW w:w="500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01"/>
        <w:gridCol w:w="5946"/>
      </w:tblGrid>
      <w:tr w:rsidR="00FC33EC" w:rsidRPr="000830E7" w:rsidTr="00274F6B">
        <w:trPr>
          <w:trHeight w:val="69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Pr>
                <w:b/>
                <w:bCs/>
                <w:sz w:val="20"/>
                <w:szCs w:val="20"/>
              </w:rPr>
              <w:t>Pacientes con profilaxis antitrombótica correcta</w:t>
            </w:r>
          </w:p>
        </w:tc>
      </w:tr>
      <w:tr w:rsidR="00FC33EC" w:rsidRPr="000830E7" w:rsidTr="00274F6B">
        <w:trPr>
          <w:trHeight w:val="52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Fórmula</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rPr>
            </w:pPr>
            <w:r>
              <w:rPr>
                <w:sz w:val="20"/>
                <w:szCs w:val="20"/>
              </w:rPr>
              <w:t>Pacientes intervenidos de tiroidectomía con profilaxis antitrombótica correcta x 100 / pacientes intervenidos de tiroidectomía.</w:t>
            </w:r>
          </w:p>
        </w:tc>
      </w:tr>
      <w:tr w:rsidR="00FC33EC" w:rsidRPr="000830E7" w:rsidTr="00274F6B">
        <w:trPr>
          <w:trHeight w:val="463"/>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after="120"/>
              <w:rPr>
                <w:b/>
                <w:bCs/>
                <w:sz w:val="20"/>
                <w:szCs w:val="20"/>
              </w:rPr>
            </w:pPr>
            <w:r w:rsidRPr="000830E7">
              <w:rPr>
                <w:b/>
                <w:bCs/>
                <w:sz w:val="20"/>
                <w:szCs w:val="20"/>
              </w:rPr>
              <w:t>Exclusiones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rPr>
            </w:pPr>
            <w:r>
              <w:rPr>
                <w:sz w:val="20"/>
                <w:szCs w:val="20"/>
              </w:rPr>
              <w:t>Ninguna</w:t>
            </w:r>
          </w:p>
        </w:tc>
      </w:tr>
      <w:tr w:rsidR="00FC33EC" w:rsidRPr="000830E7" w:rsidTr="00274F6B">
        <w:trPr>
          <w:trHeight w:val="555"/>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Aclaraciones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BB545C" w:rsidRDefault="00FC33EC" w:rsidP="00FC33EC">
            <w:pPr>
              <w:pStyle w:val="Textodebloque"/>
              <w:numPr>
                <w:ilvl w:val="0"/>
                <w:numId w:val="13"/>
              </w:numPr>
              <w:spacing w:line="240" w:lineRule="auto"/>
              <w:rPr>
                <w:b w:val="0"/>
                <w:bCs w:val="0"/>
                <w:sz w:val="20"/>
                <w:szCs w:val="20"/>
              </w:rPr>
            </w:pPr>
            <w:r w:rsidRPr="00BB545C">
              <w:rPr>
                <w:b w:val="0"/>
                <w:bCs w:val="0"/>
                <w:sz w:val="20"/>
                <w:szCs w:val="20"/>
              </w:rPr>
              <w:t xml:space="preserve">Valoración del riesgo </w:t>
            </w:r>
            <w:proofErr w:type="spellStart"/>
            <w:r w:rsidRPr="00BB545C">
              <w:rPr>
                <w:b w:val="0"/>
                <w:bCs w:val="0"/>
                <w:sz w:val="20"/>
                <w:szCs w:val="20"/>
              </w:rPr>
              <w:t>tromboembólico</w:t>
            </w:r>
            <w:proofErr w:type="spellEnd"/>
            <w:r w:rsidRPr="00BB545C">
              <w:rPr>
                <w:b w:val="0"/>
                <w:bCs w:val="0"/>
                <w:sz w:val="20"/>
                <w:szCs w:val="20"/>
              </w:rPr>
              <w:t xml:space="preserve"> según escala de </w:t>
            </w:r>
            <w:proofErr w:type="spellStart"/>
            <w:r w:rsidRPr="00BB545C">
              <w:rPr>
                <w:b w:val="0"/>
                <w:bCs w:val="0"/>
                <w:sz w:val="20"/>
                <w:szCs w:val="20"/>
              </w:rPr>
              <w:t>Caprini</w:t>
            </w:r>
            <w:proofErr w:type="spellEnd"/>
            <w:r w:rsidRPr="00BB545C">
              <w:rPr>
                <w:b w:val="0"/>
                <w:bCs w:val="0"/>
                <w:sz w:val="20"/>
                <w:szCs w:val="20"/>
              </w:rPr>
              <w:t xml:space="preserve"> (</w:t>
            </w:r>
            <w:r>
              <w:rPr>
                <w:b w:val="0"/>
                <w:bCs w:val="0"/>
                <w:sz w:val="20"/>
                <w:szCs w:val="20"/>
              </w:rPr>
              <w:t>Material Suplementario 1, Tabla 2</w:t>
            </w:r>
            <w:r w:rsidRPr="00BB545C">
              <w:rPr>
                <w:b w:val="0"/>
                <w:bCs w:val="0"/>
                <w:sz w:val="20"/>
                <w:szCs w:val="20"/>
              </w:rPr>
              <w:t>)</w:t>
            </w:r>
            <w:r>
              <w:rPr>
                <w:b w:val="0"/>
                <w:bCs w:val="0"/>
                <w:sz w:val="20"/>
                <w:szCs w:val="20"/>
              </w:rPr>
              <w:t>.</w:t>
            </w:r>
          </w:p>
          <w:p w:rsidR="00FC33EC" w:rsidRPr="00BB545C" w:rsidRDefault="00FC33EC" w:rsidP="00274F6B">
            <w:pPr>
              <w:pStyle w:val="Textodebloque"/>
              <w:spacing w:line="240" w:lineRule="auto"/>
              <w:ind w:left="360"/>
              <w:rPr>
                <w:sz w:val="20"/>
                <w:szCs w:val="20"/>
              </w:rPr>
            </w:pPr>
          </w:p>
        </w:tc>
      </w:tr>
      <w:tr w:rsidR="00FC33EC" w:rsidRPr="000830E7" w:rsidTr="00274F6B">
        <w:trPr>
          <w:trHeight w:val="551"/>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 xml:space="preserve">Tipo de indicador </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BB545C" w:rsidRDefault="00FC33EC" w:rsidP="00274F6B">
            <w:pPr>
              <w:rPr>
                <w:sz w:val="20"/>
                <w:szCs w:val="20"/>
              </w:rPr>
            </w:pPr>
            <w:r w:rsidRPr="00BB545C">
              <w:rPr>
                <w:sz w:val="20"/>
                <w:szCs w:val="20"/>
              </w:rPr>
              <w:t>Proceso</w:t>
            </w:r>
          </w:p>
        </w:tc>
      </w:tr>
      <w:tr w:rsidR="00FC33EC" w:rsidRPr="000830E7" w:rsidTr="00274F6B">
        <w:trPr>
          <w:trHeight w:val="79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sidRPr="000830E7">
              <w:rPr>
                <w:b/>
                <w:bCs/>
                <w:sz w:val="20"/>
                <w:szCs w:val="20"/>
              </w:rPr>
              <w:t>Justificación</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BB545C" w:rsidRDefault="00FC33EC" w:rsidP="00274F6B">
            <w:pPr>
              <w:pStyle w:val="Textodebloque"/>
              <w:spacing w:line="240" w:lineRule="auto"/>
              <w:ind w:left="0"/>
              <w:rPr>
                <w:b w:val="0"/>
                <w:bCs w:val="0"/>
                <w:sz w:val="20"/>
                <w:szCs w:val="20"/>
              </w:rPr>
            </w:pPr>
            <w:r w:rsidRPr="00BB545C">
              <w:rPr>
                <w:rFonts w:eastAsia="Batang"/>
                <w:b w:val="0"/>
                <w:bCs w:val="0"/>
                <w:sz w:val="20"/>
                <w:szCs w:val="20"/>
                <w:lang w:eastAsia="ko-KR"/>
              </w:rPr>
              <w:t xml:space="preserve">Los pacientes hospitalizados con alto riesgo de </w:t>
            </w:r>
            <w:proofErr w:type="spellStart"/>
            <w:r w:rsidRPr="00BB545C">
              <w:rPr>
                <w:rFonts w:eastAsia="Batang"/>
                <w:b w:val="0"/>
                <w:bCs w:val="0"/>
                <w:sz w:val="20"/>
                <w:szCs w:val="20"/>
                <w:lang w:eastAsia="ko-KR"/>
              </w:rPr>
              <w:t>tromboembolismo</w:t>
            </w:r>
            <w:proofErr w:type="spellEnd"/>
            <w:r w:rsidRPr="00BB545C">
              <w:rPr>
                <w:rFonts w:eastAsia="Batang"/>
                <w:b w:val="0"/>
                <w:bCs w:val="0"/>
                <w:sz w:val="20"/>
                <w:szCs w:val="20"/>
                <w:lang w:eastAsia="ko-KR"/>
              </w:rPr>
              <w:t xml:space="preserve"> venoso (TEV) pueden desarrollar una trombosis venosa profunda, y morir de </w:t>
            </w:r>
            <w:proofErr w:type="spellStart"/>
            <w:r w:rsidRPr="00BB545C">
              <w:rPr>
                <w:rFonts w:eastAsia="Batang"/>
                <w:b w:val="0"/>
                <w:bCs w:val="0"/>
                <w:sz w:val="20"/>
                <w:szCs w:val="20"/>
                <w:lang w:eastAsia="ko-KR"/>
              </w:rPr>
              <w:t>tromboembolismo</w:t>
            </w:r>
            <w:proofErr w:type="spellEnd"/>
            <w:r w:rsidRPr="00BB545C">
              <w:rPr>
                <w:rFonts w:eastAsia="Batang"/>
                <w:b w:val="0"/>
                <w:bCs w:val="0"/>
                <w:sz w:val="20"/>
                <w:szCs w:val="20"/>
                <w:lang w:eastAsia="ko-KR"/>
              </w:rPr>
              <w:t xml:space="preserve"> pulmonar antes incluso de que el diagnóstico sea sospechado.</w:t>
            </w:r>
          </w:p>
        </w:tc>
      </w:tr>
      <w:tr w:rsidR="00FC33EC" w:rsidRPr="000830E7" w:rsidTr="00274F6B">
        <w:trPr>
          <w:trHeight w:val="615"/>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sidRPr="000830E7">
              <w:rPr>
                <w:b/>
                <w:bCs/>
                <w:sz w:val="20"/>
                <w:szCs w:val="20"/>
              </w:rPr>
              <w:t>Origen del indicador</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BB545C" w:rsidRDefault="00FC33EC" w:rsidP="00274F6B">
            <w:pPr>
              <w:rPr>
                <w:sz w:val="20"/>
                <w:szCs w:val="20"/>
                <w:lang w:val="fr-FR"/>
              </w:rPr>
            </w:pPr>
            <w:r w:rsidRPr="00BB545C">
              <w:rPr>
                <w:rFonts w:eastAsia="Batang"/>
                <w:sz w:val="20"/>
                <w:szCs w:val="20"/>
                <w:lang w:eastAsia="ko-KR"/>
              </w:rPr>
              <w:t xml:space="preserve">Adaptado a partir del </w:t>
            </w:r>
            <w:proofErr w:type="spellStart"/>
            <w:r w:rsidRPr="00BB545C">
              <w:rPr>
                <w:rFonts w:eastAsia="Batang"/>
                <w:sz w:val="20"/>
                <w:szCs w:val="20"/>
                <w:lang w:eastAsia="ko-KR"/>
              </w:rPr>
              <w:t>Institute</w:t>
            </w:r>
            <w:proofErr w:type="spellEnd"/>
            <w:r w:rsidRPr="00BB545C">
              <w:rPr>
                <w:rFonts w:eastAsia="Batang"/>
                <w:sz w:val="20"/>
                <w:szCs w:val="20"/>
                <w:lang w:eastAsia="ko-KR"/>
              </w:rPr>
              <w:t xml:space="preserve"> </w:t>
            </w:r>
            <w:proofErr w:type="spellStart"/>
            <w:r w:rsidRPr="00BB545C">
              <w:rPr>
                <w:rFonts w:eastAsia="Batang"/>
                <w:sz w:val="20"/>
                <w:szCs w:val="20"/>
                <w:lang w:eastAsia="ko-KR"/>
              </w:rPr>
              <w:t>Health</w:t>
            </w:r>
            <w:proofErr w:type="spellEnd"/>
            <w:r w:rsidRPr="00BB545C">
              <w:rPr>
                <w:rFonts w:eastAsia="Batang"/>
                <w:sz w:val="20"/>
                <w:szCs w:val="20"/>
                <w:lang w:eastAsia="ko-KR"/>
              </w:rPr>
              <w:t xml:space="preserve"> </w:t>
            </w:r>
            <w:proofErr w:type="spellStart"/>
            <w:r w:rsidRPr="00BB545C">
              <w:rPr>
                <w:rFonts w:eastAsia="Batang"/>
                <w:sz w:val="20"/>
                <w:szCs w:val="20"/>
                <w:lang w:eastAsia="ko-KR"/>
              </w:rPr>
              <w:t>Improvement</w:t>
            </w:r>
            <w:proofErr w:type="spellEnd"/>
            <w:r w:rsidRPr="00BB545C">
              <w:rPr>
                <w:rFonts w:eastAsia="Batang"/>
                <w:sz w:val="20"/>
                <w:szCs w:val="20"/>
                <w:lang w:eastAsia="ko-KR"/>
              </w:rPr>
              <w:t xml:space="preserve"> (IHI)</w:t>
            </w:r>
          </w:p>
        </w:tc>
      </w:tr>
      <w:tr w:rsidR="00FC33EC" w:rsidRPr="00827666" w:rsidTr="00274F6B">
        <w:trPr>
          <w:trHeight w:val="163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3C40AE" w:rsidRDefault="00FC33EC" w:rsidP="00274F6B">
            <w:pPr>
              <w:rPr>
                <w:b/>
                <w:bCs/>
                <w:sz w:val="20"/>
                <w:szCs w:val="20"/>
              </w:rPr>
            </w:pPr>
            <w:r w:rsidRPr="003C40AE">
              <w:rPr>
                <w:b/>
                <w:bCs/>
                <w:sz w:val="20"/>
                <w:szCs w:val="20"/>
              </w:rPr>
              <w:lastRenderedPageBreak/>
              <w:t>Referencias bibliográficas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Default="00FC33EC" w:rsidP="00FC33EC">
            <w:pPr>
              <w:pStyle w:val="Prrafodelista1"/>
              <w:numPr>
                <w:ilvl w:val="0"/>
                <w:numId w:val="2"/>
              </w:numPr>
              <w:spacing w:after="120"/>
              <w:jc w:val="both"/>
              <w:rPr>
                <w:sz w:val="20"/>
                <w:szCs w:val="20"/>
                <w:lang w:val="en-US"/>
              </w:rPr>
            </w:pPr>
            <w:proofErr w:type="spellStart"/>
            <w:r w:rsidRPr="00386E84">
              <w:rPr>
                <w:sz w:val="20"/>
                <w:szCs w:val="20"/>
                <w:lang w:val="en-US"/>
              </w:rPr>
              <w:t>Geerts</w:t>
            </w:r>
            <w:proofErr w:type="spellEnd"/>
            <w:r w:rsidRPr="00386E84">
              <w:rPr>
                <w:sz w:val="20"/>
                <w:szCs w:val="20"/>
                <w:lang w:val="en-US"/>
              </w:rPr>
              <w:t xml:space="preserve"> WH, </w:t>
            </w:r>
            <w:proofErr w:type="spellStart"/>
            <w:r w:rsidRPr="00386E84">
              <w:rPr>
                <w:sz w:val="20"/>
                <w:szCs w:val="20"/>
                <w:lang w:val="en-US"/>
              </w:rPr>
              <w:t>Bergqvist</w:t>
            </w:r>
            <w:proofErr w:type="spellEnd"/>
            <w:r w:rsidRPr="00386E84">
              <w:rPr>
                <w:sz w:val="20"/>
                <w:szCs w:val="20"/>
                <w:lang w:val="en-US"/>
              </w:rPr>
              <w:t xml:space="preserve"> D, </w:t>
            </w:r>
            <w:proofErr w:type="spellStart"/>
            <w:r w:rsidRPr="00386E84">
              <w:rPr>
                <w:sz w:val="20"/>
                <w:szCs w:val="20"/>
                <w:lang w:val="en-US"/>
              </w:rPr>
              <w:t>Pineo</w:t>
            </w:r>
            <w:proofErr w:type="spellEnd"/>
            <w:r w:rsidRPr="00386E84">
              <w:rPr>
                <w:sz w:val="20"/>
                <w:szCs w:val="20"/>
                <w:lang w:val="en-US"/>
              </w:rPr>
              <w:t xml:space="preserve"> GF, </w:t>
            </w:r>
            <w:proofErr w:type="spellStart"/>
            <w:r w:rsidRPr="00386E84">
              <w:rPr>
                <w:sz w:val="20"/>
                <w:szCs w:val="20"/>
                <w:lang w:val="en-US"/>
              </w:rPr>
              <w:t>Samama</w:t>
            </w:r>
            <w:proofErr w:type="spellEnd"/>
            <w:r w:rsidRPr="00386E84">
              <w:rPr>
                <w:sz w:val="20"/>
                <w:szCs w:val="20"/>
                <w:lang w:val="en-US"/>
              </w:rPr>
              <w:t xml:space="preserve"> CM, Lassen MR, Colwell CW, American College of Chest Physicians. Prevention of venous </w:t>
            </w:r>
            <w:proofErr w:type="spellStart"/>
            <w:r w:rsidRPr="00386E84">
              <w:rPr>
                <w:sz w:val="20"/>
                <w:szCs w:val="20"/>
                <w:lang w:val="en-US"/>
              </w:rPr>
              <w:t>thromboembolism</w:t>
            </w:r>
            <w:proofErr w:type="spellEnd"/>
            <w:r w:rsidRPr="00386E84">
              <w:rPr>
                <w:sz w:val="20"/>
                <w:szCs w:val="20"/>
                <w:lang w:val="en-US"/>
              </w:rPr>
              <w:t>. Chest 2008; 133:381S-453S</w:t>
            </w:r>
            <w:r>
              <w:rPr>
                <w:sz w:val="20"/>
                <w:szCs w:val="20"/>
                <w:vertAlign w:val="superscript"/>
                <w:lang w:val="en-US"/>
              </w:rPr>
              <w:t>43</w:t>
            </w:r>
            <w:r w:rsidRPr="00386E84">
              <w:rPr>
                <w:sz w:val="20"/>
                <w:szCs w:val="20"/>
                <w:lang w:val="en-US"/>
              </w:rPr>
              <w:t>.</w:t>
            </w:r>
          </w:p>
          <w:p w:rsidR="00FC33EC" w:rsidRPr="00BB545C" w:rsidRDefault="00FC33EC" w:rsidP="00FC33EC">
            <w:pPr>
              <w:pStyle w:val="Prrafodelista1"/>
              <w:numPr>
                <w:ilvl w:val="0"/>
                <w:numId w:val="2"/>
              </w:numPr>
              <w:spacing w:after="120"/>
              <w:jc w:val="both"/>
              <w:rPr>
                <w:sz w:val="20"/>
                <w:szCs w:val="20"/>
                <w:lang w:val="en-US"/>
              </w:rPr>
            </w:pPr>
            <w:proofErr w:type="spellStart"/>
            <w:r w:rsidRPr="00386E84">
              <w:rPr>
                <w:sz w:val="20"/>
                <w:szCs w:val="20"/>
                <w:lang w:val="en-US"/>
              </w:rPr>
              <w:t>Caprini</w:t>
            </w:r>
            <w:proofErr w:type="spellEnd"/>
            <w:r w:rsidRPr="00386E84">
              <w:rPr>
                <w:sz w:val="20"/>
                <w:szCs w:val="20"/>
                <w:lang w:val="en-US"/>
              </w:rPr>
              <w:t xml:space="preserve"> JA, Arcelus JI, Hasty JH, </w:t>
            </w:r>
            <w:proofErr w:type="spellStart"/>
            <w:r w:rsidRPr="00386E84">
              <w:rPr>
                <w:sz w:val="20"/>
                <w:szCs w:val="20"/>
                <w:lang w:val="en-US"/>
              </w:rPr>
              <w:t>Tamhane</w:t>
            </w:r>
            <w:proofErr w:type="spellEnd"/>
            <w:r w:rsidRPr="00386E84">
              <w:rPr>
                <w:sz w:val="20"/>
                <w:szCs w:val="20"/>
                <w:lang w:val="en-US"/>
              </w:rPr>
              <w:t xml:space="preserve"> AC, </w:t>
            </w:r>
            <w:proofErr w:type="spellStart"/>
            <w:r w:rsidRPr="00386E84">
              <w:rPr>
                <w:sz w:val="20"/>
                <w:szCs w:val="20"/>
                <w:lang w:val="en-US"/>
              </w:rPr>
              <w:t>Fabregas</w:t>
            </w:r>
            <w:proofErr w:type="spellEnd"/>
            <w:r w:rsidRPr="00386E84">
              <w:rPr>
                <w:sz w:val="20"/>
                <w:szCs w:val="20"/>
                <w:lang w:val="en-US"/>
              </w:rPr>
              <w:t xml:space="preserve"> F. Clinical assessment of venous </w:t>
            </w:r>
            <w:proofErr w:type="spellStart"/>
            <w:r w:rsidRPr="00386E84">
              <w:rPr>
                <w:sz w:val="20"/>
                <w:szCs w:val="20"/>
                <w:lang w:val="en-US"/>
              </w:rPr>
              <w:t>thromboembolic</w:t>
            </w:r>
            <w:proofErr w:type="spellEnd"/>
            <w:r w:rsidRPr="00386E84">
              <w:rPr>
                <w:sz w:val="20"/>
                <w:szCs w:val="20"/>
                <w:lang w:val="en-US"/>
              </w:rPr>
              <w:t xml:space="preserve"> risk in surgical patients. </w:t>
            </w:r>
            <w:proofErr w:type="spellStart"/>
            <w:r w:rsidRPr="00386E84">
              <w:rPr>
                <w:sz w:val="20"/>
                <w:szCs w:val="20"/>
                <w:lang w:val="en-US"/>
              </w:rPr>
              <w:t>Semin</w:t>
            </w:r>
            <w:proofErr w:type="spellEnd"/>
            <w:r w:rsidRPr="00386E84">
              <w:rPr>
                <w:sz w:val="20"/>
                <w:szCs w:val="20"/>
                <w:lang w:val="en-US"/>
              </w:rPr>
              <w:t xml:space="preserve"> </w:t>
            </w:r>
            <w:proofErr w:type="spellStart"/>
            <w:r w:rsidRPr="00BB545C">
              <w:rPr>
                <w:sz w:val="20"/>
                <w:szCs w:val="20"/>
                <w:lang w:val="en-US"/>
              </w:rPr>
              <w:t>Thromb</w:t>
            </w:r>
            <w:proofErr w:type="spellEnd"/>
            <w:r w:rsidRPr="00BB545C">
              <w:rPr>
                <w:sz w:val="20"/>
                <w:szCs w:val="20"/>
                <w:lang w:val="en-US"/>
              </w:rPr>
              <w:t xml:space="preserve"> </w:t>
            </w:r>
            <w:proofErr w:type="spellStart"/>
            <w:r w:rsidRPr="00BB545C">
              <w:rPr>
                <w:sz w:val="20"/>
                <w:szCs w:val="20"/>
                <w:lang w:val="en-US"/>
              </w:rPr>
              <w:t>Hemost</w:t>
            </w:r>
            <w:proofErr w:type="spellEnd"/>
            <w:r w:rsidRPr="00BB545C">
              <w:rPr>
                <w:sz w:val="20"/>
                <w:szCs w:val="20"/>
                <w:lang w:val="en-US"/>
              </w:rPr>
              <w:t xml:space="preserve"> 1991; 17 (</w:t>
            </w:r>
            <w:proofErr w:type="spellStart"/>
            <w:r w:rsidRPr="00BB545C">
              <w:rPr>
                <w:sz w:val="20"/>
                <w:szCs w:val="20"/>
                <w:lang w:val="en-US"/>
              </w:rPr>
              <w:t>suppl</w:t>
            </w:r>
            <w:proofErr w:type="spellEnd"/>
            <w:r w:rsidRPr="00BB545C">
              <w:rPr>
                <w:sz w:val="20"/>
                <w:szCs w:val="20"/>
                <w:lang w:val="en-US"/>
              </w:rPr>
              <w:t xml:space="preserve"> 3): 304-312</w:t>
            </w:r>
            <w:r>
              <w:rPr>
                <w:sz w:val="20"/>
                <w:szCs w:val="20"/>
                <w:vertAlign w:val="superscript"/>
                <w:lang w:val="en-US"/>
              </w:rPr>
              <w:t>45</w:t>
            </w:r>
            <w:r w:rsidRPr="00BB545C">
              <w:rPr>
                <w:sz w:val="20"/>
                <w:szCs w:val="20"/>
                <w:lang w:val="en-US"/>
              </w:rPr>
              <w:t>.</w:t>
            </w:r>
          </w:p>
          <w:p w:rsidR="00FC33EC" w:rsidRPr="00BB545C" w:rsidRDefault="00FC33EC" w:rsidP="00FC33EC">
            <w:pPr>
              <w:pStyle w:val="Prrafodelista1"/>
              <w:numPr>
                <w:ilvl w:val="0"/>
                <w:numId w:val="2"/>
              </w:numPr>
              <w:spacing w:after="120"/>
              <w:jc w:val="both"/>
              <w:rPr>
                <w:sz w:val="20"/>
                <w:szCs w:val="20"/>
                <w:lang w:val="en-US"/>
              </w:rPr>
            </w:pPr>
            <w:r w:rsidRPr="00BB545C">
              <w:rPr>
                <w:sz w:val="20"/>
                <w:szCs w:val="20"/>
                <w:lang w:val="en-US"/>
              </w:rPr>
              <w:t>Antithrombotic therapy and prevention of thrombosis, 9</w:t>
            </w:r>
            <w:r w:rsidRPr="00BB545C">
              <w:rPr>
                <w:sz w:val="20"/>
                <w:szCs w:val="20"/>
                <w:vertAlign w:val="superscript"/>
                <w:lang w:val="en-US"/>
              </w:rPr>
              <w:t>th</w:t>
            </w:r>
            <w:r w:rsidRPr="00BB545C">
              <w:rPr>
                <w:sz w:val="20"/>
                <w:szCs w:val="20"/>
                <w:lang w:val="en-US"/>
              </w:rPr>
              <w:t xml:space="preserve"> edition, American College of Chest Physicians Evidence- Based Clinical Practice Guideline</w:t>
            </w:r>
            <w:r>
              <w:rPr>
                <w:sz w:val="20"/>
                <w:szCs w:val="20"/>
                <w:vertAlign w:val="superscript"/>
                <w:lang w:val="en-US"/>
              </w:rPr>
              <w:t>46</w:t>
            </w:r>
            <w:r w:rsidRPr="00BB545C">
              <w:rPr>
                <w:sz w:val="20"/>
                <w:szCs w:val="20"/>
                <w:lang w:val="en-US"/>
              </w:rPr>
              <w:t>.</w:t>
            </w:r>
          </w:p>
          <w:p w:rsidR="00FC33EC" w:rsidRPr="00BB545C" w:rsidRDefault="00FC33EC" w:rsidP="00FC33EC">
            <w:pPr>
              <w:pStyle w:val="Prrafodelista1"/>
              <w:numPr>
                <w:ilvl w:val="0"/>
                <w:numId w:val="2"/>
              </w:numPr>
              <w:spacing w:after="120"/>
              <w:jc w:val="both"/>
              <w:rPr>
                <w:sz w:val="20"/>
                <w:szCs w:val="20"/>
                <w:lang w:val="en-US"/>
              </w:rPr>
            </w:pPr>
            <w:r w:rsidRPr="00BB545C">
              <w:rPr>
                <w:sz w:val="20"/>
                <w:szCs w:val="20"/>
                <w:lang w:val="en-US"/>
              </w:rPr>
              <w:t xml:space="preserve">Lloyd NS, </w:t>
            </w:r>
            <w:proofErr w:type="spellStart"/>
            <w:r w:rsidRPr="00BB545C">
              <w:rPr>
                <w:sz w:val="20"/>
                <w:szCs w:val="20"/>
                <w:lang w:val="en-US"/>
              </w:rPr>
              <w:t>Douketis</w:t>
            </w:r>
            <w:proofErr w:type="spellEnd"/>
            <w:r w:rsidRPr="00BB545C">
              <w:rPr>
                <w:sz w:val="20"/>
                <w:szCs w:val="20"/>
                <w:lang w:val="en-US"/>
              </w:rPr>
              <w:t xml:space="preserve"> JD, </w:t>
            </w:r>
            <w:proofErr w:type="spellStart"/>
            <w:r w:rsidRPr="00BB545C">
              <w:rPr>
                <w:sz w:val="20"/>
                <w:szCs w:val="20"/>
                <w:lang w:val="en-US"/>
              </w:rPr>
              <w:t>Moinuddin</w:t>
            </w:r>
            <w:proofErr w:type="spellEnd"/>
            <w:r w:rsidRPr="00BB545C">
              <w:rPr>
                <w:sz w:val="20"/>
                <w:szCs w:val="20"/>
                <w:lang w:val="en-US"/>
              </w:rPr>
              <w:t xml:space="preserve"> I, Lim W, </w:t>
            </w:r>
            <w:proofErr w:type="spellStart"/>
            <w:proofErr w:type="gramStart"/>
            <w:r w:rsidRPr="00BB545C">
              <w:rPr>
                <w:sz w:val="20"/>
                <w:szCs w:val="20"/>
                <w:lang w:val="en-US"/>
              </w:rPr>
              <w:t>Crowther</w:t>
            </w:r>
            <w:proofErr w:type="spellEnd"/>
            <w:proofErr w:type="gramEnd"/>
            <w:r w:rsidRPr="00BB545C">
              <w:rPr>
                <w:sz w:val="20"/>
                <w:szCs w:val="20"/>
                <w:lang w:val="en-US"/>
              </w:rPr>
              <w:t xml:space="preserve"> MA: Anticoagulant prophylaxis to prevent asymptomatic deep vein thrombosis in hospitalized medical patients: a systematic review and meta-analysis. J </w:t>
            </w:r>
            <w:proofErr w:type="spellStart"/>
            <w:r w:rsidRPr="00BB545C">
              <w:rPr>
                <w:sz w:val="20"/>
                <w:szCs w:val="20"/>
                <w:lang w:val="en-US"/>
              </w:rPr>
              <w:t>Thromb</w:t>
            </w:r>
            <w:proofErr w:type="spellEnd"/>
            <w:r w:rsidRPr="00BB545C">
              <w:rPr>
                <w:sz w:val="20"/>
                <w:szCs w:val="20"/>
                <w:lang w:val="en-US"/>
              </w:rPr>
              <w:t xml:space="preserve"> </w:t>
            </w:r>
            <w:proofErr w:type="spellStart"/>
            <w:r w:rsidRPr="00BB545C">
              <w:rPr>
                <w:sz w:val="20"/>
                <w:szCs w:val="20"/>
                <w:lang w:val="en-US"/>
              </w:rPr>
              <w:t>Haemost</w:t>
            </w:r>
            <w:proofErr w:type="spellEnd"/>
            <w:r w:rsidRPr="00BB545C">
              <w:rPr>
                <w:sz w:val="20"/>
                <w:szCs w:val="20"/>
                <w:lang w:val="en-US"/>
              </w:rPr>
              <w:t xml:space="preserve"> 2008; 6: 405-14</w:t>
            </w:r>
            <w:r>
              <w:rPr>
                <w:sz w:val="20"/>
                <w:szCs w:val="20"/>
                <w:vertAlign w:val="superscript"/>
                <w:lang w:val="en-US"/>
              </w:rPr>
              <w:t>47</w:t>
            </w:r>
            <w:r w:rsidRPr="00BB545C">
              <w:rPr>
                <w:sz w:val="20"/>
                <w:szCs w:val="20"/>
                <w:lang w:val="en-US"/>
              </w:rPr>
              <w:t>.</w:t>
            </w:r>
          </w:p>
          <w:p w:rsidR="00FC33EC" w:rsidRPr="00BB545C" w:rsidRDefault="00FC33EC" w:rsidP="00FC33EC">
            <w:pPr>
              <w:pStyle w:val="Prrafodelista1"/>
              <w:numPr>
                <w:ilvl w:val="0"/>
                <w:numId w:val="2"/>
              </w:numPr>
              <w:spacing w:after="120"/>
              <w:jc w:val="both"/>
              <w:rPr>
                <w:rFonts w:eastAsia="Batang"/>
                <w:sz w:val="20"/>
                <w:szCs w:val="20"/>
                <w:lang w:val="en-GB" w:eastAsia="ko-KR"/>
              </w:rPr>
            </w:pPr>
            <w:r w:rsidRPr="003C40AE">
              <w:rPr>
                <w:sz w:val="20"/>
                <w:szCs w:val="20"/>
                <w:lang w:val="en-GB"/>
              </w:rPr>
              <w:t xml:space="preserve">Roy M, </w:t>
            </w:r>
            <w:proofErr w:type="spellStart"/>
            <w:r w:rsidRPr="003C40AE">
              <w:rPr>
                <w:sz w:val="20"/>
                <w:szCs w:val="20"/>
                <w:lang w:val="en-GB"/>
              </w:rPr>
              <w:t>Rajamanickam</w:t>
            </w:r>
            <w:proofErr w:type="spellEnd"/>
            <w:r w:rsidRPr="003C40AE">
              <w:rPr>
                <w:sz w:val="20"/>
                <w:szCs w:val="20"/>
                <w:lang w:val="en-GB"/>
              </w:rPr>
              <w:t xml:space="preserve"> V, Chen H, </w:t>
            </w:r>
            <w:proofErr w:type="spellStart"/>
            <w:r w:rsidRPr="003C40AE">
              <w:rPr>
                <w:sz w:val="20"/>
                <w:szCs w:val="20"/>
                <w:lang w:val="en-GB"/>
              </w:rPr>
              <w:t>Sippel</w:t>
            </w:r>
            <w:proofErr w:type="spellEnd"/>
            <w:r w:rsidRPr="003C40AE">
              <w:rPr>
                <w:sz w:val="20"/>
                <w:szCs w:val="20"/>
                <w:lang w:val="en-GB"/>
              </w:rPr>
              <w:t xml:space="preserve"> R. Is DVT prophylaxis necessary for thyroidectomy and parathyroidectomy? </w:t>
            </w:r>
            <w:proofErr w:type="spellStart"/>
            <w:r w:rsidRPr="00BB545C">
              <w:rPr>
                <w:sz w:val="20"/>
                <w:szCs w:val="20"/>
              </w:rPr>
              <w:t>Surgery</w:t>
            </w:r>
            <w:proofErr w:type="spellEnd"/>
            <w:r w:rsidRPr="00BB545C">
              <w:rPr>
                <w:sz w:val="20"/>
                <w:szCs w:val="20"/>
              </w:rPr>
              <w:t xml:space="preserve"> 2010; 148: 1163-9</w:t>
            </w:r>
            <w:r>
              <w:rPr>
                <w:sz w:val="20"/>
                <w:szCs w:val="20"/>
                <w:vertAlign w:val="superscript"/>
              </w:rPr>
              <w:t>48</w:t>
            </w:r>
            <w:r w:rsidRPr="00BB545C">
              <w:rPr>
                <w:sz w:val="20"/>
                <w:szCs w:val="20"/>
              </w:rPr>
              <w:t>.</w:t>
            </w:r>
          </w:p>
          <w:p w:rsidR="00FC33EC" w:rsidRPr="003C40AE" w:rsidRDefault="00FC33EC" w:rsidP="00FC33EC">
            <w:pPr>
              <w:pStyle w:val="Prrafodelista1"/>
              <w:numPr>
                <w:ilvl w:val="0"/>
                <w:numId w:val="2"/>
              </w:numPr>
              <w:spacing w:after="120"/>
              <w:jc w:val="both"/>
              <w:rPr>
                <w:sz w:val="20"/>
                <w:szCs w:val="20"/>
                <w:lang w:val="en-US"/>
              </w:rPr>
            </w:pPr>
            <w:proofErr w:type="spellStart"/>
            <w:r w:rsidRPr="00BB545C">
              <w:rPr>
                <w:rFonts w:eastAsia="Batang"/>
                <w:sz w:val="20"/>
                <w:szCs w:val="20"/>
                <w:lang w:val="en-GB" w:eastAsia="ko-KR"/>
              </w:rPr>
              <w:t>Decousus</w:t>
            </w:r>
            <w:proofErr w:type="spellEnd"/>
            <w:r>
              <w:rPr>
                <w:rFonts w:eastAsia="Batang"/>
                <w:sz w:val="20"/>
                <w:szCs w:val="20"/>
                <w:lang w:val="en-GB" w:eastAsia="ko-KR"/>
              </w:rPr>
              <w:t xml:space="preserve"> H</w:t>
            </w:r>
            <w:r w:rsidRPr="00BB545C">
              <w:rPr>
                <w:rFonts w:eastAsia="Batang"/>
                <w:sz w:val="20"/>
                <w:szCs w:val="20"/>
                <w:lang w:val="en-GB" w:eastAsia="ko-KR"/>
              </w:rPr>
              <w:t xml:space="preserve">, </w:t>
            </w:r>
            <w:proofErr w:type="spellStart"/>
            <w:r w:rsidRPr="00BB545C">
              <w:rPr>
                <w:rFonts w:eastAsia="Batang"/>
                <w:sz w:val="20"/>
                <w:szCs w:val="20"/>
                <w:lang w:val="en-GB" w:eastAsia="ko-KR"/>
              </w:rPr>
              <w:t>Tapson</w:t>
            </w:r>
            <w:proofErr w:type="spellEnd"/>
            <w:r>
              <w:rPr>
                <w:rFonts w:eastAsia="Batang"/>
                <w:sz w:val="20"/>
                <w:szCs w:val="20"/>
                <w:lang w:val="en-GB" w:eastAsia="ko-KR"/>
              </w:rPr>
              <w:t xml:space="preserve"> VF</w:t>
            </w:r>
            <w:r w:rsidRPr="00BB545C">
              <w:rPr>
                <w:rFonts w:eastAsia="Batang"/>
                <w:sz w:val="20"/>
                <w:szCs w:val="20"/>
                <w:lang w:val="en-GB" w:eastAsia="ko-KR"/>
              </w:rPr>
              <w:t xml:space="preserve">. Factors at admission associated with bleeding risk in medical patients: </w:t>
            </w:r>
            <w:r>
              <w:rPr>
                <w:rFonts w:eastAsia="Batang"/>
                <w:sz w:val="20"/>
                <w:szCs w:val="20"/>
                <w:lang w:val="en-GB" w:eastAsia="ko-KR"/>
              </w:rPr>
              <w:t>f</w:t>
            </w:r>
            <w:r w:rsidRPr="00BB545C">
              <w:rPr>
                <w:rFonts w:eastAsia="Batang"/>
                <w:sz w:val="20"/>
                <w:szCs w:val="20"/>
                <w:lang w:val="en-GB" w:eastAsia="ko-KR"/>
              </w:rPr>
              <w:t xml:space="preserve">indings </w:t>
            </w:r>
            <w:r>
              <w:rPr>
                <w:rFonts w:eastAsia="Batang"/>
                <w:sz w:val="20"/>
                <w:szCs w:val="20"/>
                <w:lang w:val="en-GB" w:eastAsia="ko-KR"/>
              </w:rPr>
              <w:t>f</w:t>
            </w:r>
            <w:r w:rsidRPr="00BB545C">
              <w:rPr>
                <w:rFonts w:eastAsia="Batang"/>
                <w:sz w:val="20"/>
                <w:szCs w:val="20"/>
                <w:lang w:val="en-GB" w:eastAsia="ko-KR"/>
              </w:rPr>
              <w:t xml:space="preserve">rom the IMPROVE Investigators. </w:t>
            </w:r>
            <w:r w:rsidRPr="00827666">
              <w:rPr>
                <w:rFonts w:eastAsia="Batang"/>
                <w:iCs/>
                <w:sz w:val="20"/>
                <w:szCs w:val="20"/>
                <w:lang w:val="en-GB" w:eastAsia="ko-KR"/>
              </w:rPr>
              <w:t xml:space="preserve">Chest </w:t>
            </w:r>
            <w:r w:rsidRPr="00BB545C">
              <w:rPr>
                <w:rFonts w:eastAsia="Batang"/>
                <w:sz w:val="20"/>
                <w:szCs w:val="20"/>
                <w:lang w:val="en-GB" w:eastAsia="ko-KR"/>
              </w:rPr>
              <w:t>2011; 139: 69-79</w:t>
            </w:r>
            <w:r>
              <w:rPr>
                <w:rFonts w:eastAsia="Batang"/>
                <w:sz w:val="20"/>
                <w:szCs w:val="20"/>
                <w:vertAlign w:val="superscript"/>
                <w:lang w:val="en-GB" w:eastAsia="ko-KR"/>
              </w:rPr>
              <w:t>49</w:t>
            </w:r>
            <w:r w:rsidRPr="00BB545C">
              <w:rPr>
                <w:rFonts w:eastAsia="Batang"/>
                <w:sz w:val="20"/>
                <w:szCs w:val="20"/>
                <w:lang w:val="en-GB" w:eastAsia="ko-KR"/>
              </w:rPr>
              <w:t>.</w:t>
            </w:r>
          </w:p>
        </w:tc>
      </w:tr>
    </w:tbl>
    <w:p w:rsidR="00FC33EC" w:rsidRDefault="00FC33EC" w:rsidP="00FC33EC">
      <w:pPr>
        <w:pStyle w:val="Textodebloque"/>
        <w:spacing w:line="240" w:lineRule="auto"/>
        <w:ind w:left="708" w:firstLine="168"/>
        <w:rPr>
          <w:b w:val="0"/>
          <w:bCs w:val="0"/>
          <w:sz w:val="24"/>
          <w:szCs w:val="24"/>
          <w:lang w:val="en-GB"/>
        </w:rPr>
      </w:pPr>
    </w:p>
    <w:p w:rsidR="00FC33EC" w:rsidRPr="001D46EA" w:rsidRDefault="00FC33EC" w:rsidP="00FC33EC">
      <w:pPr>
        <w:pStyle w:val="Textodebloque"/>
        <w:spacing w:line="240" w:lineRule="auto"/>
        <w:ind w:left="708" w:firstLine="168"/>
        <w:rPr>
          <w:b w:val="0"/>
          <w:bCs w:val="0"/>
          <w:sz w:val="24"/>
          <w:szCs w:val="24"/>
          <w:lang w:val="en-GB"/>
        </w:rPr>
      </w:pPr>
    </w:p>
    <w:p w:rsidR="00FC33EC" w:rsidRPr="001D46EA" w:rsidRDefault="00FC33EC" w:rsidP="00FC33EC">
      <w:pPr>
        <w:pStyle w:val="Textodebloque"/>
        <w:spacing w:line="240" w:lineRule="auto"/>
        <w:rPr>
          <w:b w:val="0"/>
          <w:bCs w:val="0"/>
          <w:sz w:val="24"/>
          <w:szCs w:val="24"/>
          <w:lang w:val="en-GB"/>
        </w:rPr>
      </w:pPr>
    </w:p>
    <w:tbl>
      <w:tblPr>
        <w:tblW w:w="500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01"/>
        <w:gridCol w:w="5946"/>
      </w:tblGrid>
      <w:tr w:rsidR="00FC33EC" w:rsidRPr="000830E7" w:rsidTr="00274F6B">
        <w:trPr>
          <w:trHeight w:val="69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3C40AE" w:rsidRDefault="00FC33EC" w:rsidP="00274F6B">
            <w:pPr>
              <w:rPr>
                <w:b/>
                <w:bCs/>
                <w:sz w:val="20"/>
                <w:szCs w:val="20"/>
              </w:rPr>
            </w:pPr>
            <w:r w:rsidRPr="003C40AE">
              <w:rPr>
                <w:b/>
                <w:bCs/>
                <w:sz w:val="20"/>
                <w:szCs w:val="20"/>
              </w:rPr>
              <w:t>Administración de dexametasona como profilaxis antiemética</w:t>
            </w:r>
          </w:p>
        </w:tc>
      </w:tr>
      <w:tr w:rsidR="00FC33EC" w:rsidRPr="000830E7" w:rsidTr="00274F6B">
        <w:trPr>
          <w:trHeight w:val="52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Fórmula</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3C40AE" w:rsidRDefault="00FC33EC" w:rsidP="00274F6B">
            <w:pPr>
              <w:rPr>
                <w:sz w:val="20"/>
                <w:szCs w:val="20"/>
              </w:rPr>
            </w:pPr>
            <w:r w:rsidRPr="003C40AE">
              <w:rPr>
                <w:sz w:val="20"/>
                <w:szCs w:val="20"/>
              </w:rPr>
              <w:t>Pacientes sometidos a tiroidectomía a los que se administra dexametasona en la inducción anestésica  x100/ pacientes sometidos a tiroidectomía</w:t>
            </w:r>
          </w:p>
        </w:tc>
      </w:tr>
      <w:tr w:rsidR="00FC33EC" w:rsidRPr="000830E7" w:rsidTr="00274F6B">
        <w:trPr>
          <w:trHeight w:val="605"/>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after="120"/>
              <w:rPr>
                <w:b/>
                <w:bCs/>
                <w:sz w:val="20"/>
                <w:szCs w:val="20"/>
              </w:rPr>
            </w:pPr>
            <w:r w:rsidRPr="000830E7">
              <w:rPr>
                <w:b/>
                <w:bCs/>
                <w:sz w:val="20"/>
                <w:szCs w:val="20"/>
              </w:rPr>
              <w:t>Exclusiones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3C40AE" w:rsidRDefault="00FC33EC" w:rsidP="00274F6B">
            <w:pPr>
              <w:rPr>
                <w:sz w:val="20"/>
                <w:szCs w:val="20"/>
              </w:rPr>
            </w:pPr>
            <w:r w:rsidRPr="003C40AE">
              <w:rPr>
                <w:sz w:val="20"/>
                <w:szCs w:val="20"/>
              </w:rPr>
              <w:t>Pacientes que refieran o que se documente intolerancia o alergia a la dexametasona o a corticoides.</w:t>
            </w:r>
          </w:p>
        </w:tc>
      </w:tr>
      <w:tr w:rsidR="00FC33EC" w:rsidRPr="000830E7" w:rsidTr="00274F6B">
        <w:trPr>
          <w:trHeight w:val="69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Aclaraciones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3C40AE" w:rsidRDefault="00FC33EC" w:rsidP="00FC33EC">
            <w:pPr>
              <w:pStyle w:val="Textodebloque"/>
              <w:numPr>
                <w:ilvl w:val="0"/>
                <w:numId w:val="3"/>
              </w:numPr>
              <w:spacing w:line="240" w:lineRule="auto"/>
              <w:rPr>
                <w:sz w:val="20"/>
                <w:szCs w:val="20"/>
              </w:rPr>
            </w:pPr>
            <w:r w:rsidRPr="003C40AE">
              <w:rPr>
                <w:b w:val="0"/>
                <w:bCs w:val="0"/>
                <w:sz w:val="20"/>
                <w:szCs w:val="20"/>
              </w:rPr>
              <w:t xml:space="preserve">Se recomienda el uso rutinario de profilaxis antiemética con una única dosis preoperatoria de 8 </w:t>
            </w:r>
            <w:proofErr w:type="spellStart"/>
            <w:r w:rsidRPr="003C40AE">
              <w:rPr>
                <w:b w:val="0"/>
                <w:bCs w:val="0"/>
                <w:sz w:val="20"/>
                <w:szCs w:val="20"/>
              </w:rPr>
              <w:t>mgrs</w:t>
            </w:r>
            <w:proofErr w:type="spellEnd"/>
            <w:r w:rsidRPr="003C40AE">
              <w:rPr>
                <w:b w:val="0"/>
                <w:bCs w:val="0"/>
                <w:sz w:val="20"/>
                <w:szCs w:val="20"/>
              </w:rPr>
              <w:t>. de dexametasona.</w:t>
            </w:r>
          </w:p>
        </w:tc>
      </w:tr>
      <w:tr w:rsidR="00FC33EC" w:rsidRPr="000830E7" w:rsidTr="00274F6B">
        <w:trPr>
          <w:trHeight w:val="412"/>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 xml:space="preserve">Tipo de indicador </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rPr>
            </w:pPr>
            <w:r>
              <w:rPr>
                <w:sz w:val="20"/>
                <w:szCs w:val="20"/>
              </w:rPr>
              <w:t>Proceso</w:t>
            </w:r>
          </w:p>
        </w:tc>
      </w:tr>
      <w:tr w:rsidR="00FC33EC" w:rsidRPr="000830E7" w:rsidTr="00274F6B">
        <w:trPr>
          <w:trHeight w:val="79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sidRPr="000830E7">
              <w:rPr>
                <w:b/>
                <w:bCs/>
                <w:sz w:val="20"/>
                <w:szCs w:val="20"/>
              </w:rPr>
              <w:t>Justificación</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3C40AE" w:rsidRDefault="00FC33EC" w:rsidP="00FC33EC">
            <w:pPr>
              <w:pStyle w:val="Textodebloque"/>
              <w:numPr>
                <w:ilvl w:val="0"/>
                <w:numId w:val="3"/>
              </w:numPr>
              <w:spacing w:line="240" w:lineRule="auto"/>
              <w:rPr>
                <w:sz w:val="20"/>
                <w:szCs w:val="20"/>
              </w:rPr>
            </w:pPr>
            <w:r w:rsidRPr="00232AD7">
              <w:rPr>
                <w:b w:val="0"/>
                <w:bCs w:val="0"/>
                <w:sz w:val="20"/>
                <w:szCs w:val="20"/>
              </w:rPr>
              <w:t xml:space="preserve">La dexametasona, en una sola dosis preoperatoria, reduce la </w:t>
            </w:r>
            <w:r w:rsidRPr="003C40AE">
              <w:rPr>
                <w:b w:val="0"/>
                <w:bCs w:val="0"/>
                <w:sz w:val="20"/>
                <w:szCs w:val="20"/>
              </w:rPr>
              <w:t>incidencia de NVPO, el dolor y la necesidad de analgésicos, y mejora la función vocal.</w:t>
            </w:r>
          </w:p>
          <w:p w:rsidR="00FC33EC" w:rsidRPr="00232AD7" w:rsidRDefault="00FC33EC" w:rsidP="00FC33EC">
            <w:pPr>
              <w:numPr>
                <w:ilvl w:val="0"/>
                <w:numId w:val="3"/>
              </w:numPr>
              <w:jc w:val="both"/>
              <w:rPr>
                <w:sz w:val="20"/>
                <w:szCs w:val="20"/>
              </w:rPr>
            </w:pPr>
            <w:r w:rsidRPr="003C40AE">
              <w:rPr>
                <w:sz w:val="20"/>
                <w:szCs w:val="20"/>
              </w:rPr>
              <w:t xml:space="preserve">Las NVPO tienen una incidencia alta tras la tiroidectomía y provocan </w:t>
            </w:r>
            <w:proofErr w:type="spellStart"/>
            <w:r w:rsidRPr="003C40AE">
              <w:rPr>
                <w:sz w:val="20"/>
                <w:szCs w:val="20"/>
              </w:rPr>
              <w:t>disconfort</w:t>
            </w:r>
            <w:proofErr w:type="spellEnd"/>
            <w:r w:rsidRPr="00232AD7">
              <w:rPr>
                <w:sz w:val="20"/>
                <w:szCs w:val="20"/>
              </w:rPr>
              <w:t xml:space="preserve"> y falta de satisfacción en el paciente, y además el aumento de presión venosa local  puede poner en peligro la hemostasia.</w:t>
            </w:r>
          </w:p>
          <w:p w:rsidR="00FC33EC" w:rsidRPr="00386E84" w:rsidRDefault="00FC33EC" w:rsidP="00274F6B">
            <w:pPr>
              <w:pStyle w:val="Textodebloque"/>
              <w:spacing w:line="240" w:lineRule="auto"/>
              <w:ind w:left="0"/>
              <w:rPr>
                <w:b w:val="0"/>
                <w:bCs w:val="0"/>
                <w:sz w:val="20"/>
                <w:szCs w:val="20"/>
              </w:rPr>
            </w:pPr>
          </w:p>
        </w:tc>
      </w:tr>
      <w:tr w:rsidR="00FC33EC" w:rsidRPr="001D46EA" w:rsidTr="00274F6B">
        <w:trPr>
          <w:trHeight w:val="163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3C40AE" w:rsidRDefault="00FC33EC" w:rsidP="00274F6B">
            <w:pPr>
              <w:rPr>
                <w:b/>
                <w:bCs/>
                <w:sz w:val="20"/>
                <w:szCs w:val="20"/>
              </w:rPr>
            </w:pPr>
            <w:r w:rsidRPr="003C40AE">
              <w:rPr>
                <w:b/>
                <w:bCs/>
                <w:sz w:val="20"/>
                <w:szCs w:val="20"/>
              </w:rPr>
              <w:t>Referencias bibliográficas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232AD7" w:rsidRDefault="00FC33EC" w:rsidP="00FC33EC">
            <w:pPr>
              <w:pStyle w:val="Prrafodelista1"/>
              <w:numPr>
                <w:ilvl w:val="0"/>
                <w:numId w:val="4"/>
              </w:numPr>
              <w:spacing w:after="120"/>
              <w:jc w:val="both"/>
              <w:rPr>
                <w:sz w:val="20"/>
                <w:szCs w:val="20"/>
                <w:lang w:val="en-US"/>
              </w:rPr>
            </w:pPr>
            <w:r w:rsidRPr="00232AD7">
              <w:rPr>
                <w:sz w:val="20"/>
                <w:szCs w:val="20"/>
                <w:lang w:val="de-DE"/>
              </w:rPr>
              <w:t xml:space="preserve">Sonner JM, Hynson JM, Clark O, Katz JA. </w:t>
            </w:r>
            <w:r w:rsidRPr="00232AD7">
              <w:rPr>
                <w:sz w:val="20"/>
                <w:szCs w:val="20"/>
                <w:lang w:val="en-US"/>
              </w:rPr>
              <w:t xml:space="preserve">Nausea and vomiting following thyroid and parathyroid surgery. J </w:t>
            </w:r>
            <w:proofErr w:type="spellStart"/>
            <w:r w:rsidRPr="00232AD7">
              <w:rPr>
                <w:sz w:val="20"/>
                <w:szCs w:val="20"/>
                <w:lang w:val="en-US"/>
              </w:rPr>
              <w:t>Clin</w:t>
            </w:r>
            <w:proofErr w:type="spellEnd"/>
            <w:r w:rsidRPr="00232AD7">
              <w:rPr>
                <w:sz w:val="20"/>
                <w:szCs w:val="20"/>
                <w:lang w:val="en-US"/>
              </w:rPr>
              <w:t xml:space="preserve"> </w:t>
            </w:r>
            <w:proofErr w:type="spellStart"/>
            <w:r w:rsidRPr="00232AD7">
              <w:rPr>
                <w:sz w:val="20"/>
                <w:szCs w:val="20"/>
                <w:lang w:val="en-US"/>
              </w:rPr>
              <w:t>Anesth</w:t>
            </w:r>
            <w:proofErr w:type="spellEnd"/>
            <w:r w:rsidRPr="00232AD7">
              <w:rPr>
                <w:sz w:val="20"/>
                <w:szCs w:val="20"/>
                <w:lang w:val="en-US"/>
              </w:rPr>
              <w:t xml:space="preserve"> 1997; 9: 398-402</w:t>
            </w:r>
            <w:r>
              <w:rPr>
                <w:sz w:val="20"/>
                <w:szCs w:val="20"/>
                <w:vertAlign w:val="superscript"/>
                <w:lang w:val="en-US"/>
              </w:rPr>
              <w:t>51</w:t>
            </w:r>
            <w:r w:rsidRPr="00232AD7">
              <w:rPr>
                <w:sz w:val="20"/>
                <w:szCs w:val="20"/>
                <w:lang w:val="en-US"/>
              </w:rPr>
              <w:t>.</w:t>
            </w:r>
          </w:p>
          <w:p w:rsidR="00FC33EC" w:rsidRPr="00232AD7" w:rsidRDefault="00FC33EC" w:rsidP="00FC33EC">
            <w:pPr>
              <w:pStyle w:val="Prrafodelista1"/>
              <w:numPr>
                <w:ilvl w:val="0"/>
                <w:numId w:val="4"/>
              </w:numPr>
              <w:spacing w:after="120"/>
              <w:jc w:val="both"/>
              <w:rPr>
                <w:sz w:val="20"/>
                <w:szCs w:val="20"/>
                <w:lang w:val="en-US"/>
              </w:rPr>
            </w:pPr>
            <w:proofErr w:type="spellStart"/>
            <w:r w:rsidRPr="00232AD7">
              <w:rPr>
                <w:sz w:val="20"/>
                <w:szCs w:val="20"/>
                <w:lang w:val="en-US"/>
              </w:rPr>
              <w:t>Worni</w:t>
            </w:r>
            <w:proofErr w:type="spellEnd"/>
            <w:r w:rsidRPr="00232AD7">
              <w:rPr>
                <w:sz w:val="20"/>
                <w:szCs w:val="20"/>
                <w:lang w:val="en-US"/>
              </w:rPr>
              <w:t xml:space="preserve"> M, </w:t>
            </w:r>
            <w:proofErr w:type="spellStart"/>
            <w:r w:rsidRPr="00232AD7">
              <w:rPr>
                <w:sz w:val="20"/>
                <w:szCs w:val="20"/>
                <w:lang w:val="en-US"/>
              </w:rPr>
              <w:t>Schudel</w:t>
            </w:r>
            <w:proofErr w:type="spellEnd"/>
            <w:r w:rsidRPr="00232AD7">
              <w:rPr>
                <w:sz w:val="20"/>
                <w:szCs w:val="20"/>
                <w:lang w:val="en-US"/>
              </w:rPr>
              <w:t xml:space="preserve"> HH, </w:t>
            </w:r>
            <w:proofErr w:type="spellStart"/>
            <w:r w:rsidRPr="00232AD7">
              <w:rPr>
                <w:sz w:val="20"/>
                <w:szCs w:val="20"/>
                <w:lang w:val="en-US"/>
              </w:rPr>
              <w:t>Seufert</w:t>
            </w:r>
            <w:proofErr w:type="spellEnd"/>
            <w:r w:rsidRPr="00232AD7">
              <w:rPr>
                <w:sz w:val="20"/>
                <w:szCs w:val="20"/>
                <w:lang w:val="en-US"/>
              </w:rPr>
              <w:t xml:space="preserve"> E, </w:t>
            </w:r>
            <w:proofErr w:type="spellStart"/>
            <w:r w:rsidRPr="00232AD7">
              <w:rPr>
                <w:sz w:val="20"/>
                <w:szCs w:val="20"/>
                <w:lang w:val="en-US"/>
              </w:rPr>
              <w:t>Inglin</w:t>
            </w:r>
            <w:proofErr w:type="spellEnd"/>
            <w:r w:rsidRPr="00232AD7">
              <w:rPr>
                <w:sz w:val="20"/>
                <w:szCs w:val="20"/>
                <w:lang w:val="en-US"/>
              </w:rPr>
              <w:t xml:space="preserve"> R, </w:t>
            </w:r>
            <w:proofErr w:type="spellStart"/>
            <w:r w:rsidRPr="00232AD7">
              <w:rPr>
                <w:sz w:val="20"/>
                <w:szCs w:val="20"/>
                <w:lang w:val="en-US"/>
              </w:rPr>
              <w:t>Hagemann</w:t>
            </w:r>
            <w:proofErr w:type="spellEnd"/>
            <w:r w:rsidRPr="00232AD7">
              <w:rPr>
                <w:sz w:val="20"/>
                <w:szCs w:val="20"/>
                <w:lang w:val="en-US"/>
              </w:rPr>
              <w:t xml:space="preserve"> M, </w:t>
            </w:r>
            <w:proofErr w:type="spellStart"/>
            <w:r w:rsidRPr="00232AD7">
              <w:rPr>
                <w:sz w:val="20"/>
                <w:szCs w:val="20"/>
                <w:lang w:val="en-US"/>
              </w:rPr>
              <w:t>Vorburger</w:t>
            </w:r>
            <w:proofErr w:type="spellEnd"/>
            <w:r w:rsidRPr="00232AD7">
              <w:rPr>
                <w:sz w:val="20"/>
                <w:szCs w:val="20"/>
                <w:lang w:val="en-US"/>
              </w:rPr>
              <w:t xml:space="preserve"> SA, </w:t>
            </w:r>
            <w:proofErr w:type="spellStart"/>
            <w:r w:rsidRPr="00232AD7">
              <w:rPr>
                <w:sz w:val="20"/>
                <w:szCs w:val="20"/>
                <w:lang w:val="en-US"/>
              </w:rPr>
              <w:t>Candinas</w:t>
            </w:r>
            <w:proofErr w:type="spellEnd"/>
            <w:r w:rsidRPr="00232AD7">
              <w:rPr>
                <w:sz w:val="20"/>
                <w:szCs w:val="20"/>
                <w:lang w:val="en-US"/>
              </w:rPr>
              <w:t xml:space="preserve"> D. Randomized controlled trial on single dose steroid before thyroidectomy for benign disease to improve postoperative nausea, pain, and vocal function. Ann </w:t>
            </w:r>
            <w:proofErr w:type="spellStart"/>
            <w:r w:rsidRPr="00232AD7">
              <w:rPr>
                <w:sz w:val="20"/>
                <w:szCs w:val="20"/>
                <w:lang w:val="en-US"/>
              </w:rPr>
              <w:t>Surg</w:t>
            </w:r>
            <w:proofErr w:type="spellEnd"/>
            <w:r w:rsidRPr="00232AD7">
              <w:rPr>
                <w:sz w:val="20"/>
                <w:szCs w:val="20"/>
                <w:lang w:val="en-US"/>
              </w:rPr>
              <w:t xml:space="preserve"> 2008; 248: 1060-6</w:t>
            </w:r>
            <w:r>
              <w:rPr>
                <w:sz w:val="20"/>
                <w:szCs w:val="20"/>
                <w:vertAlign w:val="superscript"/>
                <w:lang w:val="en-US"/>
              </w:rPr>
              <w:t>52</w:t>
            </w:r>
            <w:r w:rsidRPr="00232AD7">
              <w:rPr>
                <w:sz w:val="20"/>
                <w:szCs w:val="20"/>
                <w:lang w:val="en-US"/>
              </w:rPr>
              <w:t>.</w:t>
            </w:r>
          </w:p>
          <w:p w:rsidR="00FC33EC" w:rsidRPr="00232AD7" w:rsidRDefault="00FC33EC" w:rsidP="00FC33EC">
            <w:pPr>
              <w:pStyle w:val="Prrafodelista1"/>
              <w:numPr>
                <w:ilvl w:val="0"/>
                <w:numId w:val="4"/>
              </w:numPr>
              <w:spacing w:after="120"/>
              <w:jc w:val="both"/>
              <w:rPr>
                <w:sz w:val="20"/>
                <w:szCs w:val="20"/>
                <w:lang w:val="en-US"/>
              </w:rPr>
            </w:pPr>
            <w:proofErr w:type="spellStart"/>
            <w:r w:rsidRPr="00232AD7">
              <w:rPr>
                <w:sz w:val="20"/>
                <w:szCs w:val="20"/>
                <w:lang w:val="en-US"/>
              </w:rPr>
              <w:t>Feroci</w:t>
            </w:r>
            <w:proofErr w:type="spellEnd"/>
            <w:r w:rsidRPr="00232AD7">
              <w:rPr>
                <w:sz w:val="20"/>
                <w:szCs w:val="20"/>
                <w:lang w:val="en-US"/>
              </w:rPr>
              <w:t xml:space="preserve"> F, </w:t>
            </w:r>
            <w:proofErr w:type="spellStart"/>
            <w:r w:rsidRPr="00232AD7">
              <w:rPr>
                <w:sz w:val="20"/>
                <w:szCs w:val="20"/>
                <w:lang w:val="en-US"/>
              </w:rPr>
              <w:t>Rettori</w:t>
            </w:r>
            <w:proofErr w:type="spellEnd"/>
            <w:r w:rsidRPr="00232AD7">
              <w:rPr>
                <w:sz w:val="20"/>
                <w:szCs w:val="20"/>
                <w:lang w:val="en-US"/>
              </w:rPr>
              <w:t xml:space="preserve"> M, </w:t>
            </w:r>
            <w:proofErr w:type="spellStart"/>
            <w:r w:rsidRPr="00232AD7">
              <w:rPr>
                <w:sz w:val="20"/>
                <w:szCs w:val="20"/>
                <w:lang w:val="en-US"/>
              </w:rPr>
              <w:t>Borrelli</w:t>
            </w:r>
            <w:proofErr w:type="spellEnd"/>
            <w:r w:rsidRPr="00232AD7">
              <w:rPr>
                <w:sz w:val="20"/>
                <w:szCs w:val="20"/>
                <w:lang w:val="en-US"/>
              </w:rPr>
              <w:t xml:space="preserve"> A,</w:t>
            </w:r>
            <w:r w:rsidRPr="00232AD7">
              <w:rPr>
                <w:rFonts w:ascii="Arial" w:hAnsi="Arial" w:cs="Arial"/>
                <w:sz w:val="20"/>
                <w:szCs w:val="20"/>
                <w:lang w:val="en-US"/>
              </w:rPr>
              <w:t xml:space="preserve"> </w:t>
            </w:r>
            <w:proofErr w:type="spellStart"/>
            <w:r w:rsidRPr="00232AD7">
              <w:rPr>
                <w:sz w:val="20"/>
                <w:szCs w:val="20"/>
                <w:lang w:val="en-US"/>
              </w:rPr>
              <w:t>Lenzi</w:t>
            </w:r>
            <w:proofErr w:type="spellEnd"/>
            <w:r w:rsidRPr="00232AD7">
              <w:rPr>
                <w:sz w:val="20"/>
                <w:szCs w:val="20"/>
                <w:lang w:val="en-US"/>
              </w:rPr>
              <w:t xml:space="preserve"> E, </w:t>
            </w:r>
            <w:proofErr w:type="spellStart"/>
            <w:r w:rsidRPr="00232AD7">
              <w:rPr>
                <w:sz w:val="20"/>
                <w:szCs w:val="20"/>
                <w:lang w:val="en-US"/>
              </w:rPr>
              <w:t>Ottaviano</w:t>
            </w:r>
            <w:proofErr w:type="spellEnd"/>
            <w:r w:rsidRPr="00232AD7">
              <w:rPr>
                <w:sz w:val="20"/>
                <w:szCs w:val="20"/>
                <w:lang w:val="en-US"/>
              </w:rPr>
              <w:t xml:space="preserve"> A, </w:t>
            </w:r>
            <w:proofErr w:type="spellStart"/>
            <w:r w:rsidRPr="00232AD7">
              <w:rPr>
                <w:sz w:val="20"/>
                <w:szCs w:val="20"/>
                <w:lang w:val="en-US"/>
              </w:rPr>
              <w:t>Scatizzi</w:t>
            </w:r>
            <w:proofErr w:type="spellEnd"/>
            <w:r w:rsidRPr="00232AD7">
              <w:rPr>
                <w:sz w:val="20"/>
                <w:szCs w:val="20"/>
                <w:lang w:val="en-US"/>
              </w:rPr>
              <w:t xml:space="preserve"> M. </w:t>
            </w:r>
            <w:proofErr w:type="spellStart"/>
            <w:r w:rsidRPr="00232AD7">
              <w:rPr>
                <w:sz w:val="20"/>
                <w:szCs w:val="20"/>
                <w:lang w:val="en-US"/>
              </w:rPr>
              <w:t>Dexamethasone</w:t>
            </w:r>
            <w:proofErr w:type="spellEnd"/>
            <w:r w:rsidRPr="00232AD7">
              <w:rPr>
                <w:sz w:val="20"/>
                <w:szCs w:val="20"/>
                <w:lang w:val="en-US"/>
              </w:rPr>
              <w:t xml:space="preserve"> prophylaxis before thyroidectomy to reduce postoperative nausea, pain and vocal dysfunction: a randomized </w:t>
            </w:r>
            <w:r w:rsidRPr="00232AD7">
              <w:rPr>
                <w:sz w:val="20"/>
                <w:szCs w:val="20"/>
                <w:lang w:val="en-US"/>
              </w:rPr>
              <w:lastRenderedPageBreak/>
              <w:t>clinical controlled trial. Head Neck 2011; 33:840-6</w:t>
            </w:r>
            <w:r>
              <w:rPr>
                <w:sz w:val="20"/>
                <w:szCs w:val="20"/>
                <w:vertAlign w:val="superscript"/>
                <w:lang w:val="en-US"/>
              </w:rPr>
              <w:t>53</w:t>
            </w:r>
            <w:r w:rsidRPr="00232AD7">
              <w:rPr>
                <w:sz w:val="20"/>
                <w:szCs w:val="20"/>
                <w:lang w:val="en-US"/>
              </w:rPr>
              <w:t>.</w:t>
            </w:r>
          </w:p>
          <w:p w:rsidR="00FC33EC" w:rsidRPr="00232AD7" w:rsidRDefault="00FC33EC" w:rsidP="00FC33EC">
            <w:pPr>
              <w:pStyle w:val="Prrafodelista1"/>
              <w:numPr>
                <w:ilvl w:val="0"/>
                <w:numId w:val="4"/>
              </w:numPr>
              <w:spacing w:after="120"/>
              <w:jc w:val="both"/>
              <w:rPr>
                <w:sz w:val="20"/>
                <w:szCs w:val="20"/>
                <w:lang w:val="en-US"/>
              </w:rPr>
            </w:pPr>
            <w:r w:rsidRPr="00232AD7">
              <w:rPr>
                <w:sz w:val="20"/>
                <w:szCs w:val="20"/>
                <w:lang w:val="de-DE"/>
              </w:rPr>
              <w:t xml:space="preserve">Chen CC, Siddiqui FJ, Chen TL, Chan ES, Tam KW. </w:t>
            </w:r>
            <w:proofErr w:type="spellStart"/>
            <w:r w:rsidRPr="00232AD7">
              <w:rPr>
                <w:sz w:val="20"/>
                <w:szCs w:val="20"/>
                <w:lang w:val="en-US"/>
              </w:rPr>
              <w:t>Dexamethasone</w:t>
            </w:r>
            <w:proofErr w:type="spellEnd"/>
            <w:r w:rsidRPr="00232AD7">
              <w:rPr>
                <w:sz w:val="20"/>
                <w:szCs w:val="20"/>
                <w:lang w:val="en-US"/>
              </w:rPr>
              <w:t xml:space="preserve"> for prevention of postoperative nausea and vomiting in </w:t>
            </w:r>
            <w:proofErr w:type="spellStart"/>
            <w:r w:rsidRPr="00232AD7">
              <w:rPr>
                <w:sz w:val="20"/>
                <w:szCs w:val="20"/>
                <w:lang w:val="en-US"/>
              </w:rPr>
              <w:t>patientes</w:t>
            </w:r>
            <w:proofErr w:type="spellEnd"/>
            <w:r w:rsidRPr="00232AD7">
              <w:rPr>
                <w:sz w:val="20"/>
                <w:szCs w:val="20"/>
                <w:lang w:val="en-US"/>
              </w:rPr>
              <w:t xml:space="preserve"> undergoing thyroidectomy: meta-analysis of randomized controlled trials. World J </w:t>
            </w:r>
            <w:proofErr w:type="spellStart"/>
            <w:r w:rsidRPr="00232AD7">
              <w:rPr>
                <w:sz w:val="20"/>
                <w:szCs w:val="20"/>
                <w:lang w:val="en-US"/>
              </w:rPr>
              <w:t>Surg</w:t>
            </w:r>
            <w:proofErr w:type="spellEnd"/>
            <w:r w:rsidRPr="00232AD7">
              <w:rPr>
                <w:sz w:val="20"/>
                <w:szCs w:val="20"/>
                <w:lang w:val="en-US"/>
              </w:rPr>
              <w:t xml:space="preserve"> 2012; 36: 61-8</w:t>
            </w:r>
            <w:r>
              <w:rPr>
                <w:sz w:val="20"/>
                <w:szCs w:val="20"/>
                <w:vertAlign w:val="superscript"/>
                <w:lang w:val="en-US"/>
              </w:rPr>
              <w:t>54</w:t>
            </w:r>
            <w:r w:rsidRPr="00232AD7">
              <w:rPr>
                <w:sz w:val="20"/>
                <w:szCs w:val="20"/>
                <w:lang w:val="en-US"/>
              </w:rPr>
              <w:t>.</w:t>
            </w:r>
          </w:p>
          <w:p w:rsidR="00FC33EC" w:rsidRDefault="00FC33EC" w:rsidP="00FC33EC">
            <w:pPr>
              <w:pStyle w:val="Prrafodelista1"/>
              <w:numPr>
                <w:ilvl w:val="0"/>
                <w:numId w:val="4"/>
              </w:numPr>
              <w:spacing w:after="120"/>
              <w:jc w:val="both"/>
              <w:rPr>
                <w:lang w:val="en-US"/>
              </w:rPr>
            </w:pPr>
            <w:r w:rsidRPr="00232AD7">
              <w:rPr>
                <w:sz w:val="20"/>
                <w:szCs w:val="20"/>
                <w:lang w:val="fr-FR"/>
              </w:rPr>
              <w:t xml:space="preserve">Lee Y, Lin PC, Lai HY, Huang SJ, Lin YS, Cheng CR. </w:t>
            </w:r>
            <w:r w:rsidRPr="00232AD7">
              <w:rPr>
                <w:sz w:val="20"/>
                <w:szCs w:val="20"/>
                <w:lang w:val="en-US"/>
              </w:rPr>
              <w:t xml:space="preserve">Prevention of PONV with </w:t>
            </w:r>
            <w:proofErr w:type="spellStart"/>
            <w:r w:rsidRPr="00232AD7">
              <w:rPr>
                <w:sz w:val="20"/>
                <w:szCs w:val="20"/>
                <w:lang w:val="en-US"/>
              </w:rPr>
              <w:t>dexamethasone</w:t>
            </w:r>
            <w:proofErr w:type="spellEnd"/>
            <w:r w:rsidRPr="00232AD7">
              <w:rPr>
                <w:sz w:val="20"/>
                <w:szCs w:val="20"/>
                <w:lang w:val="en-US"/>
              </w:rPr>
              <w:t xml:space="preserve"> in female patients undergoing </w:t>
            </w:r>
            <w:proofErr w:type="spellStart"/>
            <w:r w:rsidRPr="00232AD7">
              <w:rPr>
                <w:sz w:val="20"/>
                <w:szCs w:val="20"/>
                <w:lang w:val="en-US"/>
              </w:rPr>
              <w:t>desflurane</w:t>
            </w:r>
            <w:proofErr w:type="spellEnd"/>
            <w:r w:rsidRPr="00232AD7">
              <w:rPr>
                <w:sz w:val="20"/>
                <w:szCs w:val="20"/>
                <w:lang w:val="en-US"/>
              </w:rPr>
              <w:t xml:space="preserve"> anesthesia for thyro</w:t>
            </w:r>
            <w:r>
              <w:rPr>
                <w:sz w:val="20"/>
                <w:szCs w:val="20"/>
                <w:lang w:val="en-US"/>
              </w:rPr>
              <w:t xml:space="preserve">idectomy. </w:t>
            </w:r>
            <w:proofErr w:type="spellStart"/>
            <w:r>
              <w:rPr>
                <w:sz w:val="20"/>
                <w:szCs w:val="20"/>
                <w:lang w:val="en-US"/>
              </w:rPr>
              <w:t>Acta</w:t>
            </w:r>
            <w:proofErr w:type="spellEnd"/>
            <w:r>
              <w:rPr>
                <w:sz w:val="20"/>
                <w:szCs w:val="20"/>
                <w:lang w:val="en-US"/>
              </w:rPr>
              <w:t xml:space="preserve"> </w:t>
            </w:r>
            <w:proofErr w:type="spellStart"/>
            <w:r>
              <w:rPr>
                <w:sz w:val="20"/>
                <w:szCs w:val="20"/>
                <w:lang w:val="en-US"/>
              </w:rPr>
              <w:t>Anaesthesiol</w:t>
            </w:r>
            <w:proofErr w:type="spellEnd"/>
            <w:r>
              <w:rPr>
                <w:sz w:val="20"/>
                <w:szCs w:val="20"/>
                <w:lang w:val="en-US"/>
              </w:rPr>
              <w:t xml:space="preserve"> Sin</w:t>
            </w:r>
            <w:r w:rsidRPr="00232AD7">
              <w:rPr>
                <w:sz w:val="20"/>
                <w:szCs w:val="20"/>
                <w:lang w:val="en-US"/>
              </w:rPr>
              <w:t xml:space="preserve"> 2001; 39: 151-6</w:t>
            </w:r>
            <w:r>
              <w:rPr>
                <w:sz w:val="20"/>
                <w:szCs w:val="20"/>
                <w:vertAlign w:val="superscript"/>
                <w:lang w:val="en-US"/>
              </w:rPr>
              <w:t>55</w:t>
            </w:r>
            <w:r w:rsidRPr="00232AD7">
              <w:rPr>
                <w:sz w:val="20"/>
                <w:szCs w:val="20"/>
                <w:lang w:val="en-US"/>
              </w:rPr>
              <w:t>.</w:t>
            </w:r>
          </w:p>
          <w:p w:rsidR="00FC33EC" w:rsidRPr="001D46EA" w:rsidRDefault="00FC33EC" w:rsidP="00274F6B">
            <w:pPr>
              <w:rPr>
                <w:sz w:val="20"/>
                <w:szCs w:val="20"/>
                <w:lang w:val="en-GB"/>
              </w:rPr>
            </w:pPr>
          </w:p>
        </w:tc>
      </w:tr>
    </w:tbl>
    <w:p w:rsidR="00FC33EC" w:rsidRDefault="00FC33EC" w:rsidP="00FC33EC">
      <w:pPr>
        <w:pStyle w:val="Textodebloque"/>
        <w:spacing w:line="240" w:lineRule="auto"/>
        <w:ind w:left="708"/>
        <w:rPr>
          <w:b w:val="0"/>
          <w:bCs w:val="0"/>
          <w:sz w:val="24"/>
          <w:szCs w:val="24"/>
        </w:rPr>
      </w:pPr>
    </w:p>
    <w:p w:rsidR="00FC33EC" w:rsidRPr="008F007D" w:rsidRDefault="00FC33EC" w:rsidP="00FC33EC">
      <w:pPr>
        <w:pStyle w:val="Textodebloque"/>
        <w:spacing w:line="240" w:lineRule="auto"/>
        <w:ind w:left="2340"/>
        <w:rPr>
          <w:b w:val="0"/>
          <w:bCs w:val="0"/>
          <w:sz w:val="24"/>
          <w:szCs w:val="24"/>
        </w:rPr>
      </w:pPr>
    </w:p>
    <w:p w:rsidR="00FC33EC" w:rsidRDefault="00FC33EC" w:rsidP="00FC33EC">
      <w:pPr>
        <w:pStyle w:val="Textodebloque"/>
        <w:spacing w:line="240" w:lineRule="auto"/>
        <w:ind w:left="0" w:firstLine="708"/>
        <w:rPr>
          <w:b w:val="0"/>
          <w:bCs w:val="0"/>
          <w:sz w:val="24"/>
          <w:szCs w:val="24"/>
        </w:rPr>
      </w:pPr>
    </w:p>
    <w:tbl>
      <w:tblPr>
        <w:tblW w:w="500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99"/>
        <w:gridCol w:w="6148"/>
      </w:tblGrid>
      <w:tr w:rsidR="00FC33EC" w:rsidRPr="000830E7" w:rsidTr="00274F6B">
        <w:trPr>
          <w:trHeight w:val="699"/>
        </w:trPr>
        <w:tc>
          <w:tcPr>
            <w:tcW w:w="1445"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p>
        </w:tc>
        <w:tc>
          <w:tcPr>
            <w:tcW w:w="3555"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Pr>
                <w:b/>
                <w:bCs/>
                <w:sz w:val="20"/>
                <w:szCs w:val="20"/>
              </w:rPr>
              <w:t>Existencia del listado de verificación quirúrgica de la Organización Mundial de la Salud</w:t>
            </w:r>
          </w:p>
        </w:tc>
      </w:tr>
      <w:tr w:rsidR="00FC33EC" w:rsidRPr="000830E7" w:rsidTr="00274F6B">
        <w:trPr>
          <w:trHeight w:val="529"/>
        </w:trPr>
        <w:tc>
          <w:tcPr>
            <w:tcW w:w="1445"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Fórmula</w:t>
            </w:r>
          </w:p>
        </w:tc>
        <w:tc>
          <w:tcPr>
            <w:tcW w:w="3555" w:type="pct"/>
            <w:tcBorders>
              <w:top w:val="single" w:sz="4" w:space="0" w:color="auto"/>
              <w:left w:val="single" w:sz="4" w:space="0" w:color="auto"/>
              <w:bottom w:val="single" w:sz="4" w:space="0" w:color="auto"/>
              <w:right w:val="single" w:sz="4" w:space="0" w:color="auto"/>
            </w:tcBorders>
            <w:vAlign w:val="center"/>
          </w:tcPr>
          <w:p w:rsidR="00FC33EC" w:rsidRPr="00A16C4B" w:rsidRDefault="00FC33EC" w:rsidP="00274F6B">
            <w:pPr>
              <w:rPr>
                <w:sz w:val="20"/>
                <w:szCs w:val="20"/>
              </w:rPr>
            </w:pPr>
            <w:r w:rsidRPr="00A16C4B">
              <w:rPr>
                <w:sz w:val="20"/>
                <w:szCs w:val="20"/>
              </w:rPr>
              <w:t xml:space="preserve">Pacientes intervenidos de tiroidectomía que tienen el listado de verificación quirúrgica </w:t>
            </w:r>
            <w:r>
              <w:rPr>
                <w:sz w:val="20"/>
                <w:szCs w:val="20"/>
              </w:rPr>
              <w:t>en la historia clínica</w:t>
            </w:r>
            <w:r w:rsidRPr="00A16C4B">
              <w:rPr>
                <w:sz w:val="20"/>
                <w:szCs w:val="20"/>
              </w:rPr>
              <w:t xml:space="preserve"> </w:t>
            </w:r>
            <w:r>
              <w:rPr>
                <w:sz w:val="20"/>
                <w:szCs w:val="20"/>
              </w:rPr>
              <w:t>x</w:t>
            </w:r>
            <w:r w:rsidRPr="00A16C4B">
              <w:rPr>
                <w:sz w:val="20"/>
                <w:szCs w:val="20"/>
              </w:rPr>
              <w:t xml:space="preserve"> 100 / pacientes sometidos a tiroidectomía.</w:t>
            </w:r>
          </w:p>
        </w:tc>
      </w:tr>
      <w:tr w:rsidR="00FC33EC" w:rsidRPr="000830E7" w:rsidTr="00274F6B">
        <w:trPr>
          <w:trHeight w:val="463"/>
        </w:trPr>
        <w:tc>
          <w:tcPr>
            <w:tcW w:w="1445"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after="120"/>
              <w:rPr>
                <w:b/>
                <w:bCs/>
                <w:sz w:val="20"/>
                <w:szCs w:val="20"/>
              </w:rPr>
            </w:pPr>
            <w:r w:rsidRPr="000830E7">
              <w:rPr>
                <w:b/>
                <w:bCs/>
                <w:sz w:val="20"/>
                <w:szCs w:val="20"/>
              </w:rPr>
              <w:t>Exclusiones</w:t>
            </w:r>
          </w:p>
        </w:tc>
        <w:tc>
          <w:tcPr>
            <w:tcW w:w="3555" w:type="pct"/>
            <w:tcBorders>
              <w:top w:val="single" w:sz="4" w:space="0" w:color="auto"/>
              <w:left w:val="single" w:sz="4" w:space="0" w:color="auto"/>
              <w:bottom w:val="single" w:sz="4" w:space="0" w:color="auto"/>
              <w:right w:val="single" w:sz="4" w:space="0" w:color="auto"/>
            </w:tcBorders>
            <w:vAlign w:val="center"/>
          </w:tcPr>
          <w:p w:rsidR="00FC33EC" w:rsidRPr="00A16C4B" w:rsidRDefault="00FC33EC" w:rsidP="00274F6B">
            <w:pPr>
              <w:rPr>
                <w:sz w:val="20"/>
                <w:szCs w:val="20"/>
              </w:rPr>
            </w:pPr>
            <w:r>
              <w:rPr>
                <w:sz w:val="20"/>
                <w:szCs w:val="20"/>
              </w:rPr>
              <w:t>Ninguna</w:t>
            </w:r>
          </w:p>
        </w:tc>
      </w:tr>
      <w:tr w:rsidR="00FC33EC" w:rsidRPr="000830E7" w:rsidTr="00274F6B">
        <w:trPr>
          <w:trHeight w:val="981"/>
        </w:trPr>
        <w:tc>
          <w:tcPr>
            <w:tcW w:w="1445"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Aclaraciones</w:t>
            </w:r>
          </w:p>
        </w:tc>
        <w:tc>
          <w:tcPr>
            <w:tcW w:w="3555" w:type="pct"/>
            <w:tcBorders>
              <w:top w:val="single" w:sz="4" w:space="0" w:color="auto"/>
              <w:left w:val="single" w:sz="4" w:space="0" w:color="auto"/>
              <w:bottom w:val="single" w:sz="4" w:space="0" w:color="auto"/>
              <w:right w:val="single" w:sz="4" w:space="0" w:color="auto"/>
            </w:tcBorders>
            <w:vAlign w:val="center"/>
          </w:tcPr>
          <w:p w:rsidR="00FC33EC" w:rsidRPr="00D509E2" w:rsidRDefault="00FC33EC" w:rsidP="00274F6B">
            <w:pPr>
              <w:pStyle w:val="Textodebloque"/>
              <w:spacing w:line="240" w:lineRule="auto"/>
              <w:ind w:left="0"/>
              <w:rPr>
                <w:b w:val="0"/>
                <w:bCs w:val="0"/>
                <w:sz w:val="20"/>
                <w:szCs w:val="20"/>
              </w:rPr>
            </w:pPr>
            <w:r w:rsidRPr="00D509E2">
              <w:rPr>
                <w:rFonts w:eastAsia="Batang"/>
                <w:b w:val="0"/>
                <w:bCs w:val="0"/>
                <w:sz w:val="20"/>
                <w:szCs w:val="20"/>
                <w:lang w:eastAsia="ko-KR"/>
              </w:rPr>
              <w:t>Listado de verificación de seguridad quirúrgica (</w:t>
            </w:r>
            <w:proofErr w:type="spellStart"/>
            <w:r w:rsidRPr="00D509E2">
              <w:rPr>
                <w:rFonts w:eastAsia="Batang"/>
                <w:b w:val="0"/>
                <w:bCs w:val="0"/>
                <w:sz w:val="20"/>
                <w:szCs w:val="20"/>
                <w:lang w:eastAsia="ko-KR"/>
              </w:rPr>
              <w:t>check</w:t>
            </w:r>
            <w:proofErr w:type="spellEnd"/>
            <w:r w:rsidRPr="00D509E2">
              <w:rPr>
                <w:rFonts w:eastAsia="Batang"/>
                <w:b w:val="0"/>
                <w:bCs w:val="0"/>
                <w:sz w:val="20"/>
                <w:szCs w:val="20"/>
                <w:lang w:eastAsia="ko-KR"/>
              </w:rPr>
              <w:t xml:space="preserve"> </w:t>
            </w:r>
            <w:proofErr w:type="spellStart"/>
            <w:r w:rsidRPr="00D509E2">
              <w:rPr>
                <w:rFonts w:eastAsia="Batang"/>
                <w:b w:val="0"/>
                <w:bCs w:val="0"/>
                <w:sz w:val="20"/>
                <w:szCs w:val="20"/>
                <w:lang w:eastAsia="ko-KR"/>
              </w:rPr>
              <w:t>list</w:t>
            </w:r>
            <w:proofErr w:type="spellEnd"/>
            <w:r w:rsidRPr="00D509E2">
              <w:rPr>
                <w:rFonts w:eastAsia="Batang"/>
                <w:b w:val="0"/>
                <w:bCs w:val="0"/>
                <w:sz w:val="20"/>
                <w:szCs w:val="20"/>
                <w:lang w:eastAsia="ko-KR"/>
              </w:rPr>
              <w:t>) documentado: constancia de una hoja de verificación de seguridad quirúrgica en la historia clínica ó cualquier otro sistema de registro.</w:t>
            </w:r>
          </w:p>
        </w:tc>
      </w:tr>
      <w:tr w:rsidR="00FC33EC" w:rsidRPr="000830E7" w:rsidTr="00274F6B">
        <w:trPr>
          <w:trHeight w:val="542"/>
        </w:trPr>
        <w:tc>
          <w:tcPr>
            <w:tcW w:w="1445"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 xml:space="preserve">Tipo de indicador </w:t>
            </w:r>
          </w:p>
        </w:tc>
        <w:tc>
          <w:tcPr>
            <w:tcW w:w="3555" w:type="pct"/>
            <w:tcBorders>
              <w:top w:val="single" w:sz="4" w:space="0" w:color="auto"/>
              <w:left w:val="single" w:sz="4" w:space="0" w:color="auto"/>
              <w:bottom w:val="single" w:sz="4" w:space="0" w:color="auto"/>
              <w:right w:val="single" w:sz="4" w:space="0" w:color="auto"/>
            </w:tcBorders>
            <w:vAlign w:val="center"/>
          </w:tcPr>
          <w:p w:rsidR="00FC33EC" w:rsidRPr="00A16C4B" w:rsidRDefault="00FC33EC" w:rsidP="00274F6B">
            <w:pPr>
              <w:rPr>
                <w:sz w:val="20"/>
                <w:szCs w:val="20"/>
              </w:rPr>
            </w:pPr>
            <w:r w:rsidRPr="00A16C4B">
              <w:rPr>
                <w:sz w:val="20"/>
                <w:szCs w:val="20"/>
              </w:rPr>
              <w:t>Proceso</w:t>
            </w:r>
          </w:p>
        </w:tc>
      </w:tr>
      <w:tr w:rsidR="00FC33EC" w:rsidRPr="000830E7" w:rsidTr="00274F6B">
        <w:trPr>
          <w:trHeight w:val="799"/>
        </w:trPr>
        <w:tc>
          <w:tcPr>
            <w:tcW w:w="1445"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sidRPr="000830E7">
              <w:rPr>
                <w:b/>
                <w:bCs/>
                <w:sz w:val="20"/>
                <w:szCs w:val="20"/>
              </w:rPr>
              <w:t>Justificación</w:t>
            </w:r>
          </w:p>
        </w:tc>
        <w:tc>
          <w:tcPr>
            <w:tcW w:w="3555" w:type="pct"/>
            <w:tcBorders>
              <w:top w:val="single" w:sz="4" w:space="0" w:color="auto"/>
              <w:left w:val="single" w:sz="4" w:space="0" w:color="auto"/>
              <w:bottom w:val="single" w:sz="4" w:space="0" w:color="auto"/>
              <w:right w:val="single" w:sz="4" w:space="0" w:color="auto"/>
            </w:tcBorders>
            <w:vAlign w:val="center"/>
          </w:tcPr>
          <w:p w:rsidR="00FC33EC" w:rsidRPr="00A16C4B" w:rsidRDefault="00FC33EC" w:rsidP="00274F6B">
            <w:pPr>
              <w:autoSpaceDE w:val="0"/>
              <w:autoSpaceDN w:val="0"/>
              <w:adjustRightInd w:val="0"/>
              <w:rPr>
                <w:rFonts w:eastAsia="Batang"/>
                <w:sz w:val="20"/>
                <w:szCs w:val="20"/>
                <w:lang w:eastAsia="ko-KR"/>
              </w:rPr>
            </w:pPr>
            <w:r w:rsidRPr="00A16C4B">
              <w:rPr>
                <w:rFonts w:eastAsia="Batang"/>
                <w:sz w:val="20"/>
                <w:szCs w:val="20"/>
                <w:lang w:eastAsia="ko-KR"/>
              </w:rPr>
              <w:t>Se deberían implantar el “Listado de Verificación de Seguridad</w:t>
            </w:r>
          </w:p>
          <w:p w:rsidR="00FC33EC" w:rsidRPr="00A16C4B" w:rsidRDefault="00FC33EC" w:rsidP="00274F6B">
            <w:pPr>
              <w:autoSpaceDE w:val="0"/>
              <w:autoSpaceDN w:val="0"/>
              <w:adjustRightInd w:val="0"/>
              <w:rPr>
                <w:rFonts w:eastAsia="Batang"/>
                <w:sz w:val="20"/>
                <w:szCs w:val="20"/>
                <w:lang w:eastAsia="ko-KR"/>
              </w:rPr>
            </w:pPr>
            <w:r w:rsidRPr="00A16C4B">
              <w:rPr>
                <w:rFonts w:eastAsia="Batang"/>
                <w:sz w:val="20"/>
                <w:szCs w:val="20"/>
                <w:lang w:eastAsia="ko-KR"/>
              </w:rPr>
              <w:t>Quirúrgica” en cualquier procedimiento para mejorar</w:t>
            </w:r>
          </w:p>
          <w:p w:rsidR="00FC33EC" w:rsidRPr="00A16C4B" w:rsidRDefault="00FC33EC" w:rsidP="00274F6B">
            <w:pPr>
              <w:autoSpaceDE w:val="0"/>
              <w:autoSpaceDN w:val="0"/>
              <w:adjustRightInd w:val="0"/>
              <w:rPr>
                <w:rFonts w:eastAsia="Batang"/>
                <w:sz w:val="20"/>
                <w:szCs w:val="20"/>
                <w:lang w:eastAsia="ko-KR"/>
              </w:rPr>
            </w:pPr>
            <w:r w:rsidRPr="00A16C4B">
              <w:rPr>
                <w:rFonts w:eastAsia="Batang"/>
                <w:sz w:val="20"/>
                <w:szCs w:val="20"/>
                <w:lang w:eastAsia="ko-KR"/>
              </w:rPr>
              <w:t>la seguridad de las intervenciones y disminuir las complicaciones</w:t>
            </w:r>
          </w:p>
          <w:p w:rsidR="00FC33EC" w:rsidRPr="00A16C4B" w:rsidRDefault="00FC33EC" w:rsidP="00274F6B">
            <w:pPr>
              <w:pStyle w:val="Textodebloque"/>
              <w:spacing w:line="240" w:lineRule="auto"/>
              <w:ind w:left="0"/>
              <w:rPr>
                <w:b w:val="0"/>
                <w:bCs w:val="0"/>
                <w:sz w:val="20"/>
                <w:szCs w:val="20"/>
              </w:rPr>
            </w:pPr>
            <w:proofErr w:type="gramStart"/>
            <w:r w:rsidRPr="00A16C4B">
              <w:rPr>
                <w:rFonts w:eastAsia="Batang"/>
                <w:b w:val="0"/>
                <w:bCs w:val="0"/>
                <w:sz w:val="20"/>
                <w:szCs w:val="20"/>
                <w:lang w:eastAsia="ko-KR"/>
              </w:rPr>
              <w:t>evitables</w:t>
            </w:r>
            <w:proofErr w:type="gramEnd"/>
            <w:r w:rsidRPr="00A16C4B">
              <w:rPr>
                <w:rFonts w:eastAsia="Batang"/>
                <w:b w:val="0"/>
                <w:bCs w:val="0"/>
                <w:sz w:val="20"/>
                <w:szCs w:val="20"/>
                <w:lang w:eastAsia="ko-KR"/>
              </w:rPr>
              <w:t>.</w:t>
            </w:r>
          </w:p>
        </w:tc>
      </w:tr>
      <w:tr w:rsidR="00FC33EC" w:rsidRPr="000830E7" w:rsidTr="00274F6B">
        <w:trPr>
          <w:trHeight w:val="775"/>
        </w:trPr>
        <w:tc>
          <w:tcPr>
            <w:tcW w:w="1445"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sidRPr="000830E7">
              <w:rPr>
                <w:b/>
                <w:bCs/>
                <w:sz w:val="20"/>
                <w:szCs w:val="20"/>
              </w:rPr>
              <w:t>Origen del indicador</w:t>
            </w:r>
          </w:p>
        </w:tc>
        <w:tc>
          <w:tcPr>
            <w:tcW w:w="3555" w:type="pct"/>
            <w:tcBorders>
              <w:top w:val="single" w:sz="4" w:space="0" w:color="auto"/>
              <w:left w:val="single" w:sz="4" w:space="0" w:color="auto"/>
              <w:bottom w:val="single" w:sz="4" w:space="0" w:color="auto"/>
              <w:right w:val="single" w:sz="4" w:space="0" w:color="auto"/>
            </w:tcBorders>
            <w:vAlign w:val="center"/>
          </w:tcPr>
          <w:p w:rsidR="00FC33EC" w:rsidRPr="00A16C4B" w:rsidRDefault="00FC33EC" w:rsidP="00274F6B">
            <w:pPr>
              <w:autoSpaceDE w:val="0"/>
              <w:autoSpaceDN w:val="0"/>
              <w:adjustRightInd w:val="0"/>
              <w:rPr>
                <w:rFonts w:eastAsia="Batang"/>
                <w:sz w:val="20"/>
                <w:szCs w:val="20"/>
                <w:lang w:eastAsia="ko-KR"/>
              </w:rPr>
            </w:pPr>
            <w:r w:rsidRPr="00A16C4B">
              <w:rPr>
                <w:rFonts w:eastAsia="Batang"/>
                <w:sz w:val="20"/>
                <w:szCs w:val="20"/>
                <w:lang w:eastAsia="ko-KR"/>
              </w:rPr>
              <w:t>Adaptado de Estrategia de seguridad del paciente del Ministerio</w:t>
            </w:r>
          </w:p>
          <w:p w:rsidR="00FC33EC" w:rsidRPr="00A16C4B" w:rsidRDefault="00FC33EC" w:rsidP="00274F6B">
            <w:pPr>
              <w:rPr>
                <w:sz w:val="20"/>
                <w:szCs w:val="20"/>
                <w:lang w:val="fr-FR"/>
              </w:rPr>
            </w:pPr>
            <w:proofErr w:type="gramStart"/>
            <w:r w:rsidRPr="00A16C4B">
              <w:rPr>
                <w:rFonts w:eastAsia="Batang"/>
                <w:sz w:val="20"/>
                <w:szCs w:val="20"/>
                <w:lang w:eastAsia="ko-KR"/>
              </w:rPr>
              <w:t>de</w:t>
            </w:r>
            <w:proofErr w:type="gramEnd"/>
            <w:r w:rsidRPr="00A16C4B">
              <w:rPr>
                <w:rFonts w:eastAsia="Batang"/>
                <w:sz w:val="20"/>
                <w:szCs w:val="20"/>
                <w:lang w:eastAsia="ko-KR"/>
              </w:rPr>
              <w:t xml:space="preserve"> Sanidad. 2010</w:t>
            </w:r>
          </w:p>
        </w:tc>
      </w:tr>
      <w:tr w:rsidR="00FC33EC" w:rsidRPr="0084570F" w:rsidTr="00274F6B">
        <w:trPr>
          <w:trHeight w:val="1639"/>
        </w:trPr>
        <w:tc>
          <w:tcPr>
            <w:tcW w:w="1445" w:type="pct"/>
            <w:tcBorders>
              <w:top w:val="single" w:sz="4" w:space="0" w:color="auto"/>
              <w:left w:val="single" w:sz="4" w:space="0" w:color="auto"/>
              <w:bottom w:val="single" w:sz="4" w:space="0" w:color="auto"/>
              <w:right w:val="single" w:sz="4" w:space="0" w:color="auto"/>
            </w:tcBorders>
            <w:vAlign w:val="center"/>
          </w:tcPr>
          <w:p w:rsidR="00FC33EC" w:rsidRPr="00803ACC" w:rsidRDefault="00FC33EC" w:rsidP="00274F6B">
            <w:pPr>
              <w:rPr>
                <w:b/>
                <w:bCs/>
                <w:sz w:val="20"/>
                <w:szCs w:val="20"/>
              </w:rPr>
            </w:pPr>
            <w:r w:rsidRPr="00803ACC">
              <w:rPr>
                <w:b/>
                <w:bCs/>
                <w:sz w:val="20"/>
                <w:szCs w:val="20"/>
              </w:rPr>
              <w:t>Referencias bibliográficas</w:t>
            </w:r>
          </w:p>
        </w:tc>
        <w:tc>
          <w:tcPr>
            <w:tcW w:w="3555" w:type="pct"/>
            <w:tcBorders>
              <w:top w:val="single" w:sz="4" w:space="0" w:color="auto"/>
              <w:left w:val="single" w:sz="4" w:space="0" w:color="auto"/>
              <w:bottom w:val="single" w:sz="4" w:space="0" w:color="auto"/>
              <w:right w:val="single" w:sz="4" w:space="0" w:color="auto"/>
            </w:tcBorders>
            <w:vAlign w:val="center"/>
          </w:tcPr>
          <w:p w:rsidR="00FC33EC" w:rsidRPr="00A16C4B" w:rsidRDefault="00FC33EC" w:rsidP="00274F6B">
            <w:pPr>
              <w:autoSpaceDE w:val="0"/>
              <w:autoSpaceDN w:val="0"/>
              <w:adjustRightInd w:val="0"/>
              <w:rPr>
                <w:rFonts w:eastAsia="Batang"/>
                <w:sz w:val="20"/>
                <w:szCs w:val="20"/>
                <w:lang w:eastAsia="ko-KR"/>
              </w:rPr>
            </w:pPr>
            <w:r w:rsidRPr="00464173">
              <w:rPr>
                <w:rFonts w:eastAsia="Batang"/>
                <w:sz w:val="20"/>
                <w:szCs w:val="20"/>
                <w:lang w:val="it-IT" w:eastAsia="ko-KR"/>
              </w:rPr>
              <w:t xml:space="preserve">• IHI Home Page [sede Web]. </w:t>
            </w:r>
            <w:r w:rsidRPr="00A16C4B">
              <w:rPr>
                <w:rFonts w:eastAsia="Batang"/>
                <w:sz w:val="20"/>
                <w:szCs w:val="20"/>
                <w:lang w:val="en-GB" w:eastAsia="ko-KR"/>
              </w:rPr>
              <w:t>Cambridge: Institute for Healthcare Improvement; [</w:t>
            </w:r>
            <w:proofErr w:type="spellStart"/>
            <w:r w:rsidRPr="00A16C4B">
              <w:rPr>
                <w:rFonts w:eastAsia="Batang"/>
                <w:sz w:val="20"/>
                <w:szCs w:val="20"/>
                <w:lang w:val="en-GB" w:eastAsia="ko-KR"/>
              </w:rPr>
              <w:t>acceso</w:t>
            </w:r>
            <w:proofErr w:type="spellEnd"/>
            <w:r w:rsidRPr="00A16C4B">
              <w:rPr>
                <w:rFonts w:eastAsia="Batang"/>
                <w:sz w:val="20"/>
                <w:szCs w:val="20"/>
                <w:lang w:val="en-GB" w:eastAsia="ko-KR"/>
              </w:rPr>
              <w:t xml:space="preserve"> 29-07-11]. </w:t>
            </w:r>
            <w:proofErr w:type="spellStart"/>
            <w:r w:rsidRPr="00A16C4B">
              <w:rPr>
                <w:rFonts w:eastAsia="Batang"/>
                <w:sz w:val="20"/>
                <w:szCs w:val="20"/>
                <w:lang w:eastAsia="ko-KR"/>
              </w:rPr>
              <w:t>Surgical</w:t>
            </w:r>
            <w:proofErr w:type="spellEnd"/>
            <w:r w:rsidRPr="00A16C4B">
              <w:rPr>
                <w:rFonts w:eastAsia="Batang"/>
                <w:sz w:val="20"/>
                <w:szCs w:val="20"/>
                <w:lang w:eastAsia="ko-KR"/>
              </w:rPr>
              <w:t xml:space="preserve"> </w:t>
            </w:r>
            <w:proofErr w:type="spellStart"/>
            <w:r w:rsidRPr="00A16C4B">
              <w:rPr>
                <w:rFonts w:eastAsia="Batang"/>
                <w:sz w:val="20"/>
                <w:szCs w:val="20"/>
                <w:lang w:eastAsia="ko-KR"/>
              </w:rPr>
              <w:t>Check</w:t>
            </w:r>
            <w:proofErr w:type="spellEnd"/>
            <w:r w:rsidRPr="00A16C4B">
              <w:rPr>
                <w:rFonts w:eastAsia="Batang"/>
                <w:sz w:val="20"/>
                <w:szCs w:val="20"/>
                <w:lang w:eastAsia="ko-KR"/>
              </w:rPr>
              <w:t xml:space="preserve"> </w:t>
            </w:r>
            <w:proofErr w:type="spellStart"/>
            <w:r w:rsidRPr="00A16C4B">
              <w:rPr>
                <w:rFonts w:eastAsia="Batang"/>
                <w:sz w:val="20"/>
                <w:szCs w:val="20"/>
                <w:lang w:eastAsia="ko-KR"/>
              </w:rPr>
              <w:t>list</w:t>
            </w:r>
            <w:proofErr w:type="spellEnd"/>
            <w:r w:rsidRPr="00A16C4B">
              <w:rPr>
                <w:rFonts w:eastAsia="Batang"/>
                <w:sz w:val="20"/>
                <w:szCs w:val="20"/>
                <w:lang w:eastAsia="ko-KR"/>
              </w:rPr>
              <w:t xml:space="preserve"> [aproximadamente 3 pantallas]. Disponible en Guía NICE </w:t>
            </w:r>
            <w:hyperlink r:id="rId6" w:history="1">
              <w:r w:rsidRPr="00CD5C41">
                <w:rPr>
                  <w:rStyle w:val="Hipervnculo"/>
                  <w:rFonts w:eastAsia="Batang"/>
                  <w:sz w:val="20"/>
                  <w:szCs w:val="20"/>
                  <w:lang w:eastAsia="ko-KR"/>
                </w:rPr>
                <w:t>http://app.ihi.org/imap/tool/</w:t>
              </w:r>
            </w:hyperlink>
            <w:r w:rsidRPr="00A16C4B">
              <w:rPr>
                <w:rFonts w:eastAsia="Batang"/>
                <w:sz w:val="20"/>
                <w:szCs w:val="20"/>
                <w:lang w:eastAsia="ko-KR"/>
              </w:rPr>
              <w:t>www.who.int/patientsafety/safesurgery/tools_resources/</w:t>
            </w:r>
          </w:p>
          <w:p w:rsidR="00FC33EC" w:rsidRPr="00360E76" w:rsidRDefault="00FC33EC" w:rsidP="00274F6B">
            <w:pPr>
              <w:autoSpaceDE w:val="0"/>
              <w:autoSpaceDN w:val="0"/>
              <w:adjustRightInd w:val="0"/>
              <w:rPr>
                <w:rFonts w:eastAsia="Batang"/>
                <w:sz w:val="20"/>
                <w:szCs w:val="20"/>
                <w:vertAlign w:val="superscript"/>
                <w:lang w:val="en-US" w:eastAsia="ko-KR"/>
              </w:rPr>
            </w:pPr>
            <w:r w:rsidRPr="00360E76">
              <w:rPr>
                <w:rFonts w:eastAsia="Batang"/>
                <w:sz w:val="20"/>
                <w:szCs w:val="20"/>
                <w:lang w:val="en-US" w:eastAsia="ko-KR"/>
              </w:rPr>
              <w:t>sssl_checklist_spanish.pdf</w:t>
            </w:r>
            <w:r w:rsidRPr="00360E76">
              <w:rPr>
                <w:rFonts w:eastAsia="Batang"/>
                <w:sz w:val="20"/>
                <w:szCs w:val="20"/>
                <w:vertAlign w:val="superscript"/>
                <w:lang w:val="en-US" w:eastAsia="ko-KR"/>
              </w:rPr>
              <w:t>15</w:t>
            </w:r>
            <w:r w:rsidR="000779A7">
              <w:rPr>
                <w:rFonts w:eastAsia="Batang"/>
                <w:sz w:val="20"/>
                <w:szCs w:val="20"/>
                <w:vertAlign w:val="superscript"/>
                <w:lang w:val="en-US" w:eastAsia="ko-KR"/>
              </w:rPr>
              <w:t>8</w:t>
            </w:r>
          </w:p>
          <w:p w:rsidR="00FC33EC" w:rsidRPr="00A16C4B" w:rsidRDefault="00FC33EC" w:rsidP="008A1121">
            <w:pPr>
              <w:rPr>
                <w:sz w:val="20"/>
                <w:szCs w:val="20"/>
                <w:lang w:val="en-GB"/>
              </w:rPr>
            </w:pPr>
            <w:r w:rsidRPr="00360E76">
              <w:rPr>
                <w:rFonts w:eastAsia="Batang"/>
                <w:sz w:val="20"/>
                <w:szCs w:val="20"/>
                <w:lang w:val="en-US" w:eastAsia="ko-KR"/>
              </w:rPr>
              <w:t xml:space="preserve">• Haynes AB, Weiser TG, Berry WR, </w:t>
            </w:r>
            <w:proofErr w:type="spellStart"/>
            <w:r w:rsidRPr="00360E76">
              <w:rPr>
                <w:rFonts w:eastAsia="Batang"/>
                <w:sz w:val="20"/>
                <w:szCs w:val="20"/>
                <w:lang w:val="en-US" w:eastAsia="ko-KR"/>
              </w:rPr>
              <w:t>Lipsitz</w:t>
            </w:r>
            <w:proofErr w:type="spellEnd"/>
            <w:r w:rsidRPr="00360E76">
              <w:rPr>
                <w:rFonts w:eastAsia="Batang"/>
                <w:sz w:val="20"/>
                <w:szCs w:val="20"/>
                <w:lang w:val="en-US" w:eastAsia="ko-KR"/>
              </w:rPr>
              <w:t xml:space="preserve"> SR, </w:t>
            </w:r>
            <w:proofErr w:type="spellStart"/>
            <w:r w:rsidRPr="00360E76">
              <w:rPr>
                <w:rFonts w:eastAsia="Batang"/>
                <w:sz w:val="20"/>
                <w:szCs w:val="20"/>
                <w:lang w:val="en-US" w:eastAsia="ko-KR"/>
              </w:rPr>
              <w:t>Breizat</w:t>
            </w:r>
            <w:proofErr w:type="spellEnd"/>
            <w:r w:rsidRPr="00360E76">
              <w:rPr>
                <w:rFonts w:eastAsia="Batang"/>
                <w:sz w:val="20"/>
                <w:szCs w:val="20"/>
                <w:lang w:val="en-US" w:eastAsia="ko-KR"/>
              </w:rPr>
              <w:t xml:space="preserve"> AH, Dellinger EP et al. </w:t>
            </w:r>
            <w:r w:rsidRPr="0084570F">
              <w:rPr>
                <w:rFonts w:eastAsia="Batang"/>
                <w:sz w:val="20"/>
                <w:szCs w:val="20"/>
                <w:lang w:val="en-US" w:eastAsia="ko-KR"/>
              </w:rPr>
              <w:t xml:space="preserve">The Safe Surgery Saves Lives Study Group. </w:t>
            </w:r>
            <w:r>
              <w:rPr>
                <w:rFonts w:eastAsia="Batang"/>
                <w:sz w:val="20"/>
                <w:szCs w:val="20"/>
                <w:lang w:val="en-GB" w:eastAsia="ko-KR"/>
              </w:rPr>
              <w:t>A s</w:t>
            </w:r>
            <w:r w:rsidRPr="00A16C4B">
              <w:rPr>
                <w:rFonts w:eastAsia="Batang"/>
                <w:sz w:val="20"/>
                <w:szCs w:val="20"/>
                <w:lang w:val="en-GB" w:eastAsia="ko-KR"/>
              </w:rPr>
              <w:t xml:space="preserve">urgical </w:t>
            </w:r>
            <w:r>
              <w:rPr>
                <w:rFonts w:eastAsia="Batang"/>
                <w:sz w:val="20"/>
                <w:szCs w:val="20"/>
                <w:lang w:val="en-GB" w:eastAsia="ko-KR"/>
              </w:rPr>
              <w:t>s</w:t>
            </w:r>
            <w:r w:rsidRPr="00A16C4B">
              <w:rPr>
                <w:rFonts w:eastAsia="Batang"/>
                <w:sz w:val="20"/>
                <w:szCs w:val="20"/>
                <w:lang w:val="en-GB" w:eastAsia="ko-KR"/>
              </w:rPr>
              <w:t xml:space="preserve">afety </w:t>
            </w:r>
            <w:r>
              <w:rPr>
                <w:rFonts w:eastAsia="Batang"/>
                <w:sz w:val="20"/>
                <w:szCs w:val="20"/>
                <w:lang w:val="en-GB" w:eastAsia="ko-KR"/>
              </w:rPr>
              <w:t>c</w:t>
            </w:r>
            <w:r w:rsidRPr="00A16C4B">
              <w:rPr>
                <w:rFonts w:eastAsia="Batang"/>
                <w:sz w:val="20"/>
                <w:szCs w:val="20"/>
                <w:lang w:val="en-GB" w:eastAsia="ko-KR"/>
              </w:rPr>
              <w:t xml:space="preserve">hecklist to </w:t>
            </w:r>
            <w:r>
              <w:rPr>
                <w:rFonts w:eastAsia="Batang"/>
                <w:sz w:val="20"/>
                <w:szCs w:val="20"/>
                <w:lang w:val="en-GB" w:eastAsia="ko-KR"/>
              </w:rPr>
              <w:t>r</w:t>
            </w:r>
            <w:r w:rsidRPr="00A16C4B">
              <w:rPr>
                <w:rFonts w:eastAsia="Batang"/>
                <w:sz w:val="20"/>
                <w:szCs w:val="20"/>
                <w:lang w:val="en-GB" w:eastAsia="ko-KR"/>
              </w:rPr>
              <w:t xml:space="preserve">educe </w:t>
            </w:r>
            <w:r>
              <w:rPr>
                <w:rFonts w:eastAsia="Batang"/>
                <w:sz w:val="20"/>
                <w:szCs w:val="20"/>
                <w:lang w:val="en-GB" w:eastAsia="ko-KR"/>
              </w:rPr>
              <w:t>m</w:t>
            </w:r>
            <w:r w:rsidRPr="00A16C4B">
              <w:rPr>
                <w:rFonts w:eastAsia="Batang"/>
                <w:sz w:val="20"/>
                <w:szCs w:val="20"/>
                <w:lang w:val="en-GB" w:eastAsia="ko-KR"/>
              </w:rPr>
              <w:t xml:space="preserve">orbidity and </w:t>
            </w:r>
            <w:r>
              <w:rPr>
                <w:rFonts w:eastAsia="Batang"/>
                <w:sz w:val="20"/>
                <w:szCs w:val="20"/>
                <w:lang w:val="en-GB" w:eastAsia="ko-KR"/>
              </w:rPr>
              <w:t>m</w:t>
            </w:r>
            <w:r w:rsidRPr="00A16C4B">
              <w:rPr>
                <w:rFonts w:eastAsia="Batang"/>
                <w:sz w:val="20"/>
                <w:szCs w:val="20"/>
                <w:lang w:val="en-GB" w:eastAsia="ko-KR"/>
              </w:rPr>
              <w:t xml:space="preserve">ortality in a </w:t>
            </w:r>
            <w:r>
              <w:rPr>
                <w:rFonts w:eastAsia="Batang"/>
                <w:sz w:val="20"/>
                <w:szCs w:val="20"/>
                <w:lang w:val="en-GB" w:eastAsia="ko-KR"/>
              </w:rPr>
              <w:t>g</w:t>
            </w:r>
            <w:r w:rsidRPr="00A16C4B">
              <w:rPr>
                <w:rFonts w:eastAsia="Batang"/>
                <w:sz w:val="20"/>
                <w:szCs w:val="20"/>
                <w:lang w:val="en-GB" w:eastAsia="ko-KR"/>
              </w:rPr>
              <w:t xml:space="preserve">lobal </w:t>
            </w:r>
            <w:r>
              <w:rPr>
                <w:rFonts w:eastAsia="Batang"/>
                <w:sz w:val="20"/>
                <w:szCs w:val="20"/>
                <w:lang w:val="en-GB" w:eastAsia="ko-KR"/>
              </w:rPr>
              <w:t>p</w:t>
            </w:r>
            <w:r w:rsidRPr="00A16C4B">
              <w:rPr>
                <w:rFonts w:eastAsia="Batang"/>
                <w:sz w:val="20"/>
                <w:szCs w:val="20"/>
                <w:lang w:val="en-GB" w:eastAsia="ko-KR"/>
              </w:rPr>
              <w:t xml:space="preserve">opulation. N </w:t>
            </w:r>
            <w:proofErr w:type="spellStart"/>
            <w:r w:rsidRPr="00A16C4B">
              <w:rPr>
                <w:rFonts w:eastAsia="Batang"/>
                <w:sz w:val="20"/>
                <w:szCs w:val="20"/>
                <w:lang w:val="en-GB" w:eastAsia="ko-KR"/>
              </w:rPr>
              <w:t>Engl</w:t>
            </w:r>
            <w:proofErr w:type="spellEnd"/>
            <w:r w:rsidRPr="00A16C4B">
              <w:rPr>
                <w:rFonts w:eastAsia="Batang"/>
                <w:sz w:val="20"/>
                <w:szCs w:val="20"/>
                <w:lang w:val="en-GB" w:eastAsia="ko-KR"/>
              </w:rPr>
              <w:t xml:space="preserve"> J Med 2009;</w:t>
            </w:r>
            <w:r>
              <w:rPr>
                <w:rFonts w:eastAsia="Batang"/>
                <w:sz w:val="20"/>
                <w:szCs w:val="20"/>
                <w:lang w:val="en-GB" w:eastAsia="ko-KR"/>
              </w:rPr>
              <w:t xml:space="preserve"> </w:t>
            </w:r>
            <w:r w:rsidRPr="00A16C4B">
              <w:rPr>
                <w:rFonts w:eastAsia="Batang"/>
                <w:sz w:val="20"/>
                <w:szCs w:val="20"/>
                <w:lang w:val="en-GB" w:eastAsia="ko-KR"/>
              </w:rPr>
              <w:t>360:491-9</w:t>
            </w:r>
            <w:r>
              <w:rPr>
                <w:rFonts w:eastAsia="Batang"/>
                <w:sz w:val="20"/>
                <w:szCs w:val="20"/>
                <w:vertAlign w:val="superscript"/>
                <w:lang w:val="en-GB" w:eastAsia="ko-KR"/>
              </w:rPr>
              <w:t>1</w:t>
            </w:r>
            <w:r w:rsidR="008A1121">
              <w:rPr>
                <w:rFonts w:eastAsia="Batang"/>
                <w:sz w:val="20"/>
                <w:szCs w:val="20"/>
                <w:vertAlign w:val="superscript"/>
                <w:lang w:val="en-GB" w:eastAsia="ko-KR"/>
              </w:rPr>
              <w:t>60</w:t>
            </w:r>
            <w:r>
              <w:rPr>
                <w:rFonts w:eastAsia="Batang"/>
                <w:sz w:val="20"/>
                <w:szCs w:val="20"/>
                <w:lang w:val="en-GB" w:eastAsia="ko-KR"/>
              </w:rPr>
              <w:t>.</w:t>
            </w:r>
          </w:p>
        </w:tc>
      </w:tr>
    </w:tbl>
    <w:p w:rsidR="00FC33EC" w:rsidRPr="006D5179" w:rsidRDefault="00FC33EC" w:rsidP="00FC33EC">
      <w:pPr>
        <w:pStyle w:val="Textodebloque"/>
        <w:spacing w:line="240" w:lineRule="auto"/>
        <w:ind w:left="0" w:firstLine="708"/>
        <w:rPr>
          <w:b w:val="0"/>
          <w:bCs w:val="0"/>
          <w:sz w:val="24"/>
          <w:szCs w:val="24"/>
          <w:lang w:val="en-US"/>
        </w:rPr>
      </w:pPr>
    </w:p>
    <w:p w:rsidR="00FC33EC" w:rsidRPr="006D5179" w:rsidRDefault="00FC33EC" w:rsidP="00FC33EC">
      <w:pPr>
        <w:pStyle w:val="Textodebloque"/>
        <w:spacing w:line="240" w:lineRule="auto"/>
        <w:ind w:left="2340"/>
        <w:rPr>
          <w:b w:val="0"/>
          <w:bCs w:val="0"/>
          <w:sz w:val="24"/>
          <w:szCs w:val="24"/>
          <w:lang w:val="en-US"/>
        </w:rPr>
      </w:pPr>
    </w:p>
    <w:p w:rsidR="00FC33EC" w:rsidRPr="006D5179" w:rsidRDefault="00FC33EC" w:rsidP="00FC33EC">
      <w:pPr>
        <w:pStyle w:val="Textodebloque"/>
        <w:spacing w:line="240" w:lineRule="auto"/>
        <w:ind w:left="0"/>
        <w:rPr>
          <w:b w:val="0"/>
          <w:bCs w:val="0"/>
          <w:sz w:val="24"/>
          <w:szCs w:val="24"/>
          <w:lang w:val="en-US"/>
        </w:rPr>
      </w:pPr>
    </w:p>
    <w:tbl>
      <w:tblPr>
        <w:tblW w:w="500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01"/>
        <w:gridCol w:w="5946"/>
      </w:tblGrid>
      <w:tr w:rsidR="00FC33EC" w:rsidRPr="000830E7" w:rsidTr="00274F6B">
        <w:trPr>
          <w:trHeight w:val="69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Pr>
                <w:b/>
                <w:bCs/>
                <w:sz w:val="20"/>
                <w:szCs w:val="20"/>
              </w:rPr>
              <w:t>Adecuación de estancia preoperatoria</w:t>
            </w:r>
          </w:p>
        </w:tc>
      </w:tr>
      <w:tr w:rsidR="00FC33EC" w:rsidRPr="000830E7" w:rsidTr="00274F6B">
        <w:trPr>
          <w:trHeight w:val="52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Fórmula</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A16C4B" w:rsidRDefault="00FC33EC" w:rsidP="00274F6B">
            <w:pPr>
              <w:rPr>
                <w:sz w:val="20"/>
                <w:szCs w:val="20"/>
              </w:rPr>
            </w:pPr>
            <w:r w:rsidRPr="00A16C4B">
              <w:rPr>
                <w:sz w:val="20"/>
                <w:szCs w:val="20"/>
              </w:rPr>
              <w:t>Pacientes intervenidos de tiroidectomía el mismo día o al día siguiente del ingreso x 100 / pacientes intervenidos de tiroidectomía</w:t>
            </w:r>
          </w:p>
        </w:tc>
      </w:tr>
      <w:tr w:rsidR="00FC33EC" w:rsidRPr="000830E7" w:rsidTr="00274F6B">
        <w:trPr>
          <w:trHeight w:val="605"/>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after="120"/>
              <w:rPr>
                <w:b/>
                <w:bCs/>
                <w:sz w:val="20"/>
                <w:szCs w:val="20"/>
              </w:rPr>
            </w:pPr>
            <w:r w:rsidRPr="000830E7">
              <w:rPr>
                <w:b/>
                <w:bCs/>
                <w:sz w:val="20"/>
                <w:szCs w:val="20"/>
              </w:rPr>
              <w:t>Exclusiones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A16C4B" w:rsidRDefault="00FC33EC" w:rsidP="00274F6B">
            <w:pPr>
              <w:rPr>
                <w:sz w:val="20"/>
                <w:szCs w:val="20"/>
              </w:rPr>
            </w:pPr>
            <w:r>
              <w:rPr>
                <w:sz w:val="20"/>
                <w:szCs w:val="20"/>
              </w:rPr>
              <w:t>Paciente ingresado por un  motivo diferente de la intervención quirúrgica de  la tiroidectomía.</w:t>
            </w:r>
          </w:p>
        </w:tc>
      </w:tr>
      <w:tr w:rsidR="00FC33EC" w:rsidRPr="000830E7" w:rsidTr="00274F6B">
        <w:trPr>
          <w:trHeight w:val="841"/>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lastRenderedPageBreak/>
              <w:t>Aclaraciones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470265" w:rsidRDefault="00FC33EC" w:rsidP="00274F6B">
            <w:pPr>
              <w:autoSpaceDE w:val="0"/>
              <w:autoSpaceDN w:val="0"/>
              <w:adjustRightInd w:val="0"/>
              <w:rPr>
                <w:rFonts w:eastAsia="Batang"/>
                <w:sz w:val="20"/>
                <w:szCs w:val="20"/>
                <w:lang w:eastAsia="ko-KR"/>
              </w:rPr>
            </w:pPr>
            <w:r w:rsidRPr="00A16C4B">
              <w:rPr>
                <w:rFonts w:eastAsia="Batang"/>
                <w:sz w:val="20"/>
                <w:szCs w:val="20"/>
                <w:lang w:eastAsia="ko-KR"/>
              </w:rPr>
              <w:t xml:space="preserve">• Incluye todos los pacientes clasificados en un GRD quirúrgico de tiroidectomía y cuyo tipo de </w:t>
            </w:r>
            <w:r>
              <w:rPr>
                <w:rFonts w:eastAsia="Batang"/>
                <w:sz w:val="20"/>
                <w:szCs w:val="20"/>
                <w:lang w:eastAsia="ko-KR"/>
              </w:rPr>
              <w:t xml:space="preserve">ingreso fue </w:t>
            </w:r>
            <w:r w:rsidRPr="00A16C4B">
              <w:rPr>
                <w:rFonts w:eastAsia="Batang"/>
                <w:sz w:val="20"/>
                <w:szCs w:val="20"/>
                <w:lang w:eastAsia="ko-KR"/>
              </w:rPr>
              <w:t>programado.</w:t>
            </w:r>
          </w:p>
          <w:p w:rsidR="00FC33EC" w:rsidRPr="00A16C4B" w:rsidRDefault="00FC33EC" w:rsidP="00274F6B">
            <w:pPr>
              <w:pStyle w:val="Textodebloque"/>
              <w:spacing w:line="240" w:lineRule="auto"/>
              <w:ind w:left="0"/>
              <w:rPr>
                <w:b w:val="0"/>
                <w:bCs w:val="0"/>
                <w:sz w:val="20"/>
                <w:szCs w:val="20"/>
              </w:rPr>
            </w:pPr>
            <w:r w:rsidRPr="00470265">
              <w:rPr>
                <w:rFonts w:eastAsia="Batang"/>
                <w:b w:val="0"/>
                <w:bCs w:val="0"/>
                <w:sz w:val="20"/>
                <w:szCs w:val="20"/>
                <w:lang w:eastAsia="ko-KR"/>
              </w:rPr>
              <w:t>• Se considera cumplimiento cuando la fecha de la intervención quirúrgica es la del mismo día ó el día siguiente al del ingreso.</w:t>
            </w:r>
          </w:p>
        </w:tc>
      </w:tr>
      <w:tr w:rsidR="00FC33EC" w:rsidRPr="000830E7" w:rsidTr="00274F6B">
        <w:trPr>
          <w:trHeight w:val="486"/>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 xml:space="preserve">Tipo de indicador </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A16C4B" w:rsidRDefault="00FC33EC" w:rsidP="00274F6B">
            <w:pPr>
              <w:rPr>
                <w:sz w:val="20"/>
                <w:szCs w:val="20"/>
              </w:rPr>
            </w:pPr>
            <w:r w:rsidRPr="00A16C4B">
              <w:rPr>
                <w:sz w:val="20"/>
                <w:szCs w:val="20"/>
              </w:rPr>
              <w:t>Proceso</w:t>
            </w:r>
          </w:p>
        </w:tc>
      </w:tr>
      <w:tr w:rsidR="00FC33EC" w:rsidRPr="000830E7" w:rsidTr="00274F6B">
        <w:trPr>
          <w:trHeight w:val="79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sidRPr="000830E7">
              <w:rPr>
                <w:b/>
                <w:bCs/>
                <w:sz w:val="20"/>
                <w:szCs w:val="20"/>
              </w:rPr>
              <w:t>Justificación</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A16C4B" w:rsidRDefault="00FC33EC" w:rsidP="00274F6B">
            <w:pPr>
              <w:pStyle w:val="Textodebloque"/>
              <w:spacing w:line="240" w:lineRule="auto"/>
              <w:ind w:left="0"/>
              <w:rPr>
                <w:b w:val="0"/>
                <w:bCs w:val="0"/>
                <w:sz w:val="20"/>
                <w:szCs w:val="20"/>
              </w:rPr>
            </w:pPr>
            <w:r w:rsidRPr="00A16C4B">
              <w:rPr>
                <w:rFonts w:eastAsia="Batang"/>
                <w:b w:val="0"/>
                <w:bCs w:val="0"/>
                <w:sz w:val="20"/>
                <w:szCs w:val="20"/>
                <w:lang w:eastAsia="ko-KR"/>
              </w:rPr>
              <w:t>El AEP (</w:t>
            </w:r>
            <w:proofErr w:type="spellStart"/>
            <w:r w:rsidRPr="00A16C4B">
              <w:rPr>
                <w:rFonts w:eastAsia="Batang"/>
                <w:b w:val="0"/>
                <w:bCs w:val="0"/>
                <w:sz w:val="20"/>
                <w:szCs w:val="20"/>
                <w:lang w:eastAsia="ko-KR"/>
              </w:rPr>
              <w:t>Approppiateness</w:t>
            </w:r>
            <w:proofErr w:type="spellEnd"/>
            <w:r w:rsidRPr="00A16C4B">
              <w:rPr>
                <w:rFonts w:eastAsia="Batang"/>
                <w:b w:val="0"/>
                <w:bCs w:val="0"/>
                <w:sz w:val="20"/>
                <w:szCs w:val="20"/>
                <w:lang w:eastAsia="ko-KR"/>
              </w:rPr>
              <w:t xml:space="preserve"> </w:t>
            </w:r>
            <w:proofErr w:type="spellStart"/>
            <w:r w:rsidRPr="00A16C4B">
              <w:rPr>
                <w:rFonts w:eastAsia="Batang"/>
                <w:b w:val="0"/>
                <w:bCs w:val="0"/>
                <w:sz w:val="20"/>
                <w:szCs w:val="20"/>
                <w:lang w:eastAsia="ko-KR"/>
              </w:rPr>
              <w:t>Evaluation</w:t>
            </w:r>
            <w:proofErr w:type="spellEnd"/>
            <w:r w:rsidRPr="00A16C4B">
              <w:rPr>
                <w:rFonts w:eastAsia="Batang"/>
                <w:b w:val="0"/>
                <w:bCs w:val="0"/>
                <w:sz w:val="20"/>
                <w:szCs w:val="20"/>
                <w:lang w:eastAsia="ko-KR"/>
              </w:rPr>
              <w:t xml:space="preserve"> </w:t>
            </w:r>
            <w:proofErr w:type="spellStart"/>
            <w:r w:rsidRPr="00A16C4B">
              <w:rPr>
                <w:rFonts w:eastAsia="Batang"/>
                <w:b w:val="0"/>
                <w:bCs w:val="0"/>
                <w:sz w:val="20"/>
                <w:szCs w:val="20"/>
                <w:lang w:eastAsia="ko-KR"/>
              </w:rPr>
              <w:t>Protocol</w:t>
            </w:r>
            <w:proofErr w:type="spellEnd"/>
            <w:r w:rsidRPr="00A16C4B">
              <w:rPr>
                <w:rFonts w:eastAsia="Batang"/>
                <w:b w:val="0"/>
                <w:bCs w:val="0"/>
                <w:sz w:val="20"/>
                <w:szCs w:val="20"/>
                <w:lang w:eastAsia="ko-KR"/>
              </w:rPr>
              <w:t>) considera adecuado</w:t>
            </w:r>
            <w:r>
              <w:rPr>
                <w:rFonts w:eastAsia="Batang"/>
                <w:sz w:val="20"/>
                <w:szCs w:val="20"/>
                <w:lang w:eastAsia="ko-KR"/>
              </w:rPr>
              <w:t xml:space="preserve"> </w:t>
            </w:r>
            <w:r w:rsidRPr="00A16C4B">
              <w:rPr>
                <w:rFonts w:eastAsia="Batang"/>
                <w:b w:val="0"/>
                <w:bCs w:val="0"/>
                <w:sz w:val="20"/>
                <w:szCs w:val="20"/>
                <w:lang w:eastAsia="ko-KR"/>
              </w:rPr>
              <w:t>que el paciente que requiere anestesia sea intervenido</w:t>
            </w:r>
            <w:r>
              <w:rPr>
                <w:rFonts w:eastAsia="Batang"/>
                <w:sz w:val="20"/>
                <w:szCs w:val="20"/>
                <w:lang w:eastAsia="ko-KR"/>
              </w:rPr>
              <w:t xml:space="preserve"> </w:t>
            </w:r>
            <w:r w:rsidRPr="00A16C4B">
              <w:rPr>
                <w:rFonts w:eastAsia="Batang"/>
                <w:b w:val="0"/>
                <w:bCs w:val="0"/>
                <w:sz w:val="20"/>
                <w:szCs w:val="20"/>
                <w:lang w:eastAsia="ko-KR"/>
              </w:rPr>
              <w:t xml:space="preserve">el </w:t>
            </w:r>
            <w:r>
              <w:rPr>
                <w:rFonts w:eastAsia="Batang"/>
                <w:b w:val="0"/>
                <w:bCs w:val="0"/>
                <w:sz w:val="20"/>
                <w:szCs w:val="20"/>
                <w:lang w:eastAsia="ko-KR"/>
              </w:rPr>
              <w:t xml:space="preserve">mismo día del ingreso o </w:t>
            </w:r>
            <w:r w:rsidRPr="00A16C4B">
              <w:rPr>
                <w:rFonts w:eastAsia="Batang"/>
                <w:b w:val="0"/>
                <w:bCs w:val="0"/>
                <w:sz w:val="20"/>
                <w:szCs w:val="20"/>
                <w:lang w:eastAsia="ko-KR"/>
              </w:rPr>
              <w:t>el día siguiente.</w:t>
            </w:r>
          </w:p>
        </w:tc>
      </w:tr>
      <w:tr w:rsidR="00FC33EC" w:rsidRPr="00A16C4B" w:rsidTr="00274F6B">
        <w:trPr>
          <w:trHeight w:val="58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sidRPr="000830E7">
              <w:rPr>
                <w:b/>
                <w:bCs/>
                <w:sz w:val="20"/>
                <w:szCs w:val="20"/>
              </w:rPr>
              <w:t>Origen del indicador</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A16C4B" w:rsidRDefault="00FC33EC" w:rsidP="00274F6B">
            <w:pPr>
              <w:rPr>
                <w:sz w:val="20"/>
                <w:szCs w:val="20"/>
              </w:rPr>
            </w:pPr>
            <w:r w:rsidRPr="00A16C4B">
              <w:rPr>
                <w:sz w:val="20"/>
                <w:szCs w:val="20"/>
              </w:rPr>
              <w:t xml:space="preserve">Elaboración propia a partir de </w:t>
            </w:r>
            <w:r w:rsidRPr="00803ACC">
              <w:rPr>
                <w:sz w:val="20"/>
                <w:szCs w:val="20"/>
              </w:rPr>
              <w:t>criterios del AEP.</w:t>
            </w:r>
          </w:p>
        </w:tc>
      </w:tr>
      <w:tr w:rsidR="00FC33EC" w:rsidRPr="006D5179" w:rsidTr="00274F6B">
        <w:trPr>
          <w:trHeight w:val="83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803ACC" w:rsidRDefault="00FC33EC" w:rsidP="00274F6B">
            <w:pPr>
              <w:rPr>
                <w:b/>
                <w:bCs/>
                <w:sz w:val="20"/>
                <w:szCs w:val="20"/>
              </w:rPr>
            </w:pPr>
            <w:r w:rsidRPr="00803ACC">
              <w:rPr>
                <w:b/>
                <w:bCs/>
                <w:sz w:val="20"/>
                <w:szCs w:val="20"/>
              </w:rPr>
              <w:t>Referencias bibliográficas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803ACC" w:rsidRDefault="00FC33EC" w:rsidP="008A1121">
            <w:pPr>
              <w:jc w:val="both"/>
              <w:rPr>
                <w:color w:val="FF0000"/>
                <w:sz w:val="20"/>
                <w:szCs w:val="20"/>
                <w:vertAlign w:val="superscript"/>
                <w:lang w:val="en-GB"/>
              </w:rPr>
            </w:pPr>
            <w:proofErr w:type="spellStart"/>
            <w:r w:rsidRPr="00A16C4B">
              <w:rPr>
                <w:rFonts w:eastAsia="Batang"/>
                <w:sz w:val="20"/>
                <w:szCs w:val="20"/>
                <w:lang w:val="en-GB" w:eastAsia="ko-KR"/>
              </w:rPr>
              <w:t>Gertman</w:t>
            </w:r>
            <w:proofErr w:type="spellEnd"/>
            <w:r w:rsidRPr="00A16C4B">
              <w:rPr>
                <w:rFonts w:eastAsia="Batang"/>
                <w:sz w:val="20"/>
                <w:szCs w:val="20"/>
                <w:lang w:val="en-GB" w:eastAsia="ko-KR"/>
              </w:rPr>
              <w:t xml:space="preserve"> P.M., </w:t>
            </w:r>
            <w:proofErr w:type="spellStart"/>
            <w:r w:rsidRPr="00A16C4B">
              <w:rPr>
                <w:rFonts w:eastAsia="Batang"/>
                <w:sz w:val="20"/>
                <w:szCs w:val="20"/>
                <w:lang w:val="en-GB" w:eastAsia="ko-KR"/>
              </w:rPr>
              <w:t>Restuccia</w:t>
            </w:r>
            <w:proofErr w:type="spellEnd"/>
            <w:r w:rsidRPr="00A16C4B">
              <w:rPr>
                <w:rFonts w:eastAsia="Batang"/>
                <w:sz w:val="20"/>
                <w:szCs w:val="20"/>
                <w:lang w:val="en-GB" w:eastAsia="ko-KR"/>
              </w:rPr>
              <w:t xml:space="preserve"> J.D. The </w:t>
            </w:r>
            <w:proofErr w:type="spellStart"/>
            <w:r w:rsidRPr="00A16C4B">
              <w:rPr>
                <w:rFonts w:eastAsia="Batang"/>
                <w:sz w:val="20"/>
                <w:szCs w:val="20"/>
                <w:lang w:val="en-GB" w:eastAsia="ko-KR"/>
              </w:rPr>
              <w:t>approppiateness</w:t>
            </w:r>
            <w:proofErr w:type="spellEnd"/>
            <w:r w:rsidRPr="00A16C4B">
              <w:rPr>
                <w:rFonts w:eastAsia="Batang"/>
                <w:sz w:val="20"/>
                <w:szCs w:val="20"/>
                <w:lang w:val="en-GB" w:eastAsia="ko-KR"/>
              </w:rPr>
              <w:t xml:space="preserve"> evaluation</w:t>
            </w:r>
            <w:r>
              <w:rPr>
                <w:rFonts w:eastAsia="Batang"/>
                <w:sz w:val="20"/>
                <w:szCs w:val="20"/>
                <w:lang w:val="en-GB" w:eastAsia="ko-KR"/>
              </w:rPr>
              <w:t xml:space="preserve"> </w:t>
            </w:r>
            <w:r w:rsidRPr="00A16C4B">
              <w:rPr>
                <w:rFonts w:eastAsia="Batang"/>
                <w:sz w:val="20"/>
                <w:szCs w:val="20"/>
                <w:lang w:val="en-GB" w:eastAsia="ko-KR"/>
              </w:rPr>
              <w:t xml:space="preserve">protocol: a </w:t>
            </w:r>
            <w:proofErr w:type="spellStart"/>
            <w:r w:rsidRPr="00A16C4B">
              <w:rPr>
                <w:rFonts w:eastAsia="Batang"/>
                <w:sz w:val="20"/>
                <w:szCs w:val="20"/>
                <w:lang w:val="en-GB" w:eastAsia="ko-KR"/>
              </w:rPr>
              <w:t>thecnique</w:t>
            </w:r>
            <w:proofErr w:type="spellEnd"/>
            <w:r w:rsidRPr="00A16C4B">
              <w:rPr>
                <w:rFonts w:eastAsia="Batang"/>
                <w:sz w:val="20"/>
                <w:szCs w:val="20"/>
                <w:lang w:val="en-GB" w:eastAsia="ko-KR"/>
              </w:rPr>
              <w:t xml:space="preserve"> for assessing </w:t>
            </w:r>
            <w:proofErr w:type="spellStart"/>
            <w:r w:rsidRPr="00A16C4B">
              <w:rPr>
                <w:rFonts w:eastAsia="Batang"/>
                <w:sz w:val="20"/>
                <w:szCs w:val="20"/>
                <w:lang w:val="en-GB" w:eastAsia="ko-KR"/>
              </w:rPr>
              <w:t>unnecesary</w:t>
            </w:r>
            <w:proofErr w:type="spellEnd"/>
            <w:r w:rsidRPr="00A16C4B">
              <w:rPr>
                <w:rFonts w:eastAsia="Batang"/>
                <w:sz w:val="20"/>
                <w:szCs w:val="20"/>
                <w:lang w:val="en-GB" w:eastAsia="ko-KR"/>
              </w:rPr>
              <w:t xml:space="preserve"> days of</w:t>
            </w:r>
            <w:r>
              <w:rPr>
                <w:rFonts w:eastAsia="Batang"/>
                <w:sz w:val="20"/>
                <w:szCs w:val="20"/>
                <w:lang w:val="en-GB" w:eastAsia="ko-KR"/>
              </w:rPr>
              <w:t xml:space="preserve"> </w:t>
            </w:r>
            <w:r w:rsidRPr="00372ECE">
              <w:rPr>
                <w:rFonts w:eastAsia="Batang"/>
                <w:sz w:val="20"/>
                <w:szCs w:val="20"/>
                <w:lang w:val="en-GB" w:eastAsia="ko-KR"/>
              </w:rPr>
              <w:t>hospital care. Med Care 1981; 19:855-71</w:t>
            </w:r>
            <w:r>
              <w:rPr>
                <w:rFonts w:eastAsia="Batang"/>
                <w:sz w:val="20"/>
                <w:szCs w:val="20"/>
                <w:vertAlign w:val="superscript"/>
                <w:lang w:val="en-GB" w:eastAsia="ko-KR"/>
              </w:rPr>
              <w:t>1</w:t>
            </w:r>
            <w:r w:rsidR="000779A7">
              <w:rPr>
                <w:rFonts w:eastAsia="Batang"/>
                <w:sz w:val="20"/>
                <w:szCs w:val="20"/>
                <w:vertAlign w:val="superscript"/>
                <w:lang w:val="en-GB" w:eastAsia="ko-KR"/>
              </w:rPr>
              <w:t>6</w:t>
            </w:r>
            <w:r w:rsidR="008A1121">
              <w:rPr>
                <w:rFonts w:eastAsia="Batang"/>
                <w:sz w:val="20"/>
                <w:szCs w:val="20"/>
                <w:vertAlign w:val="superscript"/>
                <w:lang w:val="en-GB" w:eastAsia="ko-KR"/>
              </w:rPr>
              <w:t>1</w:t>
            </w:r>
            <w:r>
              <w:rPr>
                <w:rFonts w:eastAsia="Batang"/>
                <w:sz w:val="20"/>
                <w:szCs w:val="20"/>
                <w:lang w:val="en-GB" w:eastAsia="ko-KR"/>
              </w:rPr>
              <w:t>.</w:t>
            </w:r>
          </w:p>
        </w:tc>
      </w:tr>
    </w:tbl>
    <w:p w:rsidR="00FC33EC" w:rsidRPr="00372ECE" w:rsidRDefault="00FC33EC" w:rsidP="00FC33EC">
      <w:pPr>
        <w:pStyle w:val="Textodebloque"/>
        <w:spacing w:line="240" w:lineRule="auto"/>
        <w:ind w:left="0" w:firstLine="708"/>
        <w:rPr>
          <w:b w:val="0"/>
          <w:bCs w:val="0"/>
          <w:sz w:val="24"/>
          <w:szCs w:val="24"/>
          <w:lang w:val="en-GB"/>
        </w:rPr>
      </w:pPr>
    </w:p>
    <w:p w:rsidR="00FC33EC" w:rsidRPr="00372ECE" w:rsidRDefault="00FC33EC" w:rsidP="00FC33EC">
      <w:pPr>
        <w:pStyle w:val="Textodebloque"/>
        <w:spacing w:line="240" w:lineRule="auto"/>
        <w:ind w:left="2340"/>
        <w:rPr>
          <w:b w:val="0"/>
          <w:bCs w:val="0"/>
          <w:sz w:val="24"/>
          <w:szCs w:val="24"/>
          <w:lang w:val="en-GB"/>
        </w:rPr>
      </w:pPr>
    </w:p>
    <w:p w:rsidR="00FC33EC" w:rsidRPr="006D5179" w:rsidRDefault="00FC33EC" w:rsidP="00FC33EC">
      <w:pPr>
        <w:pStyle w:val="Textodebloque"/>
        <w:spacing w:line="240" w:lineRule="auto"/>
        <w:ind w:left="0" w:firstLine="708"/>
        <w:rPr>
          <w:b w:val="0"/>
          <w:bCs w:val="0"/>
          <w:sz w:val="24"/>
          <w:szCs w:val="24"/>
          <w:lang w:val="en-US"/>
        </w:rPr>
      </w:pPr>
    </w:p>
    <w:tbl>
      <w:tblPr>
        <w:tblW w:w="500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01"/>
        <w:gridCol w:w="5946"/>
      </w:tblGrid>
      <w:tr w:rsidR="00FC33EC" w:rsidRPr="000830E7" w:rsidTr="00274F6B">
        <w:trPr>
          <w:trHeight w:val="69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Pr>
                <w:b/>
                <w:bCs/>
                <w:sz w:val="20"/>
                <w:szCs w:val="20"/>
              </w:rPr>
              <w:t>Cumplimiento de la estancia postoperatoria de un día</w:t>
            </w:r>
          </w:p>
        </w:tc>
      </w:tr>
      <w:tr w:rsidR="00FC33EC" w:rsidRPr="000830E7" w:rsidTr="00274F6B">
        <w:trPr>
          <w:trHeight w:val="52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Fórmula</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rPr>
            </w:pPr>
            <w:r>
              <w:rPr>
                <w:sz w:val="20"/>
                <w:szCs w:val="20"/>
              </w:rPr>
              <w:t>Pacientes intervenidos de tiroidectomía que son dados de alta al día siguiente de la intervención x 100 / pacientes intervenidos de tiroidectomía.</w:t>
            </w:r>
          </w:p>
        </w:tc>
      </w:tr>
      <w:tr w:rsidR="00FC33EC" w:rsidRPr="000830E7" w:rsidTr="00274F6B">
        <w:trPr>
          <w:trHeight w:val="674"/>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after="120"/>
              <w:rPr>
                <w:b/>
                <w:bCs/>
                <w:sz w:val="20"/>
                <w:szCs w:val="20"/>
              </w:rPr>
            </w:pPr>
            <w:r w:rsidRPr="000830E7">
              <w:rPr>
                <w:b/>
                <w:bCs/>
                <w:sz w:val="20"/>
                <w:szCs w:val="20"/>
              </w:rPr>
              <w:t>Exclusiones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rPr>
            </w:pPr>
            <w:r>
              <w:rPr>
                <w:sz w:val="20"/>
                <w:szCs w:val="20"/>
              </w:rPr>
              <w:t>Pacientes con otra cirugía asociada de igual o superior complejidad que la tiroidectomía</w:t>
            </w:r>
          </w:p>
        </w:tc>
      </w:tr>
      <w:tr w:rsidR="00FC33EC" w:rsidRPr="000830E7" w:rsidTr="00274F6B">
        <w:trPr>
          <w:trHeight w:val="1242"/>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Aclaraciones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A16C4B" w:rsidRDefault="00FC33EC" w:rsidP="00274F6B">
            <w:pPr>
              <w:autoSpaceDE w:val="0"/>
              <w:autoSpaceDN w:val="0"/>
              <w:adjustRightInd w:val="0"/>
              <w:rPr>
                <w:rFonts w:eastAsia="Batang"/>
                <w:sz w:val="20"/>
                <w:szCs w:val="20"/>
                <w:lang w:eastAsia="ko-KR"/>
              </w:rPr>
            </w:pPr>
            <w:r w:rsidRPr="00A16C4B">
              <w:rPr>
                <w:rFonts w:eastAsia="Batang"/>
                <w:sz w:val="20"/>
                <w:szCs w:val="20"/>
                <w:lang w:eastAsia="ko-KR"/>
              </w:rPr>
              <w:t xml:space="preserve">• Incluye todos los pacientes clasificados en un GRD quirúrgico de tiroidectomía y cuyo tipo de ingreso </w:t>
            </w:r>
            <w:r>
              <w:rPr>
                <w:rFonts w:eastAsia="Batang"/>
                <w:sz w:val="20"/>
                <w:szCs w:val="20"/>
                <w:lang w:eastAsia="ko-KR"/>
              </w:rPr>
              <w:t xml:space="preserve">fue </w:t>
            </w:r>
            <w:r w:rsidRPr="00A16C4B">
              <w:rPr>
                <w:rFonts w:eastAsia="Batang"/>
                <w:sz w:val="20"/>
                <w:szCs w:val="20"/>
                <w:lang w:eastAsia="ko-KR"/>
              </w:rPr>
              <w:t>programado.</w:t>
            </w:r>
          </w:p>
          <w:p w:rsidR="00FC33EC" w:rsidRPr="000830E7" w:rsidRDefault="00FC33EC" w:rsidP="00274F6B">
            <w:pPr>
              <w:pStyle w:val="Textodebloque"/>
              <w:spacing w:line="240" w:lineRule="auto"/>
              <w:ind w:left="0"/>
              <w:rPr>
                <w:sz w:val="20"/>
                <w:szCs w:val="20"/>
              </w:rPr>
            </w:pPr>
            <w:r w:rsidRPr="00A16C4B">
              <w:rPr>
                <w:rFonts w:eastAsia="Batang"/>
                <w:b w:val="0"/>
                <w:bCs w:val="0"/>
                <w:sz w:val="20"/>
                <w:szCs w:val="20"/>
                <w:lang w:eastAsia="ko-KR"/>
              </w:rPr>
              <w:t xml:space="preserve">• Se considera cumplimiento cuando </w:t>
            </w:r>
            <w:r w:rsidRPr="00372ECE">
              <w:rPr>
                <w:rFonts w:eastAsia="Batang"/>
                <w:b w:val="0"/>
                <w:bCs w:val="0"/>
                <w:sz w:val="20"/>
                <w:szCs w:val="20"/>
                <w:lang w:eastAsia="ko-KR"/>
              </w:rPr>
              <w:t xml:space="preserve">la fecha del alta es la del día siguiente al de la intervención </w:t>
            </w:r>
            <w:r w:rsidRPr="00142FE1">
              <w:rPr>
                <w:rFonts w:eastAsia="Batang"/>
                <w:b w:val="0"/>
                <w:bCs w:val="0"/>
                <w:sz w:val="20"/>
                <w:szCs w:val="20"/>
                <w:lang w:eastAsia="ko-KR"/>
              </w:rPr>
              <w:t>quirúrgica si el paciente no cumple ningún criterio de estancia según el AEP (vómitos, dolor</w:t>
            </w:r>
            <w:r>
              <w:rPr>
                <w:rFonts w:eastAsia="Batang"/>
                <w:b w:val="0"/>
                <w:bCs w:val="0"/>
                <w:sz w:val="20"/>
                <w:szCs w:val="20"/>
                <w:lang w:eastAsia="ko-KR"/>
              </w:rPr>
              <w:t xml:space="preserve"> no controlado</w:t>
            </w:r>
            <w:r w:rsidRPr="00142FE1">
              <w:rPr>
                <w:rFonts w:eastAsia="Batang"/>
                <w:b w:val="0"/>
                <w:bCs w:val="0"/>
                <w:sz w:val="20"/>
                <w:szCs w:val="20"/>
                <w:lang w:eastAsia="ko-KR"/>
              </w:rPr>
              <w:t>, requerimiento de medicación intravenosa, requerimiento de monitorización, etc.)</w:t>
            </w:r>
          </w:p>
        </w:tc>
      </w:tr>
      <w:tr w:rsidR="00FC33EC" w:rsidRPr="000830E7" w:rsidTr="00274F6B">
        <w:trPr>
          <w:trHeight w:val="366"/>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 xml:space="preserve">Tipo de indicador </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rPr>
            </w:pPr>
            <w:r>
              <w:rPr>
                <w:sz w:val="20"/>
                <w:szCs w:val="20"/>
              </w:rPr>
              <w:t>Proceso</w:t>
            </w:r>
          </w:p>
        </w:tc>
      </w:tr>
      <w:tr w:rsidR="00FC33EC" w:rsidRPr="000830E7" w:rsidTr="00274F6B">
        <w:trPr>
          <w:trHeight w:val="79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sidRPr="000830E7">
              <w:rPr>
                <w:b/>
                <w:bCs/>
                <w:sz w:val="20"/>
                <w:szCs w:val="20"/>
              </w:rPr>
              <w:t>Justificación</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A16C4B" w:rsidRDefault="00FC33EC" w:rsidP="00274F6B">
            <w:pPr>
              <w:pStyle w:val="Textodebloque"/>
              <w:spacing w:line="240" w:lineRule="auto"/>
              <w:ind w:left="0"/>
              <w:rPr>
                <w:b w:val="0"/>
                <w:bCs w:val="0"/>
                <w:sz w:val="20"/>
                <w:szCs w:val="20"/>
              </w:rPr>
            </w:pPr>
            <w:r w:rsidRPr="00A16C4B">
              <w:rPr>
                <w:rFonts w:eastAsia="Batang"/>
                <w:b w:val="0"/>
                <w:bCs w:val="0"/>
                <w:sz w:val="20"/>
                <w:szCs w:val="20"/>
                <w:lang w:eastAsia="ko-KR"/>
              </w:rPr>
              <w:t>El AEP (</w:t>
            </w:r>
            <w:proofErr w:type="spellStart"/>
            <w:r w:rsidRPr="00A16C4B">
              <w:rPr>
                <w:rFonts w:eastAsia="Batang"/>
                <w:b w:val="0"/>
                <w:bCs w:val="0"/>
                <w:sz w:val="20"/>
                <w:szCs w:val="20"/>
                <w:lang w:eastAsia="ko-KR"/>
              </w:rPr>
              <w:t>Approppiateness</w:t>
            </w:r>
            <w:proofErr w:type="spellEnd"/>
            <w:r w:rsidRPr="00A16C4B">
              <w:rPr>
                <w:rFonts w:eastAsia="Batang"/>
                <w:b w:val="0"/>
                <w:bCs w:val="0"/>
                <w:sz w:val="20"/>
                <w:szCs w:val="20"/>
                <w:lang w:eastAsia="ko-KR"/>
              </w:rPr>
              <w:t xml:space="preserve"> </w:t>
            </w:r>
            <w:proofErr w:type="spellStart"/>
            <w:r w:rsidRPr="00A16C4B">
              <w:rPr>
                <w:rFonts w:eastAsia="Batang"/>
                <w:b w:val="0"/>
                <w:bCs w:val="0"/>
                <w:sz w:val="20"/>
                <w:szCs w:val="20"/>
                <w:lang w:eastAsia="ko-KR"/>
              </w:rPr>
              <w:t>Evaluation</w:t>
            </w:r>
            <w:proofErr w:type="spellEnd"/>
            <w:r w:rsidRPr="00A16C4B">
              <w:rPr>
                <w:rFonts w:eastAsia="Batang"/>
                <w:b w:val="0"/>
                <w:bCs w:val="0"/>
                <w:sz w:val="20"/>
                <w:szCs w:val="20"/>
                <w:lang w:eastAsia="ko-KR"/>
              </w:rPr>
              <w:t xml:space="preserve"> </w:t>
            </w:r>
            <w:proofErr w:type="spellStart"/>
            <w:r w:rsidRPr="00A16C4B">
              <w:rPr>
                <w:rFonts w:eastAsia="Batang"/>
                <w:b w:val="0"/>
                <w:bCs w:val="0"/>
                <w:sz w:val="20"/>
                <w:szCs w:val="20"/>
                <w:lang w:eastAsia="ko-KR"/>
              </w:rPr>
              <w:t>Protocol</w:t>
            </w:r>
            <w:proofErr w:type="spellEnd"/>
            <w:r w:rsidRPr="00A16C4B">
              <w:rPr>
                <w:rFonts w:eastAsia="Batang"/>
                <w:b w:val="0"/>
                <w:bCs w:val="0"/>
                <w:sz w:val="20"/>
                <w:szCs w:val="20"/>
                <w:lang w:eastAsia="ko-KR"/>
              </w:rPr>
              <w:t xml:space="preserve">) considera </w:t>
            </w:r>
            <w:r>
              <w:rPr>
                <w:rFonts w:eastAsia="Batang"/>
                <w:b w:val="0"/>
                <w:bCs w:val="0"/>
                <w:sz w:val="20"/>
                <w:szCs w:val="20"/>
                <w:lang w:eastAsia="ko-KR"/>
              </w:rPr>
              <w:t xml:space="preserve">inadecuada el ingreso de pacientes que no tienen ningún criterio de ingreso en hospital de agudos. </w:t>
            </w:r>
          </w:p>
        </w:tc>
      </w:tr>
      <w:tr w:rsidR="00FC33EC" w:rsidRPr="00372ECE" w:rsidTr="00274F6B">
        <w:trPr>
          <w:trHeight w:val="596"/>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sidRPr="000830E7">
              <w:rPr>
                <w:b/>
                <w:bCs/>
                <w:sz w:val="20"/>
                <w:szCs w:val="20"/>
              </w:rPr>
              <w:t>Origen del indicador</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A16C4B" w:rsidRDefault="00FC33EC" w:rsidP="00274F6B">
            <w:pPr>
              <w:rPr>
                <w:sz w:val="20"/>
                <w:szCs w:val="20"/>
              </w:rPr>
            </w:pPr>
            <w:r w:rsidRPr="00A16C4B">
              <w:rPr>
                <w:sz w:val="20"/>
                <w:szCs w:val="20"/>
              </w:rPr>
              <w:t xml:space="preserve">Elaboración propia a partir de </w:t>
            </w:r>
            <w:r w:rsidRPr="00142FE1">
              <w:rPr>
                <w:sz w:val="20"/>
                <w:szCs w:val="20"/>
              </w:rPr>
              <w:t>criterios del AEP.</w:t>
            </w:r>
          </w:p>
        </w:tc>
      </w:tr>
      <w:tr w:rsidR="00FC33EC" w:rsidRPr="001D46EA" w:rsidTr="00274F6B">
        <w:trPr>
          <w:trHeight w:val="831"/>
        </w:trPr>
        <w:tc>
          <w:tcPr>
            <w:tcW w:w="1562" w:type="pct"/>
            <w:tcBorders>
              <w:top w:val="single" w:sz="4" w:space="0" w:color="auto"/>
              <w:left w:val="single" w:sz="4" w:space="0" w:color="auto"/>
              <w:bottom w:val="single" w:sz="4" w:space="0" w:color="auto"/>
              <w:right w:val="single" w:sz="4" w:space="0" w:color="auto"/>
            </w:tcBorders>
            <w:vAlign w:val="center"/>
          </w:tcPr>
          <w:p w:rsidR="00FC33EC" w:rsidRPr="00142FE1" w:rsidRDefault="00FC33EC" w:rsidP="00274F6B">
            <w:pPr>
              <w:rPr>
                <w:b/>
                <w:bCs/>
                <w:sz w:val="20"/>
                <w:szCs w:val="20"/>
              </w:rPr>
            </w:pPr>
            <w:r w:rsidRPr="00142FE1">
              <w:rPr>
                <w:b/>
                <w:bCs/>
                <w:sz w:val="20"/>
                <w:szCs w:val="20"/>
              </w:rPr>
              <w:t>Referencias bibliográficas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84570F" w:rsidRDefault="00FC33EC" w:rsidP="008A1121">
            <w:pPr>
              <w:rPr>
                <w:color w:val="FF0000"/>
                <w:sz w:val="20"/>
                <w:szCs w:val="20"/>
                <w:lang w:val="en-GB"/>
              </w:rPr>
            </w:pPr>
            <w:proofErr w:type="spellStart"/>
            <w:r w:rsidRPr="00A16C4B">
              <w:rPr>
                <w:rFonts w:eastAsia="Batang"/>
                <w:sz w:val="20"/>
                <w:szCs w:val="20"/>
                <w:lang w:val="en-GB" w:eastAsia="ko-KR"/>
              </w:rPr>
              <w:t>Gertman</w:t>
            </w:r>
            <w:proofErr w:type="spellEnd"/>
            <w:r w:rsidRPr="00A16C4B">
              <w:rPr>
                <w:rFonts w:eastAsia="Batang"/>
                <w:sz w:val="20"/>
                <w:szCs w:val="20"/>
                <w:lang w:val="en-GB" w:eastAsia="ko-KR"/>
              </w:rPr>
              <w:t xml:space="preserve"> P.M., </w:t>
            </w:r>
            <w:proofErr w:type="spellStart"/>
            <w:r w:rsidRPr="00A16C4B">
              <w:rPr>
                <w:rFonts w:eastAsia="Batang"/>
                <w:sz w:val="20"/>
                <w:szCs w:val="20"/>
                <w:lang w:val="en-GB" w:eastAsia="ko-KR"/>
              </w:rPr>
              <w:t>Restuccia</w:t>
            </w:r>
            <w:proofErr w:type="spellEnd"/>
            <w:r w:rsidRPr="00A16C4B">
              <w:rPr>
                <w:rFonts w:eastAsia="Batang"/>
                <w:sz w:val="20"/>
                <w:szCs w:val="20"/>
                <w:lang w:val="en-GB" w:eastAsia="ko-KR"/>
              </w:rPr>
              <w:t xml:space="preserve"> J.D. The </w:t>
            </w:r>
            <w:proofErr w:type="spellStart"/>
            <w:r w:rsidRPr="00A16C4B">
              <w:rPr>
                <w:rFonts w:eastAsia="Batang"/>
                <w:sz w:val="20"/>
                <w:szCs w:val="20"/>
                <w:lang w:val="en-GB" w:eastAsia="ko-KR"/>
              </w:rPr>
              <w:t>approppiateness</w:t>
            </w:r>
            <w:proofErr w:type="spellEnd"/>
            <w:r w:rsidRPr="00A16C4B">
              <w:rPr>
                <w:rFonts w:eastAsia="Batang"/>
                <w:sz w:val="20"/>
                <w:szCs w:val="20"/>
                <w:lang w:val="en-GB" w:eastAsia="ko-KR"/>
              </w:rPr>
              <w:t xml:space="preserve"> evaluation</w:t>
            </w:r>
            <w:r>
              <w:rPr>
                <w:rFonts w:eastAsia="Batang"/>
                <w:sz w:val="20"/>
                <w:szCs w:val="20"/>
                <w:lang w:val="en-GB" w:eastAsia="ko-KR"/>
              </w:rPr>
              <w:t xml:space="preserve"> </w:t>
            </w:r>
            <w:r w:rsidRPr="00A16C4B">
              <w:rPr>
                <w:rFonts w:eastAsia="Batang"/>
                <w:sz w:val="20"/>
                <w:szCs w:val="20"/>
                <w:lang w:val="en-GB" w:eastAsia="ko-KR"/>
              </w:rPr>
              <w:t xml:space="preserve">protocol: a </w:t>
            </w:r>
            <w:proofErr w:type="spellStart"/>
            <w:r w:rsidRPr="00A16C4B">
              <w:rPr>
                <w:rFonts w:eastAsia="Batang"/>
                <w:sz w:val="20"/>
                <w:szCs w:val="20"/>
                <w:lang w:val="en-GB" w:eastAsia="ko-KR"/>
              </w:rPr>
              <w:t>thecnique</w:t>
            </w:r>
            <w:proofErr w:type="spellEnd"/>
            <w:r w:rsidRPr="00A16C4B">
              <w:rPr>
                <w:rFonts w:eastAsia="Batang"/>
                <w:sz w:val="20"/>
                <w:szCs w:val="20"/>
                <w:lang w:val="en-GB" w:eastAsia="ko-KR"/>
              </w:rPr>
              <w:t xml:space="preserve"> for assessing </w:t>
            </w:r>
            <w:proofErr w:type="spellStart"/>
            <w:r w:rsidRPr="00A16C4B">
              <w:rPr>
                <w:rFonts w:eastAsia="Batang"/>
                <w:sz w:val="20"/>
                <w:szCs w:val="20"/>
                <w:lang w:val="en-GB" w:eastAsia="ko-KR"/>
              </w:rPr>
              <w:t>unnecesary</w:t>
            </w:r>
            <w:proofErr w:type="spellEnd"/>
            <w:r w:rsidRPr="00A16C4B">
              <w:rPr>
                <w:rFonts w:eastAsia="Batang"/>
                <w:sz w:val="20"/>
                <w:szCs w:val="20"/>
                <w:lang w:val="en-GB" w:eastAsia="ko-KR"/>
              </w:rPr>
              <w:t xml:space="preserve"> days of</w:t>
            </w:r>
            <w:r>
              <w:rPr>
                <w:rFonts w:eastAsia="Batang"/>
                <w:sz w:val="20"/>
                <w:szCs w:val="20"/>
                <w:lang w:val="en-GB" w:eastAsia="ko-KR"/>
              </w:rPr>
              <w:t xml:space="preserve"> </w:t>
            </w:r>
            <w:r w:rsidRPr="00372ECE">
              <w:rPr>
                <w:rFonts w:eastAsia="Batang"/>
                <w:sz w:val="20"/>
                <w:szCs w:val="20"/>
                <w:lang w:val="en-GB" w:eastAsia="ko-KR"/>
              </w:rPr>
              <w:t>hospital care. Med Care 1981; 19:855-71</w:t>
            </w:r>
            <w:r>
              <w:rPr>
                <w:rFonts w:eastAsia="Batang"/>
                <w:sz w:val="20"/>
                <w:szCs w:val="20"/>
                <w:vertAlign w:val="superscript"/>
                <w:lang w:val="en-GB" w:eastAsia="ko-KR"/>
              </w:rPr>
              <w:t>1</w:t>
            </w:r>
            <w:r w:rsidR="000779A7">
              <w:rPr>
                <w:rFonts w:eastAsia="Batang"/>
                <w:sz w:val="20"/>
                <w:szCs w:val="20"/>
                <w:vertAlign w:val="superscript"/>
                <w:lang w:val="en-GB" w:eastAsia="ko-KR"/>
              </w:rPr>
              <w:t>6</w:t>
            </w:r>
            <w:r w:rsidR="008A1121">
              <w:rPr>
                <w:rFonts w:eastAsia="Batang"/>
                <w:sz w:val="20"/>
                <w:szCs w:val="20"/>
                <w:vertAlign w:val="superscript"/>
                <w:lang w:val="en-GB" w:eastAsia="ko-KR"/>
              </w:rPr>
              <w:t>1</w:t>
            </w:r>
            <w:r>
              <w:rPr>
                <w:rFonts w:eastAsia="Batang"/>
                <w:sz w:val="20"/>
                <w:szCs w:val="20"/>
                <w:lang w:val="en-GB" w:eastAsia="ko-KR"/>
              </w:rPr>
              <w:t>.</w:t>
            </w:r>
          </w:p>
        </w:tc>
      </w:tr>
    </w:tbl>
    <w:p w:rsidR="00FC33EC" w:rsidRPr="00240B13" w:rsidRDefault="00FC33EC" w:rsidP="00FC33EC">
      <w:pPr>
        <w:pStyle w:val="Textodebloque"/>
        <w:spacing w:line="240" w:lineRule="auto"/>
        <w:ind w:left="0" w:firstLine="708"/>
        <w:rPr>
          <w:b w:val="0"/>
          <w:bCs w:val="0"/>
          <w:sz w:val="24"/>
          <w:szCs w:val="24"/>
        </w:rPr>
      </w:pPr>
    </w:p>
    <w:p w:rsidR="00FC33EC" w:rsidRPr="00240B13" w:rsidRDefault="00FC33EC" w:rsidP="00FC33EC">
      <w:pPr>
        <w:pStyle w:val="Textodebloque"/>
        <w:spacing w:line="240" w:lineRule="auto"/>
        <w:rPr>
          <w:b w:val="0"/>
          <w:bCs w:val="0"/>
          <w:sz w:val="24"/>
          <w:szCs w:val="24"/>
        </w:rPr>
      </w:pPr>
    </w:p>
    <w:p w:rsidR="00FC33EC" w:rsidRDefault="00FC33EC" w:rsidP="00FC33EC">
      <w:pPr>
        <w:pStyle w:val="Textodebloque"/>
        <w:spacing w:line="240" w:lineRule="auto"/>
        <w:ind w:left="360"/>
        <w:rPr>
          <w:b w:val="0"/>
          <w:bCs w:val="0"/>
          <w:sz w:val="24"/>
          <w:szCs w:val="24"/>
        </w:rPr>
      </w:pPr>
      <w:r>
        <w:rPr>
          <w:sz w:val="24"/>
          <w:szCs w:val="24"/>
        </w:rPr>
        <w:br w:type="page"/>
      </w:r>
    </w:p>
    <w:tbl>
      <w:tblPr>
        <w:tblW w:w="500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01"/>
        <w:gridCol w:w="5946"/>
      </w:tblGrid>
      <w:tr w:rsidR="00FC33EC" w:rsidRPr="000830E7" w:rsidTr="00274F6B">
        <w:trPr>
          <w:trHeight w:val="69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Pr>
                <w:b/>
                <w:bCs/>
                <w:sz w:val="20"/>
                <w:szCs w:val="20"/>
              </w:rPr>
              <w:t>Infección de sitio quirúrgico ISQ</w:t>
            </w:r>
          </w:p>
        </w:tc>
      </w:tr>
      <w:tr w:rsidR="00FC33EC" w:rsidRPr="000830E7" w:rsidTr="00274F6B">
        <w:trPr>
          <w:trHeight w:val="52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Fórmula</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rPr>
            </w:pPr>
            <w:r>
              <w:rPr>
                <w:sz w:val="20"/>
                <w:szCs w:val="20"/>
              </w:rPr>
              <w:t xml:space="preserve">Pacientes </w:t>
            </w:r>
            <w:r w:rsidRPr="00142FE1">
              <w:rPr>
                <w:sz w:val="20"/>
                <w:szCs w:val="20"/>
              </w:rPr>
              <w:t xml:space="preserve">sometidos a tiroidectomía que presentan ISQ, según criterios del Center </w:t>
            </w:r>
            <w:proofErr w:type="spellStart"/>
            <w:r w:rsidRPr="00142FE1">
              <w:rPr>
                <w:sz w:val="20"/>
                <w:szCs w:val="20"/>
              </w:rPr>
              <w:t>for</w:t>
            </w:r>
            <w:proofErr w:type="spellEnd"/>
            <w:r w:rsidRPr="00142FE1">
              <w:rPr>
                <w:sz w:val="20"/>
                <w:szCs w:val="20"/>
              </w:rPr>
              <w:t xml:space="preserve"> </w:t>
            </w:r>
            <w:proofErr w:type="spellStart"/>
            <w:r w:rsidRPr="00142FE1">
              <w:rPr>
                <w:sz w:val="20"/>
                <w:szCs w:val="20"/>
              </w:rPr>
              <w:t>Diseases</w:t>
            </w:r>
            <w:proofErr w:type="spellEnd"/>
            <w:r w:rsidRPr="00142FE1">
              <w:rPr>
                <w:sz w:val="20"/>
                <w:szCs w:val="20"/>
              </w:rPr>
              <w:t xml:space="preserve"> Control and </w:t>
            </w:r>
            <w:proofErr w:type="spellStart"/>
            <w:r w:rsidRPr="00142FE1">
              <w:rPr>
                <w:sz w:val="20"/>
                <w:szCs w:val="20"/>
              </w:rPr>
              <w:t>Prevention</w:t>
            </w:r>
            <w:proofErr w:type="spellEnd"/>
            <w:r w:rsidRPr="00142FE1">
              <w:rPr>
                <w:sz w:val="20"/>
                <w:szCs w:val="20"/>
              </w:rPr>
              <w:t xml:space="preserve"> norteamericano (CDC) x 100 / pacientes sometidos a tiroidectomía.</w:t>
            </w:r>
          </w:p>
        </w:tc>
      </w:tr>
      <w:tr w:rsidR="00FC33EC" w:rsidRPr="000830E7" w:rsidTr="00274F6B">
        <w:trPr>
          <w:trHeight w:val="1242"/>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Aclaraciones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142FE1" w:rsidRDefault="00FC33EC" w:rsidP="00FC33EC">
            <w:pPr>
              <w:pStyle w:val="Textodebloque"/>
              <w:numPr>
                <w:ilvl w:val="0"/>
                <w:numId w:val="11"/>
              </w:numPr>
              <w:spacing w:line="240" w:lineRule="auto"/>
              <w:rPr>
                <w:b w:val="0"/>
                <w:bCs w:val="0"/>
                <w:sz w:val="20"/>
                <w:szCs w:val="20"/>
              </w:rPr>
            </w:pPr>
            <w:r w:rsidRPr="00142FE1">
              <w:rPr>
                <w:b w:val="0"/>
                <w:bCs w:val="0"/>
                <w:sz w:val="20"/>
                <w:szCs w:val="20"/>
              </w:rPr>
              <w:t xml:space="preserve">Incluye los 30 primeros días del postoperatorio tras tiroidectomía. </w:t>
            </w:r>
          </w:p>
          <w:p w:rsidR="00FC33EC" w:rsidRPr="00142FE1" w:rsidRDefault="00FC33EC" w:rsidP="00FC33EC">
            <w:pPr>
              <w:pStyle w:val="Textodebloque"/>
              <w:numPr>
                <w:ilvl w:val="0"/>
                <w:numId w:val="11"/>
              </w:numPr>
              <w:spacing w:line="240" w:lineRule="auto"/>
              <w:rPr>
                <w:b w:val="0"/>
                <w:bCs w:val="0"/>
                <w:sz w:val="20"/>
                <w:szCs w:val="20"/>
              </w:rPr>
            </w:pPr>
            <w:r w:rsidRPr="00142FE1">
              <w:rPr>
                <w:b w:val="0"/>
                <w:bCs w:val="0"/>
                <w:sz w:val="20"/>
                <w:szCs w:val="20"/>
              </w:rPr>
              <w:t>Según las publicaciones, esta cifra no debe superar el 2%, aunque puede aumentar si se considera de forma aislada la tiroidectomía por cáncer.</w:t>
            </w:r>
          </w:p>
        </w:tc>
      </w:tr>
      <w:tr w:rsidR="00FC33EC" w:rsidRPr="000830E7" w:rsidTr="00274F6B">
        <w:trPr>
          <w:trHeight w:val="466"/>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 xml:space="preserve">Tipo de indicador </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rPr>
            </w:pPr>
            <w:r>
              <w:rPr>
                <w:sz w:val="20"/>
                <w:szCs w:val="20"/>
              </w:rPr>
              <w:t>Resultado</w:t>
            </w:r>
          </w:p>
        </w:tc>
      </w:tr>
      <w:tr w:rsidR="00FC33EC" w:rsidRPr="000830E7" w:rsidTr="00274F6B">
        <w:trPr>
          <w:trHeight w:val="79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sidRPr="000830E7">
              <w:rPr>
                <w:b/>
                <w:bCs/>
                <w:sz w:val="20"/>
                <w:szCs w:val="20"/>
              </w:rPr>
              <w:t>Justificación</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7662DB" w:rsidRDefault="00FC33EC" w:rsidP="00274F6B">
            <w:pPr>
              <w:pStyle w:val="Textodebloque"/>
              <w:spacing w:line="240" w:lineRule="auto"/>
              <w:ind w:left="0"/>
              <w:rPr>
                <w:b w:val="0"/>
                <w:bCs w:val="0"/>
                <w:sz w:val="20"/>
                <w:szCs w:val="20"/>
              </w:rPr>
            </w:pPr>
            <w:r w:rsidRPr="007662DB">
              <w:rPr>
                <w:b w:val="0"/>
                <w:bCs w:val="0"/>
                <w:sz w:val="20"/>
                <w:szCs w:val="20"/>
              </w:rPr>
              <w:t>La incidencia de ISQ varía dependiendo de la localización y del tipo de cirugía. Si no existe inflamación previa de los tejidos, y se mantiene la integridad de la vía respiratoria y digestiva durante el procedimiento, la tiroidectomía debe considerarse cirugía limpia</w:t>
            </w:r>
          </w:p>
        </w:tc>
      </w:tr>
      <w:tr w:rsidR="00FC33EC" w:rsidRPr="000830E7" w:rsidTr="00274F6B">
        <w:trPr>
          <w:trHeight w:val="531"/>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sidRPr="000830E7">
              <w:rPr>
                <w:b/>
                <w:bCs/>
                <w:sz w:val="20"/>
                <w:szCs w:val="20"/>
              </w:rPr>
              <w:t>Origen del indicador</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lang w:val="fr-FR"/>
              </w:rPr>
            </w:pPr>
            <w:proofErr w:type="spellStart"/>
            <w:r>
              <w:rPr>
                <w:sz w:val="20"/>
                <w:szCs w:val="20"/>
                <w:lang w:val="fr-FR"/>
              </w:rPr>
              <w:t>Elaboración</w:t>
            </w:r>
            <w:proofErr w:type="spellEnd"/>
            <w:r>
              <w:rPr>
                <w:sz w:val="20"/>
                <w:szCs w:val="20"/>
                <w:lang w:val="fr-FR"/>
              </w:rPr>
              <w:t xml:space="preserve"> </w:t>
            </w:r>
            <w:proofErr w:type="spellStart"/>
            <w:r>
              <w:rPr>
                <w:sz w:val="20"/>
                <w:szCs w:val="20"/>
                <w:lang w:val="fr-FR"/>
              </w:rPr>
              <w:t>propia</w:t>
            </w:r>
            <w:proofErr w:type="spellEnd"/>
          </w:p>
        </w:tc>
      </w:tr>
      <w:tr w:rsidR="00FC33EC" w:rsidRPr="000779A7" w:rsidTr="00274F6B">
        <w:trPr>
          <w:trHeight w:val="163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142FE1" w:rsidRDefault="00FC33EC" w:rsidP="00274F6B">
            <w:pPr>
              <w:rPr>
                <w:b/>
                <w:bCs/>
                <w:sz w:val="20"/>
                <w:szCs w:val="20"/>
              </w:rPr>
            </w:pPr>
            <w:r w:rsidRPr="00142FE1">
              <w:rPr>
                <w:b/>
                <w:bCs/>
                <w:sz w:val="20"/>
                <w:szCs w:val="20"/>
              </w:rPr>
              <w:t>Referencias bibliográficas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7662DB" w:rsidRDefault="00FC33EC" w:rsidP="00FC33EC">
            <w:pPr>
              <w:pStyle w:val="Prrafodelista1"/>
              <w:numPr>
                <w:ilvl w:val="0"/>
                <w:numId w:val="5"/>
              </w:numPr>
              <w:spacing w:after="120"/>
              <w:jc w:val="both"/>
              <w:rPr>
                <w:sz w:val="20"/>
                <w:szCs w:val="20"/>
                <w:lang w:val="en-US"/>
              </w:rPr>
            </w:pPr>
            <w:proofErr w:type="spellStart"/>
            <w:r w:rsidRPr="007662DB">
              <w:rPr>
                <w:sz w:val="20"/>
                <w:szCs w:val="20"/>
                <w:lang w:val="en-US"/>
              </w:rPr>
              <w:t>Bratzler</w:t>
            </w:r>
            <w:proofErr w:type="spellEnd"/>
            <w:r w:rsidRPr="007662DB">
              <w:rPr>
                <w:sz w:val="20"/>
                <w:szCs w:val="20"/>
                <w:lang w:val="en-US"/>
              </w:rPr>
              <w:t xml:space="preserve"> DW, Hunt DR. The surgical infection prevention and surgical care improvement projects: national initiatives to improve outcomes for patients having surgery. </w:t>
            </w:r>
            <w:proofErr w:type="spellStart"/>
            <w:r w:rsidRPr="007662DB">
              <w:rPr>
                <w:sz w:val="20"/>
                <w:szCs w:val="20"/>
                <w:lang w:val="en-US"/>
              </w:rPr>
              <w:t>Clin</w:t>
            </w:r>
            <w:proofErr w:type="spellEnd"/>
            <w:r w:rsidRPr="007662DB">
              <w:rPr>
                <w:sz w:val="20"/>
                <w:szCs w:val="20"/>
                <w:lang w:val="en-US"/>
              </w:rPr>
              <w:t xml:space="preserve"> Infect </w:t>
            </w:r>
            <w:proofErr w:type="spellStart"/>
            <w:r w:rsidRPr="007662DB">
              <w:rPr>
                <w:sz w:val="20"/>
                <w:szCs w:val="20"/>
                <w:lang w:val="en-US"/>
              </w:rPr>
              <w:t>Dis</w:t>
            </w:r>
            <w:proofErr w:type="spellEnd"/>
            <w:r w:rsidRPr="007662DB">
              <w:rPr>
                <w:sz w:val="20"/>
                <w:szCs w:val="20"/>
                <w:lang w:val="en-US"/>
              </w:rPr>
              <w:t xml:space="preserve"> 2006; 43:322</w:t>
            </w:r>
            <w:r>
              <w:rPr>
                <w:sz w:val="20"/>
                <w:szCs w:val="20"/>
                <w:vertAlign w:val="superscript"/>
                <w:lang w:val="en-US"/>
              </w:rPr>
              <w:t>32</w:t>
            </w:r>
            <w:r w:rsidRPr="007662DB">
              <w:rPr>
                <w:sz w:val="20"/>
                <w:szCs w:val="20"/>
                <w:lang w:val="en-US"/>
              </w:rPr>
              <w:t>.</w:t>
            </w:r>
          </w:p>
          <w:p w:rsidR="00FC33EC" w:rsidRPr="00142FE1" w:rsidRDefault="00FC33EC" w:rsidP="00FC33EC">
            <w:pPr>
              <w:pStyle w:val="Prrafodelista1"/>
              <w:numPr>
                <w:ilvl w:val="0"/>
                <w:numId w:val="5"/>
              </w:numPr>
              <w:spacing w:after="120"/>
              <w:jc w:val="both"/>
              <w:rPr>
                <w:sz w:val="20"/>
                <w:szCs w:val="20"/>
                <w:lang w:val="en-US"/>
              </w:rPr>
            </w:pPr>
            <w:r w:rsidRPr="007662DB">
              <w:rPr>
                <w:sz w:val="20"/>
                <w:szCs w:val="20"/>
                <w:lang w:val="en-US"/>
              </w:rPr>
              <w:t>Culver DH Horan</w:t>
            </w:r>
            <w:r w:rsidRPr="007662DB">
              <w:rPr>
                <w:rFonts w:ascii="Arial" w:hAnsi="Arial" w:cs="Arial"/>
                <w:sz w:val="20"/>
                <w:szCs w:val="20"/>
                <w:lang w:val="en-US"/>
              </w:rPr>
              <w:t xml:space="preserve"> </w:t>
            </w:r>
            <w:r w:rsidRPr="007662DB">
              <w:rPr>
                <w:sz w:val="20"/>
                <w:szCs w:val="20"/>
                <w:lang w:val="en-US"/>
              </w:rPr>
              <w:t xml:space="preserve">TC, </w:t>
            </w:r>
            <w:proofErr w:type="spellStart"/>
            <w:r w:rsidRPr="007662DB">
              <w:rPr>
                <w:sz w:val="20"/>
                <w:szCs w:val="20"/>
                <w:lang w:val="en-US"/>
              </w:rPr>
              <w:t>Gaynes</w:t>
            </w:r>
            <w:proofErr w:type="spellEnd"/>
            <w:r w:rsidRPr="007662DB">
              <w:rPr>
                <w:sz w:val="20"/>
                <w:szCs w:val="20"/>
                <w:lang w:val="en-US"/>
              </w:rPr>
              <w:t xml:space="preserve"> RP, </w:t>
            </w:r>
            <w:proofErr w:type="spellStart"/>
            <w:r w:rsidRPr="007662DB">
              <w:rPr>
                <w:sz w:val="20"/>
                <w:szCs w:val="20"/>
                <w:lang w:val="en-US"/>
              </w:rPr>
              <w:t>Martone</w:t>
            </w:r>
            <w:proofErr w:type="spellEnd"/>
            <w:r w:rsidRPr="007662DB">
              <w:rPr>
                <w:sz w:val="20"/>
                <w:szCs w:val="20"/>
                <w:lang w:val="en-US"/>
              </w:rPr>
              <w:t xml:space="preserve"> WJ, Jarvis WR, </w:t>
            </w:r>
            <w:proofErr w:type="spellStart"/>
            <w:r w:rsidRPr="007662DB">
              <w:rPr>
                <w:sz w:val="20"/>
                <w:szCs w:val="20"/>
                <w:lang w:val="en-US"/>
              </w:rPr>
              <w:t>Emori</w:t>
            </w:r>
            <w:proofErr w:type="spellEnd"/>
            <w:r w:rsidRPr="007662DB">
              <w:rPr>
                <w:sz w:val="20"/>
                <w:szCs w:val="20"/>
                <w:lang w:val="en-US"/>
              </w:rPr>
              <w:t xml:space="preserve"> TG, et al. Surgical wound infection rates by wound class, operative procedure, and patient risk index. National </w:t>
            </w:r>
            <w:proofErr w:type="spellStart"/>
            <w:r w:rsidRPr="007662DB">
              <w:rPr>
                <w:sz w:val="20"/>
                <w:szCs w:val="20"/>
                <w:lang w:val="en-US"/>
              </w:rPr>
              <w:t>Nosocomial</w:t>
            </w:r>
            <w:proofErr w:type="spellEnd"/>
            <w:r w:rsidRPr="007662DB">
              <w:rPr>
                <w:sz w:val="20"/>
                <w:szCs w:val="20"/>
                <w:lang w:val="en-US"/>
              </w:rPr>
              <w:t xml:space="preserve"> Infections Surveillance System. </w:t>
            </w:r>
            <w:proofErr w:type="gramStart"/>
            <w:r w:rsidRPr="007662DB">
              <w:rPr>
                <w:sz w:val="20"/>
                <w:szCs w:val="20"/>
                <w:lang w:val="en-US"/>
              </w:rPr>
              <w:t>Am</w:t>
            </w:r>
            <w:proofErr w:type="gramEnd"/>
            <w:r w:rsidRPr="007662DB">
              <w:rPr>
                <w:sz w:val="20"/>
                <w:szCs w:val="20"/>
                <w:lang w:val="en-US"/>
              </w:rPr>
              <w:t xml:space="preserve"> J Med 1991; 91 (3B): 1525-75</w:t>
            </w:r>
            <w:r>
              <w:rPr>
                <w:sz w:val="20"/>
                <w:szCs w:val="20"/>
                <w:vertAlign w:val="superscript"/>
                <w:lang w:val="en-US"/>
              </w:rPr>
              <w:t>33</w:t>
            </w:r>
            <w:r w:rsidRPr="007662DB">
              <w:rPr>
                <w:sz w:val="20"/>
                <w:szCs w:val="20"/>
                <w:lang w:val="en-US"/>
              </w:rPr>
              <w:t>.</w:t>
            </w:r>
          </w:p>
        </w:tc>
      </w:tr>
    </w:tbl>
    <w:p w:rsidR="00FC33EC" w:rsidRPr="000259E7" w:rsidRDefault="00FC33EC" w:rsidP="00FC33EC">
      <w:pPr>
        <w:pStyle w:val="Textodebloque"/>
        <w:spacing w:line="240" w:lineRule="auto"/>
        <w:ind w:left="360"/>
        <w:rPr>
          <w:b w:val="0"/>
          <w:bCs w:val="0"/>
          <w:sz w:val="24"/>
          <w:szCs w:val="24"/>
          <w:lang w:val="en-US"/>
        </w:rPr>
      </w:pPr>
    </w:p>
    <w:p w:rsidR="00FC33EC" w:rsidRPr="000259E7" w:rsidRDefault="00FC33EC" w:rsidP="00FC33EC">
      <w:pPr>
        <w:pStyle w:val="Textodebloque"/>
        <w:spacing w:line="240" w:lineRule="auto"/>
        <w:ind w:left="360"/>
        <w:rPr>
          <w:b w:val="0"/>
          <w:bCs w:val="0"/>
          <w:sz w:val="24"/>
          <w:szCs w:val="24"/>
          <w:lang w:val="en-US"/>
        </w:rPr>
      </w:pPr>
    </w:p>
    <w:p w:rsidR="00FC33EC" w:rsidRPr="000259E7" w:rsidRDefault="00FC33EC" w:rsidP="00FC33EC">
      <w:pPr>
        <w:pStyle w:val="Textodebloque"/>
        <w:spacing w:line="240" w:lineRule="auto"/>
        <w:ind w:left="360"/>
        <w:rPr>
          <w:b w:val="0"/>
          <w:bCs w:val="0"/>
          <w:sz w:val="24"/>
          <w:szCs w:val="24"/>
          <w:lang w:val="en-US"/>
        </w:rPr>
      </w:pPr>
    </w:p>
    <w:tbl>
      <w:tblPr>
        <w:tblW w:w="500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01"/>
        <w:gridCol w:w="5946"/>
      </w:tblGrid>
      <w:tr w:rsidR="00FC33EC" w:rsidRPr="000830E7" w:rsidTr="00274F6B">
        <w:trPr>
          <w:trHeight w:val="69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274F6B" w:rsidRDefault="00FC33EC" w:rsidP="00274F6B">
            <w:pPr>
              <w:spacing w:before="120"/>
              <w:rPr>
                <w:b/>
                <w:bCs/>
                <w:sz w:val="20"/>
                <w:szCs w:val="20"/>
                <w:lang w:val="en-US"/>
              </w:rPr>
            </w:pP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Pr>
                <w:b/>
                <w:bCs/>
                <w:sz w:val="20"/>
                <w:szCs w:val="20"/>
              </w:rPr>
              <w:t xml:space="preserve">Infección </w:t>
            </w:r>
            <w:proofErr w:type="spellStart"/>
            <w:r>
              <w:rPr>
                <w:b/>
                <w:bCs/>
                <w:sz w:val="20"/>
                <w:szCs w:val="20"/>
              </w:rPr>
              <w:t>nosocomial</w:t>
            </w:r>
            <w:proofErr w:type="spellEnd"/>
            <w:r>
              <w:rPr>
                <w:b/>
                <w:bCs/>
                <w:sz w:val="20"/>
                <w:szCs w:val="20"/>
              </w:rPr>
              <w:t xml:space="preserve"> diferente de la infección del sitio quirúrgico</w:t>
            </w:r>
          </w:p>
        </w:tc>
      </w:tr>
      <w:tr w:rsidR="00FC33EC" w:rsidRPr="000830E7" w:rsidTr="00274F6B">
        <w:trPr>
          <w:trHeight w:val="52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Fórmula</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rPr>
            </w:pPr>
            <w:r>
              <w:rPr>
                <w:sz w:val="20"/>
                <w:szCs w:val="20"/>
              </w:rPr>
              <w:t xml:space="preserve">Pacientes sometidos a tiroidectomía que tienen infección </w:t>
            </w:r>
            <w:proofErr w:type="spellStart"/>
            <w:r>
              <w:rPr>
                <w:sz w:val="20"/>
                <w:szCs w:val="20"/>
              </w:rPr>
              <w:t>nosocomial</w:t>
            </w:r>
            <w:proofErr w:type="spellEnd"/>
            <w:r>
              <w:rPr>
                <w:sz w:val="20"/>
                <w:szCs w:val="20"/>
              </w:rPr>
              <w:t xml:space="preserve"> diferente a la de ISQ x 100 / pacientes sometidos a tiroidectomía</w:t>
            </w:r>
          </w:p>
        </w:tc>
      </w:tr>
      <w:tr w:rsidR="00FC33EC" w:rsidRPr="000830E7" w:rsidTr="00274F6B">
        <w:trPr>
          <w:trHeight w:val="755"/>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Aclaraciones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142FE1" w:rsidRDefault="00FC33EC" w:rsidP="00FC33EC">
            <w:pPr>
              <w:pStyle w:val="Textodebloque"/>
              <w:numPr>
                <w:ilvl w:val="0"/>
                <w:numId w:val="11"/>
              </w:numPr>
              <w:spacing w:line="240" w:lineRule="auto"/>
              <w:rPr>
                <w:b w:val="0"/>
                <w:bCs w:val="0"/>
                <w:sz w:val="20"/>
                <w:szCs w:val="20"/>
              </w:rPr>
            </w:pPr>
            <w:r w:rsidRPr="00142FE1">
              <w:rPr>
                <w:b w:val="0"/>
                <w:bCs w:val="0"/>
                <w:sz w:val="20"/>
                <w:szCs w:val="20"/>
              </w:rPr>
              <w:t xml:space="preserve">Incluye los 30 primeros días del postoperatorio tras tiroidectomía. </w:t>
            </w:r>
          </w:p>
          <w:p w:rsidR="00FC33EC" w:rsidRPr="00556160" w:rsidRDefault="00FC33EC" w:rsidP="00274F6B">
            <w:pPr>
              <w:pStyle w:val="Textodebloque"/>
              <w:spacing w:line="240" w:lineRule="auto"/>
              <w:ind w:left="360"/>
              <w:rPr>
                <w:color w:val="FF0000"/>
                <w:sz w:val="20"/>
                <w:szCs w:val="20"/>
              </w:rPr>
            </w:pPr>
          </w:p>
        </w:tc>
      </w:tr>
      <w:tr w:rsidR="00FC33EC" w:rsidRPr="000830E7" w:rsidTr="00274F6B">
        <w:trPr>
          <w:trHeight w:val="426"/>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 xml:space="preserve">Tipo de indicador </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rPr>
            </w:pPr>
            <w:r>
              <w:rPr>
                <w:sz w:val="20"/>
                <w:szCs w:val="20"/>
              </w:rPr>
              <w:t>Resultado</w:t>
            </w:r>
          </w:p>
        </w:tc>
      </w:tr>
      <w:tr w:rsidR="00FC33EC" w:rsidRPr="000830E7" w:rsidTr="00274F6B">
        <w:trPr>
          <w:trHeight w:val="560"/>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sidRPr="000830E7">
              <w:rPr>
                <w:b/>
                <w:bCs/>
                <w:sz w:val="20"/>
                <w:szCs w:val="20"/>
              </w:rPr>
              <w:t>Origen del indicador</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lang w:val="fr-FR"/>
              </w:rPr>
            </w:pPr>
            <w:proofErr w:type="spellStart"/>
            <w:r>
              <w:rPr>
                <w:sz w:val="20"/>
                <w:szCs w:val="20"/>
                <w:lang w:val="fr-FR"/>
              </w:rPr>
              <w:t>Elaboración</w:t>
            </w:r>
            <w:proofErr w:type="spellEnd"/>
            <w:r>
              <w:rPr>
                <w:sz w:val="20"/>
                <w:szCs w:val="20"/>
                <w:lang w:val="fr-FR"/>
              </w:rPr>
              <w:t xml:space="preserve"> </w:t>
            </w:r>
            <w:proofErr w:type="spellStart"/>
            <w:r>
              <w:rPr>
                <w:sz w:val="20"/>
                <w:szCs w:val="20"/>
                <w:lang w:val="fr-FR"/>
              </w:rPr>
              <w:t>propia</w:t>
            </w:r>
            <w:proofErr w:type="spellEnd"/>
          </w:p>
        </w:tc>
      </w:tr>
      <w:tr w:rsidR="00FC33EC" w:rsidRPr="001D46EA" w:rsidTr="00274F6B">
        <w:trPr>
          <w:trHeight w:val="1121"/>
        </w:trPr>
        <w:tc>
          <w:tcPr>
            <w:tcW w:w="1562" w:type="pct"/>
            <w:tcBorders>
              <w:top w:val="single" w:sz="4" w:space="0" w:color="auto"/>
              <w:left w:val="single" w:sz="4" w:space="0" w:color="auto"/>
              <w:bottom w:val="single" w:sz="4" w:space="0" w:color="auto"/>
              <w:right w:val="single" w:sz="4" w:space="0" w:color="auto"/>
            </w:tcBorders>
            <w:vAlign w:val="center"/>
          </w:tcPr>
          <w:p w:rsidR="00FC33EC" w:rsidRPr="00142FE1" w:rsidRDefault="00FC33EC" w:rsidP="00274F6B">
            <w:pPr>
              <w:rPr>
                <w:b/>
                <w:bCs/>
                <w:sz w:val="20"/>
                <w:szCs w:val="20"/>
              </w:rPr>
            </w:pPr>
            <w:r w:rsidRPr="00142FE1">
              <w:rPr>
                <w:b/>
                <w:bCs/>
                <w:sz w:val="20"/>
                <w:szCs w:val="20"/>
              </w:rPr>
              <w:t>Referencias bibliográficas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142FE1" w:rsidRDefault="00FC33EC" w:rsidP="00FC33EC">
            <w:pPr>
              <w:pStyle w:val="Prrafodelista1"/>
              <w:numPr>
                <w:ilvl w:val="0"/>
                <w:numId w:val="5"/>
              </w:numPr>
              <w:spacing w:after="120"/>
              <w:jc w:val="both"/>
              <w:rPr>
                <w:sz w:val="20"/>
                <w:szCs w:val="20"/>
                <w:lang w:val="en-US"/>
              </w:rPr>
            </w:pPr>
            <w:proofErr w:type="spellStart"/>
            <w:r w:rsidRPr="007662DB">
              <w:rPr>
                <w:sz w:val="20"/>
                <w:szCs w:val="20"/>
                <w:lang w:val="en-US"/>
              </w:rPr>
              <w:t>Bratzler</w:t>
            </w:r>
            <w:proofErr w:type="spellEnd"/>
            <w:r w:rsidRPr="007662DB">
              <w:rPr>
                <w:sz w:val="20"/>
                <w:szCs w:val="20"/>
                <w:lang w:val="en-US"/>
              </w:rPr>
              <w:t xml:space="preserve"> DW, Hunt DR. The surgical infection prevention and surgical care improvement projects: national initiatives to improve outcomes for patients having surger</w:t>
            </w:r>
            <w:r>
              <w:rPr>
                <w:sz w:val="20"/>
                <w:szCs w:val="20"/>
                <w:lang w:val="en-US"/>
              </w:rPr>
              <w:t xml:space="preserve">y. </w:t>
            </w:r>
            <w:proofErr w:type="spellStart"/>
            <w:r>
              <w:rPr>
                <w:sz w:val="20"/>
                <w:szCs w:val="20"/>
                <w:lang w:val="en-US"/>
              </w:rPr>
              <w:t>Clin</w:t>
            </w:r>
            <w:proofErr w:type="spellEnd"/>
            <w:r>
              <w:rPr>
                <w:sz w:val="20"/>
                <w:szCs w:val="20"/>
                <w:lang w:val="en-US"/>
              </w:rPr>
              <w:t xml:space="preserve"> Infect </w:t>
            </w:r>
            <w:proofErr w:type="spellStart"/>
            <w:r>
              <w:rPr>
                <w:sz w:val="20"/>
                <w:szCs w:val="20"/>
                <w:lang w:val="en-US"/>
              </w:rPr>
              <w:t>Dis</w:t>
            </w:r>
            <w:proofErr w:type="spellEnd"/>
            <w:r>
              <w:rPr>
                <w:sz w:val="20"/>
                <w:szCs w:val="20"/>
                <w:lang w:val="en-US"/>
              </w:rPr>
              <w:t xml:space="preserve"> 2006; 43:322</w:t>
            </w:r>
            <w:r>
              <w:rPr>
                <w:sz w:val="20"/>
                <w:szCs w:val="20"/>
                <w:vertAlign w:val="superscript"/>
                <w:lang w:val="en-US"/>
              </w:rPr>
              <w:t>32</w:t>
            </w:r>
            <w:r>
              <w:rPr>
                <w:sz w:val="20"/>
                <w:szCs w:val="20"/>
                <w:lang w:val="en-US"/>
              </w:rPr>
              <w:t>.</w:t>
            </w:r>
          </w:p>
          <w:p w:rsidR="00FC33EC" w:rsidRPr="001D46EA" w:rsidRDefault="00FC33EC" w:rsidP="00274F6B">
            <w:pPr>
              <w:rPr>
                <w:sz w:val="20"/>
                <w:szCs w:val="20"/>
                <w:lang w:val="en-GB"/>
              </w:rPr>
            </w:pPr>
          </w:p>
        </w:tc>
      </w:tr>
    </w:tbl>
    <w:p w:rsidR="00FC33EC" w:rsidRDefault="00FC33EC" w:rsidP="00FC33EC">
      <w:pPr>
        <w:pStyle w:val="Textodebloque"/>
        <w:spacing w:line="240" w:lineRule="auto"/>
        <w:ind w:left="360"/>
        <w:rPr>
          <w:b w:val="0"/>
          <w:bCs w:val="0"/>
          <w:sz w:val="24"/>
          <w:szCs w:val="24"/>
        </w:rPr>
      </w:pPr>
    </w:p>
    <w:p w:rsidR="00FC33EC" w:rsidRDefault="00FC33EC" w:rsidP="00FC33EC">
      <w:pPr>
        <w:pStyle w:val="Textodebloque"/>
        <w:spacing w:line="240" w:lineRule="auto"/>
        <w:ind w:left="360"/>
        <w:rPr>
          <w:b w:val="0"/>
          <w:bCs w:val="0"/>
          <w:sz w:val="24"/>
          <w:szCs w:val="24"/>
        </w:rPr>
      </w:pPr>
    </w:p>
    <w:p w:rsidR="00FC33EC" w:rsidRDefault="00FC33EC" w:rsidP="00FC33EC">
      <w:pPr>
        <w:pStyle w:val="Textodebloque"/>
        <w:spacing w:line="240" w:lineRule="auto"/>
        <w:ind w:left="360"/>
        <w:rPr>
          <w:b w:val="0"/>
          <w:bCs w:val="0"/>
          <w:sz w:val="24"/>
          <w:szCs w:val="24"/>
        </w:rPr>
      </w:pPr>
    </w:p>
    <w:p w:rsidR="00FC33EC" w:rsidRPr="00240B13" w:rsidRDefault="00FC33EC" w:rsidP="00FC33EC">
      <w:pPr>
        <w:pStyle w:val="Textodebloque"/>
        <w:spacing w:line="240" w:lineRule="auto"/>
        <w:ind w:left="360"/>
        <w:rPr>
          <w:b w:val="0"/>
          <w:bCs w:val="0"/>
          <w:sz w:val="24"/>
          <w:szCs w:val="24"/>
        </w:rPr>
      </w:pPr>
    </w:p>
    <w:p w:rsidR="00FC33EC" w:rsidRDefault="00FC33EC" w:rsidP="00FC33EC">
      <w:pPr>
        <w:pStyle w:val="Textodebloque"/>
        <w:spacing w:line="240" w:lineRule="auto"/>
        <w:ind w:left="360"/>
        <w:rPr>
          <w:b w:val="0"/>
          <w:bCs w:val="0"/>
          <w:sz w:val="24"/>
          <w:szCs w:val="24"/>
        </w:rPr>
      </w:pPr>
      <w:r>
        <w:rPr>
          <w:b w:val="0"/>
          <w:bCs w:val="0"/>
          <w:sz w:val="24"/>
          <w:szCs w:val="24"/>
        </w:rPr>
        <w:br w:type="page"/>
      </w:r>
    </w:p>
    <w:tbl>
      <w:tblPr>
        <w:tblW w:w="500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01"/>
        <w:gridCol w:w="5946"/>
      </w:tblGrid>
      <w:tr w:rsidR="00FC33EC" w:rsidRPr="000830E7" w:rsidTr="00274F6B">
        <w:trPr>
          <w:trHeight w:val="69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Pr>
                <w:b/>
                <w:bCs/>
                <w:sz w:val="20"/>
                <w:szCs w:val="20"/>
              </w:rPr>
              <w:t>Lesión recurrencial transitoria</w:t>
            </w:r>
          </w:p>
        </w:tc>
      </w:tr>
      <w:tr w:rsidR="00FC33EC" w:rsidRPr="000830E7" w:rsidTr="00274F6B">
        <w:trPr>
          <w:trHeight w:val="52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Fórmula</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142FE1" w:rsidRDefault="00FC33EC" w:rsidP="00274F6B">
            <w:pPr>
              <w:rPr>
                <w:sz w:val="20"/>
                <w:szCs w:val="20"/>
              </w:rPr>
            </w:pPr>
            <w:r w:rsidRPr="00142FE1">
              <w:rPr>
                <w:sz w:val="20"/>
                <w:szCs w:val="20"/>
              </w:rPr>
              <w:t>Pacientes sometidos a tiroidectomía que presentan lesión transitoria del nervio laríngeo recurrente x 100 / pacientes sometidos a tiroidectomía</w:t>
            </w:r>
          </w:p>
        </w:tc>
      </w:tr>
      <w:tr w:rsidR="00FC33EC" w:rsidRPr="000830E7" w:rsidTr="00274F6B">
        <w:trPr>
          <w:trHeight w:val="1242"/>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Aclaraciones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142FE1" w:rsidRDefault="00FC33EC" w:rsidP="00274F6B">
            <w:pPr>
              <w:pStyle w:val="Textodebloque"/>
              <w:spacing w:line="240" w:lineRule="auto"/>
              <w:ind w:left="0"/>
              <w:rPr>
                <w:b w:val="0"/>
                <w:bCs w:val="0"/>
                <w:sz w:val="20"/>
                <w:szCs w:val="20"/>
              </w:rPr>
            </w:pPr>
            <w:r w:rsidRPr="00142FE1">
              <w:rPr>
                <w:b w:val="0"/>
                <w:bCs w:val="0"/>
                <w:sz w:val="20"/>
                <w:szCs w:val="20"/>
              </w:rPr>
              <w:t>Se considera caso de lesión recurrencial transitoria al paciente sometido a tiroidectomía con síntomas compatibles al que se confirma la lesión del nervio laríngeo recurrente mediante laringoscopia y se resuelve antes de un año tras la intervención.</w:t>
            </w:r>
          </w:p>
        </w:tc>
      </w:tr>
      <w:tr w:rsidR="00FC33EC" w:rsidRPr="000830E7" w:rsidTr="00274F6B">
        <w:trPr>
          <w:trHeight w:val="464"/>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 xml:space="preserve">Tipo de indicador </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rPr>
            </w:pPr>
            <w:r>
              <w:rPr>
                <w:sz w:val="20"/>
                <w:szCs w:val="20"/>
              </w:rPr>
              <w:t>Resultado</w:t>
            </w:r>
          </w:p>
        </w:tc>
      </w:tr>
      <w:tr w:rsidR="00FC33EC" w:rsidRPr="000830E7" w:rsidTr="00274F6B">
        <w:trPr>
          <w:trHeight w:val="79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sidRPr="000830E7">
              <w:rPr>
                <w:b/>
                <w:bCs/>
                <w:sz w:val="20"/>
                <w:szCs w:val="20"/>
              </w:rPr>
              <w:t>Justificación</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5F4BE5" w:rsidRDefault="00FC33EC" w:rsidP="00274F6B">
            <w:pPr>
              <w:jc w:val="both"/>
              <w:rPr>
                <w:sz w:val="20"/>
                <w:szCs w:val="20"/>
              </w:rPr>
            </w:pPr>
            <w:r w:rsidRPr="005F4BE5">
              <w:rPr>
                <w:sz w:val="20"/>
                <w:szCs w:val="20"/>
              </w:rPr>
              <w:t>Las alteraciones de la fonación postoperatorias deberán ser evaluadas por el cirujano. La laringoscopia postoperatoria es recomendable para detectar disfunción postoperatoria de cuerdas vocales que pueda beneficiarse de medidas terapéuticas, y como necesario control de calidad. Resulta indispensable en pacientes con:</w:t>
            </w:r>
          </w:p>
          <w:p w:rsidR="00FC33EC" w:rsidRPr="005F4BE5" w:rsidRDefault="00FC33EC" w:rsidP="00FC33EC">
            <w:pPr>
              <w:pStyle w:val="Prrafodelista1"/>
              <w:numPr>
                <w:ilvl w:val="0"/>
                <w:numId w:val="1"/>
              </w:numPr>
              <w:jc w:val="both"/>
              <w:rPr>
                <w:b/>
                <w:bCs/>
                <w:sz w:val="20"/>
                <w:szCs w:val="20"/>
              </w:rPr>
            </w:pPr>
            <w:r w:rsidRPr="005F4BE5">
              <w:rPr>
                <w:sz w:val="20"/>
                <w:szCs w:val="20"/>
                <w:lang w:val="es-ES"/>
              </w:rPr>
              <w:t xml:space="preserve">Alteración de motilidad de cuerdas vocales preoperatoria. </w:t>
            </w:r>
          </w:p>
          <w:p w:rsidR="00FC33EC" w:rsidRPr="005F4BE5" w:rsidRDefault="00FC33EC" w:rsidP="00FC33EC">
            <w:pPr>
              <w:pStyle w:val="Prrafodelista1"/>
              <w:numPr>
                <w:ilvl w:val="0"/>
                <w:numId w:val="1"/>
              </w:numPr>
              <w:jc w:val="both"/>
              <w:rPr>
                <w:b/>
                <w:bCs/>
                <w:sz w:val="20"/>
                <w:szCs w:val="20"/>
              </w:rPr>
            </w:pPr>
            <w:r w:rsidRPr="005F4BE5">
              <w:rPr>
                <w:sz w:val="20"/>
                <w:szCs w:val="20"/>
              </w:rPr>
              <w:t xml:space="preserve">Desarrollo postoperatorio de disfonía, </w:t>
            </w:r>
            <w:proofErr w:type="spellStart"/>
            <w:r w:rsidRPr="005F4BE5">
              <w:rPr>
                <w:sz w:val="20"/>
                <w:szCs w:val="20"/>
              </w:rPr>
              <w:t>fonoastenia</w:t>
            </w:r>
            <w:proofErr w:type="spellEnd"/>
            <w:r w:rsidRPr="005F4BE5">
              <w:rPr>
                <w:sz w:val="20"/>
                <w:szCs w:val="20"/>
              </w:rPr>
              <w:t xml:space="preserve">, voz </w:t>
            </w:r>
            <w:proofErr w:type="spellStart"/>
            <w:r w:rsidRPr="005F4BE5">
              <w:rPr>
                <w:sz w:val="20"/>
                <w:szCs w:val="20"/>
              </w:rPr>
              <w:t>bitonal</w:t>
            </w:r>
            <w:proofErr w:type="spellEnd"/>
            <w:r w:rsidRPr="005F4BE5">
              <w:rPr>
                <w:sz w:val="20"/>
                <w:szCs w:val="20"/>
              </w:rPr>
              <w:t xml:space="preserve"> o trastorno deglutorio.</w:t>
            </w:r>
          </w:p>
          <w:p w:rsidR="00FC33EC" w:rsidRPr="005F4BE5" w:rsidRDefault="00FC33EC" w:rsidP="00FC33EC">
            <w:pPr>
              <w:pStyle w:val="Prrafodelista1"/>
              <w:numPr>
                <w:ilvl w:val="0"/>
                <w:numId w:val="1"/>
              </w:numPr>
              <w:jc w:val="both"/>
              <w:rPr>
                <w:sz w:val="20"/>
                <w:szCs w:val="20"/>
              </w:rPr>
            </w:pPr>
            <w:r w:rsidRPr="005F4BE5">
              <w:rPr>
                <w:sz w:val="20"/>
                <w:szCs w:val="20"/>
              </w:rPr>
              <w:t xml:space="preserve">Si se ha efectuado neuromonitorización intraoperatoria, como control de calidad. </w:t>
            </w:r>
          </w:p>
          <w:p w:rsidR="00FC33EC" w:rsidRPr="00386E84" w:rsidRDefault="00FC33EC" w:rsidP="00274F6B">
            <w:pPr>
              <w:pStyle w:val="Textodebloque"/>
              <w:spacing w:line="240" w:lineRule="auto"/>
              <w:ind w:left="0"/>
              <w:rPr>
                <w:b w:val="0"/>
                <w:bCs w:val="0"/>
                <w:sz w:val="20"/>
                <w:szCs w:val="20"/>
              </w:rPr>
            </w:pPr>
            <w:r>
              <w:br w:type="page"/>
            </w:r>
          </w:p>
        </w:tc>
      </w:tr>
      <w:tr w:rsidR="00FC33EC" w:rsidRPr="000830E7" w:rsidTr="00274F6B">
        <w:trPr>
          <w:trHeight w:val="591"/>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sidRPr="000830E7">
              <w:rPr>
                <w:b/>
                <w:bCs/>
                <w:sz w:val="20"/>
                <w:szCs w:val="20"/>
              </w:rPr>
              <w:t>Origen del indicador</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lang w:val="fr-FR"/>
              </w:rPr>
            </w:pPr>
            <w:proofErr w:type="spellStart"/>
            <w:r>
              <w:rPr>
                <w:sz w:val="20"/>
                <w:szCs w:val="20"/>
                <w:lang w:val="fr-FR"/>
              </w:rPr>
              <w:t>Elaboración</w:t>
            </w:r>
            <w:proofErr w:type="spellEnd"/>
            <w:r>
              <w:rPr>
                <w:sz w:val="20"/>
                <w:szCs w:val="20"/>
                <w:lang w:val="fr-FR"/>
              </w:rPr>
              <w:t xml:space="preserve"> </w:t>
            </w:r>
            <w:proofErr w:type="spellStart"/>
            <w:r>
              <w:rPr>
                <w:sz w:val="20"/>
                <w:szCs w:val="20"/>
                <w:lang w:val="fr-FR"/>
              </w:rPr>
              <w:t>propia</w:t>
            </w:r>
            <w:proofErr w:type="spellEnd"/>
          </w:p>
        </w:tc>
      </w:tr>
      <w:tr w:rsidR="00FC33EC" w:rsidRPr="001D46EA" w:rsidTr="00274F6B">
        <w:trPr>
          <w:trHeight w:val="163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142FE1" w:rsidRDefault="00FC33EC" w:rsidP="00274F6B">
            <w:pPr>
              <w:rPr>
                <w:b/>
                <w:bCs/>
                <w:sz w:val="20"/>
                <w:szCs w:val="20"/>
              </w:rPr>
            </w:pPr>
            <w:r w:rsidRPr="00142FE1">
              <w:rPr>
                <w:b/>
                <w:bCs/>
                <w:sz w:val="20"/>
                <w:szCs w:val="20"/>
              </w:rPr>
              <w:t>Referencias bibliográficas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142FE1" w:rsidRDefault="00FC33EC" w:rsidP="00FC33EC">
            <w:pPr>
              <w:numPr>
                <w:ilvl w:val="0"/>
                <w:numId w:val="5"/>
              </w:numPr>
              <w:jc w:val="both"/>
              <w:rPr>
                <w:sz w:val="20"/>
                <w:szCs w:val="20"/>
                <w:lang w:val="en-US"/>
              </w:rPr>
            </w:pPr>
            <w:proofErr w:type="spellStart"/>
            <w:r w:rsidRPr="00142FE1">
              <w:rPr>
                <w:sz w:val="20"/>
                <w:szCs w:val="20"/>
                <w:lang w:val="en-US"/>
              </w:rPr>
              <w:t>Musholt</w:t>
            </w:r>
            <w:proofErr w:type="spellEnd"/>
            <w:r w:rsidRPr="00142FE1">
              <w:rPr>
                <w:sz w:val="20"/>
                <w:szCs w:val="20"/>
                <w:lang w:val="en-US"/>
              </w:rPr>
              <w:t xml:space="preserve"> TJ, </w:t>
            </w:r>
            <w:proofErr w:type="spellStart"/>
            <w:r w:rsidRPr="00142FE1">
              <w:rPr>
                <w:sz w:val="20"/>
                <w:szCs w:val="20"/>
                <w:lang w:val="en-US"/>
              </w:rPr>
              <w:t>Clerici</w:t>
            </w:r>
            <w:proofErr w:type="spellEnd"/>
            <w:r w:rsidRPr="00142FE1">
              <w:rPr>
                <w:sz w:val="20"/>
                <w:szCs w:val="20"/>
                <w:lang w:val="en-US"/>
              </w:rPr>
              <w:t xml:space="preserve"> T, </w:t>
            </w:r>
            <w:proofErr w:type="spellStart"/>
            <w:r w:rsidRPr="00142FE1">
              <w:rPr>
                <w:sz w:val="20"/>
                <w:szCs w:val="20"/>
                <w:lang w:val="en-US"/>
              </w:rPr>
              <w:t>Dralle</w:t>
            </w:r>
            <w:proofErr w:type="spellEnd"/>
            <w:r w:rsidRPr="00142FE1">
              <w:rPr>
                <w:sz w:val="20"/>
                <w:szCs w:val="20"/>
                <w:lang w:val="en-US"/>
              </w:rPr>
              <w:t xml:space="preserve"> H, Frilling </w:t>
            </w:r>
            <w:proofErr w:type="gramStart"/>
            <w:r w:rsidRPr="00142FE1">
              <w:rPr>
                <w:sz w:val="20"/>
                <w:szCs w:val="20"/>
                <w:lang w:val="en-US"/>
              </w:rPr>
              <w:t>A</w:t>
            </w:r>
            <w:proofErr w:type="gramEnd"/>
            <w:r w:rsidRPr="00142FE1">
              <w:rPr>
                <w:sz w:val="20"/>
                <w:szCs w:val="20"/>
                <w:lang w:val="en-US"/>
              </w:rPr>
              <w:t xml:space="preserve">, </w:t>
            </w:r>
            <w:proofErr w:type="spellStart"/>
            <w:r w:rsidRPr="00142FE1">
              <w:rPr>
                <w:sz w:val="20"/>
                <w:szCs w:val="20"/>
                <w:lang w:val="en-US"/>
              </w:rPr>
              <w:t>Goretzki</w:t>
            </w:r>
            <w:proofErr w:type="spellEnd"/>
            <w:r w:rsidRPr="00142FE1">
              <w:rPr>
                <w:sz w:val="20"/>
                <w:szCs w:val="20"/>
                <w:lang w:val="en-US"/>
              </w:rPr>
              <w:t xml:space="preserve"> PE, Hermann MM et al. The Interdisciplinary Task Force “Guidelines” of the German Association of Endocrine Surgeons. German Association of Endocrine Surgeons practice guidelines for the surgical treatment of benign thyroid disease. </w:t>
            </w:r>
            <w:proofErr w:type="spellStart"/>
            <w:r w:rsidRPr="00142FE1">
              <w:rPr>
                <w:sz w:val="20"/>
                <w:szCs w:val="20"/>
                <w:lang w:val="en-US"/>
              </w:rPr>
              <w:t>Langenbecks</w:t>
            </w:r>
            <w:proofErr w:type="spellEnd"/>
            <w:r w:rsidRPr="00142FE1">
              <w:rPr>
                <w:sz w:val="20"/>
                <w:szCs w:val="20"/>
                <w:lang w:val="en-US"/>
              </w:rPr>
              <w:t xml:space="preserve"> Arch </w:t>
            </w:r>
            <w:proofErr w:type="spellStart"/>
            <w:r w:rsidRPr="00142FE1">
              <w:rPr>
                <w:sz w:val="20"/>
                <w:szCs w:val="20"/>
                <w:lang w:val="en-US"/>
              </w:rPr>
              <w:t>Surg</w:t>
            </w:r>
            <w:proofErr w:type="spellEnd"/>
            <w:r w:rsidRPr="00142FE1">
              <w:rPr>
                <w:sz w:val="20"/>
                <w:szCs w:val="20"/>
                <w:lang w:val="en-US"/>
              </w:rPr>
              <w:t xml:space="preserve"> 2011; 396:639-49</w:t>
            </w:r>
            <w:r w:rsidRPr="00142FE1">
              <w:rPr>
                <w:sz w:val="20"/>
                <w:szCs w:val="20"/>
                <w:vertAlign w:val="superscript"/>
                <w:lang w:val="en-US"/>
              </w:rPr>
              <w:t>9</w:t>
            </w:r>
            <w:r w:rsidRPr="00142FE1">
              <w:rPr>
                <w:sz w:val="20"/>
                <w:szCs w:val="20"/>
                <w:lang w:val="en-US"/>
              </w:rPr>
              <w:t>.</w:t>
            </w:r>
          </w:p>
          <w:p w:rsidR="00FC33EC" w:rsidRPr="00142FE1" w:rsidRDefault="00FC33EC" w:rsidP="008A1121">
            <w:pPr>
              <w:numPr>
                <w:ilvl w:val="0"/>
                <w:numId w:val="5"/>
              </w:numPr>
              <w:jc w:val="both"/>
              <w:rPr>
                <w:sz w:val="20"/>
                <w:szCs w:val="20"/>
                <w:lang w:val="en-GB"/>
              </w:rPr>
            </w:pPr>
            <w:proofErr w:type="spellStart"/>
            <w:r w:rsidRPr="00142FE1">
              <w:rPr>
                <w:sz w:val="20"/>
                <w:szCs w:val="20"/>
                <w:lang w:val="en-US"/>
              </w:rPr>
              <w:t>Hodin</w:t>
            </w:r>
            <w:proofErr w:type="spellEnd"/>
            <w:r w:rsidRPr="00142FE1">
              <w:rPr>
                <w:sz w:val="20"/>
                <w:szCs w:val="20"/>
                <w:lang w:val="en-US"/>
              </w:rPr>
              <w:t xml:space="preserve"> R, Clark O, Doherty G, Grant C, Heller K, </w:t>
            </w:r>
            <w:proofErr w:type="spellStart"/>
            <w:r w:rsidRPr="00142FE1">
              <w:rPr>
                <w:sz w:val="20"/>
                <w:szCs w:val="20"/>
                <w:lang w:val="en-US"/>
              </w:rPr>
              <w:t>Weige</w:t>
            </w:r>
            <w:proofErr w:type="spellEnd"/>
            <w:r w:rsidRPr="00142FE1">
              <w:rPr>
                <w:sz w:val="20"/>
                <w:szCs w:val="20"/>
                <w:lang w:val="en-US"/>
              </w:rPr>
              <w:t xml:space="preserve"> R. Voice issues and laryngoscopy in thyroid surgery patients. Surgery 2013; 154:46-</w:t>
            </w:r>
            <w:r>
              <w:rPr>
                <w:sz w:val="20"/>
                <w:szCs w:val="20"/>
                <w:lang w:val="en-US"/>
              </w:rPr>
              <w:t>7</w:t>
            </w:r>
            <w:r>
              <w:rPr>
                <w:sz w:val="20"/>
                <w:szCs w:val="20"/>
                <w:vertAlign w:val="superscript"/>
                <w:lang w:val="en-US"/>
              </w:rPr>
              <w:t>15</w:t>
            </w:r>
            <w:r w:rsidR="008A1121">
              <w:rPr>
                <w:sz w:val="20"/>
                <w:szCs w:val="20"/>
                <w:vertAlign w:val="superscript"/>
                <w:lang w:val="en-US"/>
              </w:rPr>
              <w:t>6</w:t>
            </w:r>
            <w:r>
              <w:rPr>
                <w:sz w:val="20"/>
                <w:szCs w:val="20"/>
                <w:lang w:val="en-US"/>
              </w:rPr>
              <w:t>.</w:t>
            </w:r>
          </w:p>
        </w:tc>
      </w:tr>
    </w:tbl>
    <w:p w:rsidR="00FC33EC" w:rsidRDefault="00FC33EC" w:rsidP="00FC33EC">
      <w:pPr>
        <w:pStyle w:val="Textodebloque"/>
        <w:spacing w:line="240" w:lineRule="auto"/>
        <w:ind w:left="360"/>
        <w:rPr>
          <w:b w:val="0"/>
          <w:bCs w:val="0"/>
          <w:sz w:val="24"/>
          <w:szCs w:val="24"/>
        </w:rPr>
      </w:pPr>
    </w:p>
    <w:p w:rsidR="00FC33EC" w:rsidRPr="00240B13" w:rsidRDefault="00FC33EC" w:rsidP="00FC33EC">
      <w:pPr>
        <w:pStyle w:val="Textodebloque"/>
        <w:spacing w:line="240" w:lineRule="auto"/>
        <w:ind w:left="360"/>
        <w:rPr>
          <w:b w:val="0"/>
          <w:bCs w:val="0"/>
          <w:sz w:val="24"/>
          <w:szCs w:val="24"/>
        </w:rPr>
      </w:pPr>
    </w:p>
    <w:p w:rsidR="00FC33EC" w:rsidRDefault="00FC33EC" w:rsidP="00FC33EC">
      <w:pPr>
        <w:pStyle w:val="Textodebloque"/>
        <w:spacing w:line="240" w:lineRule="auto"/>
        <w:ind w:left="1620"/>
        <w:rPr>
          <w:b w:val="0"/>
          <w:bCs w:val="0"/>
          <w:sz w:val="24"/>
          <w:szCs w:val="24"/>
        </w:rPr>
      </w:pPr>
    </w:p>
    <w:p w:rsidR="00FC33EC" w:rsidRDefault="00FC33EC" w:rsidP="00FC33EC">
      <w:pPr>
        <w:pStyle w:val="Textodebloque"/>
        <w:spacing w:line="240" w:lineRule="auto"/>
        <w:ind w:left="360"/>
        <w:rPr>
          <w:b w:val="0"/>
          <w:bCs w:val="0"/>
          <w:sz w:val="24"/>
          <w:szCs w:val="24"/>
        </w:rPr>
      </w:pPr>
    </w:p>
    <w:tbl>
      <w:tblPr>
        <w:tblW w:w="500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01"/>
        <w:gridCol w:w="5946"/>
      </w:tblGrid>
      <w:tr w:rsidR="00FC33EC" w:rsidRPr="000830E7" w:rsidTr="00274F6B">
        <w:trPr>
          <w:trHeight w:val="69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Pr>
                <w:b/>
                <w:bCs/>
                <w:sz w:val="20"/>
                <w:szCs w:val="20"/>
              </w:rPr>
              <w:t>Lesión recurrencial permanente</w:t>
            </w:r>
          </w:p>
        </w:tc>
      </w:tr>
      <w:tr w:rsidR="00FC33EC" w:rsidRPr="000830E7" w:rsidTr="00274F6B">
        <w:trPr>
          <w:trHeight w:val="52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Fórmula</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142FE1" w:rsidRDefault="00FC33EC" w:rsidP="00274F6B">
            <w:pPr>
              <w:rPr>
                <w:sz w:val="20"/>
                <w:szCs w:val="20"/>
              </w:rPr>
            </w:pPr>
            <w:r w:rsidRPr="00142FE1">
              <w:rPr>
                <w:sz w:val="20"/>
                <w:szCs w:val="20"/>
              </w:rPr>
              <w:t>Pacientes sometidos a tiroidectomía que presentan lesión permanente del nervio laríngeo recurrente x 100 / pacientes sometidos a tiroidectomía.</w:t>
            </w:r>
          </w:p>
        </w:tc>
      </w:tr>
      <w:tr w:rsidR="00FC33EC" w:rsidRPr="000830E7" w:rsidTr="00274F6B">
        <w:trPr>
          <w:trHeight w:val="1242"/>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Aclaraciones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142FE1" w:rsidRDefault="00FC33EC" w:rsidP="00274F6B">
            <w:pPr>
              <w:pStyle w:val="Textodebloque"/>
              <w:spacing w:line="240" w:lineRule="auto"/>
              <w:ind w:left="0"/>
              <w:rPr>
                <w:b w:val="0"/>
                <w:bCs w:val="0"/>
                <w:sz w:val="20"/>
                <w:szCs w:val="20"/>
              </w:rPr>
            </w:pPr>
            <w:r w:rsidRPr="00142FE1">
              <w:rPr>
                <w:b w:val="0"/>
                <w:bCs w:val="0"/>
                <w:sz w:val="20"/>
                <w:szCs w:val="20"/>
              </w:rPr>
              <w:t>Se considera caso de lesión recurrencial transitoria al paciente sometido a tiroidectomía con síntomas compatibles al que se confirma la lesión del nervio laríngeo recurrente mediante laringoscopia y no se resuelve antes de un año tras la intervención.</w:t>
            </w:r>
          </w:p>
        </w:tc>
      </w:tr>
      <w:tr w:rsidR="00FC33EC" w:rsidRPr="000830E7" w:rsidTr="00274F6B">
        <w:trPr>
          <w:trHeight w:val="500"/>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 xml:space="preserve">Tipo de indicador </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rPr>
            </w:pPr>
            <w:r>
              <w:rPr>
                <w:sz w:val="20"/>
                <w:szCs w:val="20"/>
              </w:rPr>
              <w:t>Resultado</w:t>
            </w:r>
          </w:p>
        </w:tc>
      </w:tr>
      <w:tr w:rsidR="00FC33EC" w:rsidRPr="000830E7" w:rsidTr="00274F6B">
        <w:trPr>
          <w:trHeight w:val="79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sidRPr="000830E7">
              <w:rPr>
                <w:b/>
                <w:bCs/>
                <w:sz w:val="20"/>
                <w:szCs w:val="20"/>
              </w:rPr>
              <w:t>Justificación</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5F4BE5" w:rsidRDefault="00FC33EC" w:rsidP="00274F6B">
            <w:pPr>
              <w:jc w:val="both"/>
              <w:rPr>
                <w:sz w:val="20"/>
                <w:szCs w:val="20"/>
              </w:rPr>
            </w:pPr>
            <w:r w:rsidRPr="005F4BE5">
              <w:rPr>
                <w:sz w:val="20"/>
                <w:szCs w:val="20"/>
              </w:rPr>
              <w:t>Las alteraciones de la fonación postoperatorias deberán ser evaluadas por el cirujano. La laringoscopia postoperatoria es recomendable para detectar disfunción postoperatoria de cuerdas vocales que pueda beneficiarse de medidas terapéuticas, y como necesario control de calidad. Resulta indispensable en pacientes con:</w:t>
            </w:r>
          </w:p>
          <w:p w:rsidR="00FC33EC" w:rsidRPr="005F4BE5" w:rsidRDefault="00FC33EC" w:rsidP="00FC33EC">
            <w:pPr>
              <w:pStyle w:val="Prrafodelista1"/>
              <w:numPr>
                <w:ilvl w:val="0"/>
                <w:numId w:val="1"/>
              </w:numPr>
              <w:jc w:val="both"/>
              <w:rPr>
                <w:b/>
                <w:bCs/>
                <w:sz w:val="20"/>
                <w:szCs w:val="20"/>
              </w:rPr>
            </w:pPr>
            <w:r w:rsidRPr="005F4BE5">
              <w:rPr>
                <w:sz w:val="20"/>
                <w:szCs w:val="20"/>
                <w:lang w:val="es-ES"/>
              </w:rPr>
              <w:t xml:space="preserve">Alteración de motilidad de cuerdas vocales preoperatoria. </w:t>
            </w:r>
          </w:p>
          <w:p w:rsidR="00FC33EC" w:rsidRPr="005F4BE5" w:rsidRDefault="00FC33EC" w:rsidP="00FC33EC">
            <w:pPr>
              <w:pStyle w:val="Prrafodelista1"/>
              <w:numPr>
                <w:ilvl w:val="0"/>
                <w:numId w:val="1"/>
              </w:numPr>
              <w:jc w:val="both"/>
              <w:rPr>
                <w:b/>
                <w:bCs/>
                <w:sz w:val="20"/>
                <w:szCs w:val="20"/>
              </w:rPr>
            </w:pPr>
            <w:r w:rsidRPr="005F4BE5">
              <w:rPr>
                <w:sz w:val="20"/>
                <w:szCs w:val="20"/>
              </w:rPr>
              <w:lastRenderedPageBreak/>
              <w:t xml:space="preserve">Desarrollo postoperatorio de disfonía, </w:t>
            </w:r>
            <w:proofErr w:type="spellStart"/>
            <w:r w:rsidRPr="005F4BE5">
              <w:rPr>
                <w:sz w:val="20"/>
                <w:szCs w:val="20"/>
              </w:rPr>
              <w:t>fonoastenia</w:t>
            </w:r>
            <w:proofErr w:type="spellEnd"/>
            <w:r w:rsidRPr="005F4BE5">
              <w:rPr>
                <w:sz w:val="20"/>
                <w:szCs w:val="20"/>
              </w:rPr>
              <w:t xml:space="preserve">, voz </w:t>
            </w:r>
            <w:proofErr w:type="spellStart"/>
            <w:r w:rsidRPr="005F4BE5">
              <w:rPr>
                <w:sz w:val="20"/>
                <w:szCs w:val="20"/>
              </w:rPr>
              <w:t>bitonal</w:t>
            </w:r>
            <w:proofErr w:type="spellEnd"/>
            <w:r w:rsidRPr="005F4BE5">
              <w:rPr>
                <w:sz w:val="20"/>
                <w:szCs w:val="20"/>
              </w:rPr>
              <w:t xml:space="preserve"> o trastorno deglutorio.</w:t>
            </w:r>
          </w:p>
          <w:p w:rsidR="00FC33EC" w:rsidRPr="005F4BE5" w:rsidRDefault="00FC33EC" w:rsidP="00FC33EC">
            <w:pPr>
              <w:pStyle w:val="Prrafodelista1"/>
              <w:numPr>
                <w:ilvl w:val="0"/>
                <w:numId w:val="1"/>
              </w:numPr>
              <w:jc w:val="both"/>
              <w:rPr>
                <w:sz w:val="20"/>
                <w:szCs w:val="20"/>
              </w:rPr>
            </w:pPr>
            <w:r w:rsidRPr="005F4BE5">
              <w:rPr>
                <w:sz w:val="20"/>
                <w:szCs w:val="20"/>
              </w:rPr>
              <w:t xml:space="preserve">Si se ha efectuado neuromonitorización intraoperatoria, como control de calidad. </w:t>
            </w:r>
          </w:p>
          <w:p w:rsidR="00FC33EC" w:rsidRPr="00386E84" w:rsidRDefault="00FC33EC" w:rsidP="00274F6B">
            <w:pPr>
              <w:pStyle w:val="Textodebloque"/>
              <w:spacing w:line="240" w:lineRule="auto"/>
              <w:ind w:left="0"/>
              <w:rPr>
                <w:b w:val="0"/>
                <w:bCs w:val="0"/>
                <w:sz w:val="20"/>
                <w:szCs w:val="20"/>
              </w:rPr>
            </w:pPr>
            <w:r>
              <w:br w:type="page"/>
            </w:r>
          </w:p>
        </w:tc>
      </w:tr>
      <w:tr w:rsidR="00FC33EC" w:rsidRPr="000830E7" w:rsidTr="00274F6B">
        <w:trPr>
          <w:trHeight w:val="586"/>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sidRPr="000830E7">
              <w:rPr>
                <w:b/>
                <w:bCs/>
                <w:sz w:val="20"/>
                <w:szCs w:val="20"/>
              </w:rPr>
              <w:lastRenderedPageBreak/>
              <w:t>Origen del indicador</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lang w:val="fr-FR"/>
              </w:rPr>
            </w:pPr>
            <w:proofErr w:type="spellStart"/>
            <w:r>
              <w:rPr>
                <w:sz w:val="20"/>
                <w:szCs w:val="20"/>
                <w:lang w:val="fr-FR"/>
              </w:rPr>
              <w:t>Elaboración</w:t>
            </w:r>
            <w:proofErr w:type="spellEnd"/>
            <w:r>
              <w:rPr>
                <w:sz w:val="20"/>
                <w:szCs w:val="20"/>
                <w:lang w:val="fr-FR"/>
              </w:rPr>
              <w:t xml:space="preserve"> </w:t>
            </w:r>
            <w:proofErr w:type="spellStart"/>
            <w:r>
              <w:rPr>
                <w:sz w:val="20"/>
                <w:szCs w:val="20"/>
                <w:lang w:val="fr-FR"/>
              </w:rPr>
              <w:t>propia</w:t>
            </w:r>
            <w:proofErr w:type="spellEnd"/>
          </w:p>
        </w:tc>
      </w:tr>
      <w:tr w:rsidR="00FC33EC" w:rsidRPr="0084570F" w:rsidTr="00274F6B">
        <w:trPr>
          <w:trHeight w:val="163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7E6072" w:rsidRDefault="00FC33EC" w:rsidP="00274F6B">
            <w:pPr>
              <w:rPr>
                <w:b/>
                <w:bCs/>
                <w:sz w:val="20"/>
                <w:szCs w:val="20"/>
              </w:rPr>
            </w:pPr>
            <w:r w:rsidRPr="007E6072">
              <w:rPr>
                <w:b/>
                <w:bCs/>
                <w:sz w:val="20"/>
                <w:szCs w:val="20"/>
              </w:rPr>
              <w:t>Referencias bibliográficas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Default="00FC33EC" w:rsidP="00FC33EC">
            <w:pPr>
              <w:numPr>
                <w:ilvl w:val="0"/>
                <w:numId w:val="5"/>
              </w:numPr>
              <w:jc w:val="both"/>
              <w:rPr>
                <w:sz w:val="20"/>
                <w:szCs w:val="20"/>
                <w:lang w:val="en-US"/>
              </w:rPr>
            </w:pPr>
            <w:proofErr w:type="spellStart"/>
            <w:r w:rsidRPr="00142FE1">
              <w:rPr>
                <w:sz w:val="20"/>
                <w:szCs w:val="20"/>
                <w:lang w:val="en-US"/>
              </w:rPr>
              <w:t>Musholt</w:t>
            </w:r>
            <w:proofErr w:type="spellEnd"/>
            <w:r w:rsidRPr="00142FE1">
              <w:rPr>
                <w:sz w:val="20"/>
                <w:szCs w:val="20"/>
                <w:lang w:val="en-US"/>
              </w:rPr>
              <w:t xml:space="preserve"> TJ, </w:t>
            </w:r>
            <w:proofErr w:type="spellStart"/>
            <w:r w:rsidRPr="00142FE1">
              <w:rPr>
                <w:sz w:val="20"/>
                <w:szCs w:val="20"/>
                <w:lang w:val="en-US"/>
              </w:rPr>
              <w:t>Clerici</w:t>
            </w:r>
            <w:proofErr w:type="spellEnd"/>
            <w:r w:rsidRPr="00142FE1">
              <w:rPr>
                <w:sz w:val="20"/>
                <w:szCs w:val="20"/>
                <w:lang w:val="en-US"/>
              </w:rPr>
              <w:t xml:space="preserve"> T, </w:t>
            </w:r>
            <w:proofErr w:type="spellStart"/>
            <w:r w:rsidRPr="00142FE1">
              <w:rPr>
                <w:sz w:val="20"/>
                <w:szCs w:val="20"/>
                <w:lang w:val="en-US"/>
              </w:rPr>
              <w:t>Dralle</w:t>
            </w:r>
            <w:proofErr w:type="spellEnd"/>
            <w:r w:rsidRPr="00142FE1">
              <w:rPr>
                <w:sz w:val="20"/>
                <w:szCs w:val="20"/>
                <w:lang w:val="en-US"/>
              </w:rPr>
              <w:t xml:space="preserve"> H, Frilling </w:t>
            </w:r>
            <w:proofErr w:type="gramStart"/>
            <w:r w:rsidRPr="00142FE1">
              <w:rPr>
                <w:sz w:val="20"/>
                <w:szCs w:val="20"/>
                <w:lang w:val="en-US"/>
              </w:rPr>
              <w:t>A</w:t>
            </w:r>
            <w:proofErr w:type="gramEnd"/>
            <w:r w:rsidRPr="00142FE1">
              <w:rPr>
                <w:sz w:val="20"/>
                <w:szCs w:val="20"/>
                <w:lang w:val="en-US"/>
              </w:rPr>
              <w:t xml:space="preserve">, </w:t>
            </w:r>
            <w:proofErr w:type="spellStart"/>
            <w:r w:rsidRPr="00142FE1">
              <w:rPr>
                <w:sz w:val="20"/>
                <w:szCs w:val="20"/>
                <w:lang w:val="en-US"/>
              </w:rPr>
              <w:t>Goretzki</w:t>
            </w:r>
            <w:proofErr w:type="spellEnd"/>
            <w:r w:rsidRPr="00142FE1">
              <w:rPr>
                <w:sz w:val="20"/>
                <w:szCs w:val="20"/>
                <w:lang w:val="en-US"/>
              </w:rPr>
              <w:t xml:space="preserve"> PE, Hermann MM et al. The Interdisciplinary Task Force “Guidelines” of the German Association of Endocrine Surgeons. German Association of Endocrine Surgeons practice guidelines for the surgical treatment of benign thyroid disease. </w:t>
            </w:r>
            <w:proofErr w:type="spellStart"/>
            <w:r w:rsidRPr="00142FE1">
              <w:rPr>
                <w:sz w:val="20"/>
                <w:szCs w:val="20"/>
                <w:lang w:val="en-US"/>
              </w:rPr>
              <w:t>Langenbecks</w:t>
            </w:r>
            <w:proofErr w:type="spellEnd"/>
            <w:r w:rsidRPr="00142FE1">
              <w:rPr>
                <w:sz w:val="20"/>
                <w:szCs w:val="20"/>
                <w:lang w:val="en-US"/>
              </w:rPr>
              <w:t xml:space="preserve"> Arch </w:t>
            </w:r>
            <w:proofErr w:type="spellStart"/>
            <w:r w:rsidRPr="00142FE1">
              <w:rPr>
                <w:sz w:val="20"/>
                <w:szCs w:val="20"/>
                <w:lang w:val="en-US"/>
              </w:rPr>
              <w:t>Surg</w:t>
            </w:r>
            <w:proofErr w:type="spellEnd"/>
            <w:r w:rsidRPr="00142FE1">
              <w:rPr>
                <w:sz w:val="20"/>
                <w:szCs w:val="20"/>
                <w:lang w:val="en-US"/>
              </w:rPr>
              <w:t xml:space="preserve"> 2011; 396:639-49</w:t>
            </w:r>
            <w:r w:rsidRPr="00142FE1">
              <w:rPr>
                <w:sz w:val="20"/>
                <w:szCs w:val="20"/>
                <w:vertAlign w:val="superscript"/>
                <w:lang w:val="en-US"/>
              </w:rPr>
              <w:t>9</w:t>
            </w:r>
            <w:r w:rsidRPr="00142FE1">
              <w:rPr>
                <w:sz w:val="20"/>
                <w:szCs w:val="20"/>
                <w:lang w:val="en-US"/>
              </w:rPr>
              <w:t>.</w:t>
            </w:r>
          </w:p>
          <w:p w:rsidR="00FC33EC" w:rsidRPr="0084570F" w:rsidRDefault="00FC33EC" w:rsidP="008A1121">
            <w:pPr>
              <w:numPr>
                <w:ilvl w:val="0"/>
                <w:numId w:val="5"/>
              </w:numPr>
              <w:jc w:val="both"/>
              <w:rPr>
                <w:sz w:val="20"/>
                <w:szCs w:val="20"/>
                <w:lang w:val="en-US"/>
              </w:rPr>
            </w:pPr>
            <w:proofErr w:type="spellStart"/>
            <w:r w:rsidRPr="0084570F">
              <w:rPr>
                <w:sz w:val="20"/>
                <w:szCs w:val="20"/>
                <w:lang w:val="en-US"/>
              </w:rPr>
              <w:t>Hodin</w:t>
            </w:r>
            <w:proofErr w:type="spellEnd"/>
            <w:r w:rsidRPr="0084570F">
              <w:rPr>
                <w:sz w:val="20"/>
                <w:szCs w:val="20"/>
                <w:lang w:val="en-US"/>
              </w:rPr>
              <w:t xml:space="preserve"> R, Clark O, Doherty G, Grant C, Heller K, </w:t>
            </w:r>
            <w:proofErr w:type="spellStart"/>
            <w:r w:rsidRPr="0084570F">
              <w:rPr>
                <w:sz w:val="20"/>
                <w:szCs w:val="20"/>
                <w:lang w:val="en-US"/>
              </w:rPr>
              <w:t>Weige</w:t>
            </w:r>
            <w:proofErr w:type="spellEnd"/>
            <w:r w:rsidRPr="0084570F">
              <w:rPr>
                <w:sz w:val="20"/>
                <w:szCs w:val="20"/>
                <w:lang w:val="en-US"/>
              </w:rPr>
              <w:t xml:space="preserve"> R. Voice issues and laryngoscopy in thyroid surgery patients. Surgery 2013; 154:46-7</w:t>
            </w:r>
            <w:r w:rsidRPr="0084570F">
              <w:rPr>
                <w:sz w:val="20"/>
                <w:szCs w:val="20"/>
                <w:vertAlign w:val="superscript"/>
                <w:lang w:val="en-US"/>
              </w:rPr>
              <w:t>1</w:t>
            </w:r>
            <w:r>
              <w:rPr>
                <w:sz w:val="20"/>
                <w:szCs w:val="20"/>
                <w:vertAlign w:val="superscript"/>
                <w:lang w:val="en-US"/>
              </w:rPr>
              <w:t>5</w:t>
            </w:r>
            <w:r w:rsidR="008A1121">
              <w:rPr>
                <w:sz w:val="20"/>
                <w:szCs w:val="20"/>
                <w:vertAlign w:val="superscript"/>
                <w:lang w:val="en-US"/>
              </w:rPr>
              <w:t>6</w:t>
            </w:r>
            <w:r w:rsidRPr="0084570F">
              <w:rPr>
                <w:sz w:val="20"/>
                <w:szCs w:val="20"/>
                <w:lang w:val="en-US"/>
              </w:rPr>
              <w:t>.</w:t>
            </w:r>
          </w:p>
        </w:tc>
      </w:tr>
    </w:tbl>
    <w:p w:rsidR="00FC33EC" w:rsidRPr="007E6072" w:rsidRDefault="00FC33EC" w:rsidP="00FC33EC">
      <w:pPr>
        <w:pStyle w:val="Textodebloque"/>
        <w:spacing w:line="240" w:lineRule="auto"/>
        <w:ind w:left="360"/>
        <w:rPr>
          <w:b w:val="0"/>
          <w:bCs w:val="0"/>
          <w:sz w:val="24"/>
          <w:szCs w:val="24"/>
          <w:lang w:val="en-GB"/>
        </w:rPr>
      </w:pPr>
    </w:p>
    <w:p w:rsidR="00FC33EC" w:rsidRPr="007E6072" w:rsidRDefault="00FC33EC" w:rsidP="00FC33EC">
      <w:pPr>
        <w:pStyle w:val="Textodebloque"/>
        <w:spacing w:line="240" w:lineRule="auto"/>
        <w:ind w:left="360"/>
        <w:rPr>
          <w:b w:val="0"/>
          <w:bCs w:val="0"/>
          <w:sz w:val="24"/>
          <w:szCs w:val="24"/>
          <w:lang w:val="en-GB"/>
        </w:rPr>
      </w:pPr>
    </w:p>
    <w:tbl>
      <w:tblPr>
        <w:tblW w:w="500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01"/>
        <w:gridCol w:w="5946"/>
      </w:tblGrid>
      <w:tr w:rsidR="00FC33EC" w:rsidRPr="000830E7" w:rsidTr="00274F6B">
        <w:trPr>
          <w:trHeight w:val="69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Pr>
                <w:b/>
                <w:bCs/>
                <w:sz w:val="20"/>
                <w:szCs w:val="20"/>
              </w:rPr>
              <w:t>Hipoparatiroidismo transitorio</w:t>
            </w:r>
          </w:p>
        </w:tc>
      </w:tr>
      <w:tr w:rsidR="00FC33EC" w:rsidRPr="000830E7" w:rsidTr="00274F6B">
        <w:trPr>
          <w:trHeight w:val="52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Fórmula</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7E6072" w:rsidRDefault="00FC33EC" w:rsidP="00274F6B">
            <w:pPr>
              <w:jc w:val="both"/>
              <w:rPr>
                <w:sz w:val="20"/>
                <w:szCs w:val="20"/>
              </w:rPr>
            </w:pPr>
            <w:r w:rsidRPr="007E6072">
              <w:rPr>
                <w:sz w:val="20"/>
                <w:szCs w:val="20"/>
              </w:rPr>
              <w:t>Pacientes sometidos a tiroidectomía total o subtotal que presentan hipoparatiroidismo transitorio x 100 / pacientes sometidos a tiroidectomía total o subtotal</w:t>
            </w:r>
          </w:p>
        </w:tc>
      </w:tr>
      <w:tr w:rsidR="00FC33EC" w:rsidRPr="000830E7" w:rsidTr="00274F6B">
        <w:trPr>
          <w:trHeight w:val="2027"/>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Aclaraciones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7E6072" w:rsidRDefault="00FC33EC" w:rsidP="00274F6B">
            <w:pPr>
              <w:pStyle w:val="Textodebloque"/>
              <w:spacing w:line="240" w:lineRule="auto"/>
              <w:ind w:left="0"/>
              <w:rPr>
                <w:b w:val="0"/>
                <w:bCs w:val="0"/>
                <w:sz w:val="20"/>
                <w:szCs w:val="20"/>
              </w:rPr>
            </w:pPr>
            <w:r w:rsidRPr="007E6072">
              <w:rPr>
                <w:b w:val="0"/>
                <w:bCs w:val="0"/>
                <w:sz w:val="20"/>
                <w:szCs w:val="20"/>
              </w:rPr>
              <w:t>Se considera hipoparatiroidismo transitorio cuando el paciente presenta cifras de calcio corregido en sangre inferiores a 8 mg/dl (calcio iónico inferior a 4 mg/dl) tras la tiroidectomía (siendo o no sintomático), y se normalizan antes de un año tras la intervención.</w:t>
            </w:r>
          </w:p>
          <w:p w:rsidR="00FC33EC" w:rsidRPr="00370125" w:rsidRDefault="00FC33EC" w:rsidP="00274F6B">
            <w:pPr>
              <w:pStyle w:val="Textodebloque"/>
              <w:spacing w:line="240" w:lineRule="auto"/>
              <w:ind w:left="0"/>
              <w:rPr>
                <w:b w:val="0"/>
                <w:bCs w:val="0"/>
                <w:color w:val="0000FF"/>
                <w:sz w:val="20"/>
                <w:szCs w:val="20"/>
              </w:rPr>
            </w:pPr>
            <w:r w:rsidRPr="00E301A6">
              <w:rPr>
                <w:b w:val="0"/>
                <w:bCs w:val="0"/>
                <w:sz w:val="20"/>
                <w:szCs w:val="20"/>
              </w:rPr>
              <w:t>Según la bibliografía, un umbral global deseable debe ser inferior al 30% aunque estas cifras aumentan si se considera de forma aislada la tiroidectomía por cáncer.</w:t>
            </w:r>
          </w:p>
          <w:p w:rsidR="00FC33EC" w:rsidRPr="00FC147F" w:rsidRDefault="00FC33EC" w:rsidP="00274F6B">
            <w:pPr>
              <w:pStyle w:val="Textodebloque"/>
              <w:spacing w:line="240" w:lineRule="auto"/>
              <w:ind w:left="0"/>
              <w:rPr>
                <w:b w:val="0"/>
                <w:bCs w:val="0"/>
                <w:color w:val="FF0000"/>
                <w:sz w:val="20"/>
                <w:szCs w:val="20"/>
              </w:rPr>
            </w:pPr>
          </w:p>
        </w:tc>
      </w:tr>
      <w:tr w:rsidR="00FC33EC" w:rsidRPr="000830E7" w:rsidTr="00274F6B">
        <w:trPr>
          <w:trHeight w:val="490"/>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 xml:space="preserve">Tipo de indicador </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rPr>
            </w:pPr>
            <w:r>
              <w:rPr>
                <w:sz w:val="20"/>
                <w:szCs w:val="20"/>
              </w:rPr>
              <w:t>Resultado</w:t>
            </w:r>
          </w:p>
        </w:tc>
      </w:tr>
      <w:tr w:rsidR="00FC33EC" w:rsidRPr="000830E7" w:rsidTr="00274F6B">
        <w:trPr>
          <w:trHeight w:val="79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sidRPr="000830E7">
              <w:rPr>
                <w:b/>
                <w:bCs/>
                <w:sz w:val="20"/>
                <w:szCs w:val="20"/>
              </w:rPr>
              <w:t>Justificación</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7E6072" w:rsidRDefault="00FC33EC" w:rsidP="00274F6B">
            <w:pPr>
              <w:pStyle w:val="Textodebloque"/>
              <w:spacing w:line="240" w:lineRule="auto"/>
              <w:ind w:left="0"/>
              <w:rPr>
                <w:b w:val="0"/>
                <w:bCs w:val="0"/>
                <w:sz w:val="20"/>
                <w:szCs w:val="20"/>
              </w:rPr>
            </w:pPr>
            <w:r w:rsidRPr="007E6072">
              <w:rPr>
                <w:b w:val="0"/>
                <w:bCs w:val="0"/>
                <w:sz w:val="20"/>
                <w:szCs w:val="20"/>
              </w:rPr>
              <w:t>La hipocalcemia es la complicación más frecuente tras la tiroidectomía; ocurre de forma transitoria aproximadamente en un 30% de pacientes. Los síntomas de hipocalcemia pueden iniciarse hasta 72 horas tras la tiroidectomía total o subtotal.</w:t>
            </w:r>
          </w:p>
        </w:tc>
      </w:tr>
      <w:tr w:rsidR="00FC33EC" w:rsidRPr="000779A7" w:rsidTr="00274F6B">
        <w:trPr>
          <w:trHeight w:val="163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7E6072" w:rsidRDefault="00FC33EC" w:rsidP="00274F6B">
            <w:pPr>
              <w:rPr>
                <w:b/>
                <w:bCs/>
                <w:sz w:val="20"/>
                <w:szCs w:val="20"/>
              </w:rPr>
            </w:pPr>
            <w:r w:rsidRPr="007E6072">
              <w:rPr>
                <w:b/>
                <w:bCs/>
                <w:sz w:val="20"/>
                <w:szCs w:val="20"/>
              </w:rPr>
              <w:t>Referencias bibliográficas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464173" w:rsidRDefault="00FC33EC" w:rsidP="00FC33EC">
            <w:pPr>
              <w:numPr>
                <w:ilvl w:val="0"/>
                <w:numId w:val="6"/>
              </w:numPr>
              <w:autoSpaceDE w:val="0"/>
              <w:autoSpaceDN w:val="0"/>
              <w:adjustRightInd w:val="0"/>
              <w:spacing w:after="120"/>
              <w:jc w:val="both"/>
              <w:rPr>
                <w:sz w:val="20"/>
                <w:szCs w:val="20"/>
              </w:rPr>
            </w:pPr>
            <w:r w:rsidRPr="00464173">
              <w:rPr>
                <w:sz w:val="20"/>
                <w:szCs w:val="20"/>
              </w:rPr>
              <w:t xml:space="preserve">Lo CY. </w:t>
            </w:r>
            <w:proofErr w:type="spellStart"/>
            <w:r w:rsidRPr="00464173">
              <w:rPr>
                <w:sz w:val="20"/>
                <w:szCs w:val="20"/>
              </w:rPr>
              <w:t>Postthyroidectomy</w:t>
            </w:r>
            <w:proofErr w:type="spellEnd"/>
            <w:r w:rsidRPr="00464173">
              <w:rPr>
                <w:sz w:val="20"/>
                <w:szCs w:val="20"/>
              </w:rPr>
              <w:t xml:space="preserve"> </w:t>
            </w:r>
            <w:proofErr w:type="spellStart"/>
            <w:r w:rsidRPr="00464173">
              <w:rPr>
                <w:sz w:val="20"/>
                <w:szCs w:val="20"/>
              </w:rPr>
              <w:t>hypocalcemia</w:t>
            </w:r>
            <w:proofErr w:type="spellEnd"/>
            <w:r w:rsidRPr="00464173">
              <w:rPr>
                <w:sz w:val="20"/>
                <w:szCs w:val="20"/>
              </w:rPr>
              <w:t xml:space="preserve">. J Am </w:t>
            </w:r>
            <w:proofErr w:type="spellStart"/>
            <w:r w:rsidRPr="00464173">
              <w:rPr>
                <w:sz w:val="20"/>
                <w:szCs w:val="20"/>
              </w:rPr>
              <w:t>Coll</w:t>
            </w:r>
            <w:proofErr w:type="spellEnd"/>
            <w:r w:rsidRPr="00464173">
              <w:rPr>
                <w:sz w:val="20"/>
                <w:szCs w:val="20"/>
              </w:rPr>
              <w:t xml:space="preserve"> </w:t>
            </w:r>
            <w:proofErr w:type="spellStart"/>
            <w:r w:rsidRPr="00464173">
              <w:rPr>
                <w:sz w:val="20"/>
                <w:szCs w:val="20"/>
              </w:rPr>
              <w:t>Surg</w:t>
            </w:r>
            <w:proofErr w:type="spellEnd"/>
            <w:r w:rsidRPr="00464173">
              <w:rPr>
                <w:sz w:val="20"/>
                <w:szCs w:val="20"/>
              </w:rPr>
              <w:t xml:space="preserve"> 2003; 196:497-8</w:t>
            </w:r>
            <w:r w:rsidRPr="00464173">
              <w:rPr>
                <w:sz w:val="20"/>
                <w:szCs w:val="20"/>
                <w:vertAlign w:val="superscript"/>
              </w:rPr>
              <w:t>11</w:t>
            </w:r>
            <w:r w:rsidR="000779A7">
              <w:rPr>
                <w:sz w:val="20"/>
                <w:szCs w:val="20"/>
                <w:vertAlign w:val="superscript"/>
              </w:rPr>
              <w:t>1</w:t>
            </w:r>
            <w:r w:rsidRPr="00464173">
              <w:rPr>
                <w:sz w:val="20"/>
                <w:szCs w:val="20"/>
              </w:rPr>
              <w:t>.</w:t>
            </w:r>
          </w:p>
          <w:p w:rsidR="00FC33EC" w:rsidRPr="007E6072" w:rsidRDefault="00FC33EC" w:rsidP="00FC33EC">
            <w:pPr>
              <w:pStyle w:val="Prrafodelista1"/>
              <w:numPr>
                <w:ilvl w:val="0"/>
                <w:numId w:val="6"/>
              </w:numPr>
              <w:autoSpaceDE w:val="0"/>
              <w:autoSpaceDN w:val="0"/>
              <w:adjustRightInd w:val="0"/>
              <w:spacing w:after="120"/>
              <w:jc w:val="both"/>
              <w:rPr>
                <w:sz w:val="20"/>
                <w:szCs w:val="20"/>
                <w:lang w:val="it-IT"/>
              </w:rPr>
            </w:pPr>
            <w:r w:rsidRPr="007E6072">
              <w:rPr>
                <w:rFonts w:eastAsia="Batang"/>
                <w:sz w:val="20"/>
                <w:szCs w:val="20"/>
                <w:lang w:val="it-IT" w:eastAsia="ko-KR"/>
              </w:rPr>
              <w:t xml:space="preserve">Toniato A, Boschin IM, Piotto A, Pelizzo MR, Guolo A, Foletto M, Casalide E. </w:t>
            </w:r>
            <w:hyperlink r:id="rId7" w:history="1">
              <w:r w:rsidRPr="00F209AB">
                <w:rPr>
                  <w:rFonts w:eastAsia="Batang"/>
                  <w:sz w:val="20"/>
                  <w:szCs w:val="20"/>
                  <w:lang w:val="en-GB" w:eastAsia="ko-KR"/>
                </w:rPr>
                <w:t>Complications in thyroid surgery for carcinoma: one institution's surgical experience.</w:t>
              </w:r>
            </w:hyperlink>
            <w:r w:rsidRPr="00F209AB">
              <w:rPr>
                <w:rFonts w:eastAsia="Batang"/>
                <w:sz w:val="20"/>
                <w:szCs w:val="20"/>
                <w:lang w:val="en-GB" w:eastAsia="ko-KR"/>
              </w:rPr>
              <w:t xml:space="preserve"> </w:t>
            </w:r>
            <w:r>
              <w:rPr>
                <w:rFonts w:eastAsia="Batang"/>
                <w:sz w:val="20"/>
                <w:szCs w:val="20"/>
                <w:lang w:val="it-IT" w:eastAsia="ko-KR"/>
              </w:rPr>
              <w:t>World J Surg. 2008</w:t>
            </w:r>
            <w:r w:rsidRPr="007E6072">
              <w:rPr>
                <w:rFonts w:eastAsia="Batang"/>
                <w:sz w:val="20"/>
                <w:szCs w:val="20"/>
                <w:lang w:val="it-IT" w:eastAsia="ko-KR"/>
              </w:rPr>
              <w:t>;</w:t>
            </w:r>
            <w:r>
              <w:rPr>
                <w:rFonts w:eastAsia="Batang"/>
                <w:sz w:val="20"/>
                <w:szCs w:val="20"/>
                <w:lang w:val="it-IT" w:eastAsia="ko-KR"/>
              </w:rPr>
              <w:t xml:space="preserve"> </w:t>
            </w:r>
            <w:r w:rsidRPr="007E6072">
              <w:rPr>
                <w:rFonts w:eastAsia="Batang"/>
                <w:sz w:val="20"/>
                <w:szCs w:val="20"/>
                <w:lang w:val="it-IT" w:eastAsia="ko-KR"/>
              </w:rPr>
              <w:t>32:572-5</w:t>
            </w:r>
            <w:r w:rsidRPr="007E6072">
              <w:rPr>
                <w:rFonts w:eastAsia="Batang"/>
                <w:sz w:val="20"/>
                <w:szCs w:val="20"/>
                <w:vertAlign w:val="superscript"/>
                <w:lang w:val="it-IT" w:eastAsia="ko-KR"/>
              </w:rPr>
              <w:t>1</w:t>
            </w:r>
            <w:r>
              <w:rPr>
                <w:rFonts w:eastAsia="Batang"/>
                <w:sz w:val="20"/>
                <w:szCs w:val="20"/>
                <w:vertAlign w:val="superscript"/>
                <w:lang w:val="it-IT" w:eastAsia="ko-KR"/>
              </w:rPr>
              <w:t>32</w:t>
            </w:r>
            <w:r w:rsidRPr="007E6072">
              <w:rPr>
                <w:rFonts w:eastAsia="Batang"/>
                <w:sz w:val="20"/>
                <w:szCs w:val="20"/>
                <w:lang w:val="it-IT" w:eastAsia="ko-KR"/>
              </w:rPr>
              <w:t>.</w:t>
            </w:r>
          </w:p>
          <w:p w:rsidR="00FC33EC" w:rsidRPr="008620C0" w:rsidRDefault="00FC33EC" w:rsidP="000779A7">
            <w:pPr>
              <w:pStyle w:val="Prrafodelista1"/>
              <w:numPr>
                <w:ilvl w:val="0"/>
                <w:numId w:val="6"/>
              </w:numPr>
              <w:autoSpaceDE w:val="0"/>
              <w:autoSpaceDN w:val="0"/>
              <w:adjustRightInd w:val="0"/>
              <w:spacing w:after="120"/>
              <w:jc w:val="both"/>
              <w:rPr>
                <w:sz w:val="20"/>
                <w:szCs w:val="20"/>
                <w:lang w:val="en-US"/>
              </w:rPr>
            </w:pPr>
            <w:proofErr w:type="spellStart"/>
            <w:r w:rsidRPr="007E6072">
              <w:rPr>
                <w:sz w:val="20"/>
                <w:szCs w:val="20"/>
                <w:lang w:val="en-GB"/>
              </w:rPr>
              <w:t>Goltzman</w:t>
            </w:r>
            <w:proofErr w:type="spellEnd"/>
            <w:r w:rsidRPr="007E6072">
              <w:rPr>
                <w:sz w:val="20"/>
                <w:szCs w:val="20"/>
                <w:lang w:val="en-GB"/>
              </w:rPr>
              <w:t xml:space="preserve">, D. Treatment of </w:t>
            </w:r>
            <w:proofErr w:type="spellStart"/>
            <w:r w:rsidRPr="007E6072">
              <w:rPr>
                <w:sz w:val="20"/>
                <w:szCs w:val="20"/>
                <w:lang w:val="en-GB"/>
              </w:rPr>
              <w:t>hypocalcemia</w:t>
            </w:r>
            <w:proofErr w:type="spellEnd"/>
            <w:r w:rsidRPr="007E6072">
              <w:rPr>
                <w:sz w:val="20"/>
                <w:szCs w:val="20"/>
                <w:lang w:val="en-GB"/>
              </w:rPr>
              <w:t xml:space="preserve">. </w:t>
            </w:r>
            <w:r w:rsidRPr="007E6072">
              <w:rPr>
                <w:sz w:val="20"/>
                <w:szCs w:val="20"/>
                <w:lang w:val="en-US"/>
              </w:rPr>
              <w:t xml:space="preserve">In: </w:t>
            </w:r>
            <w:proofErr w:type="spellStart"/>
            <w:r w:rsidRPr="007E6072">
              <w:rPr>
                <w:sz w:val="20"/>
                <w:szCs w:val="20"/>
                <w:lang w:val="en-US"/>
              </w:rPr>
              <w:t>UpToDate</w:t>
            </w:r>
            <w:proofErr w:type="spellEnd"/>
            <w:r w:rsidRPr="007E6072">
              <w:rPr>
                <w:sz w:val="20"/>
                <w:szCs w:val="20"/>
                <w:lang w:val="en-US"/>
              </w:rPr>
              <w:t xml:space="preserve">, </w:t>
            </w:r>
            <w:proofErr w:type="spellStart"/>
            <w:r w:rsidRPr="007E6072">
              <w:rPr>
                <w:sz w:val="20"/>
                <w:szCs w:val="20"/>
                <w:lang w:val="en-US"/>
              </w:rPr>
              <w:t>Basow</w:t>
            </w:r>
            <w:proofErr w:type="spellEnd"/>
            <w:r w:rsidRPr="007E6072">
              <w:rPr>
                <w:sz w:val="20"/>
                <w:szCs w:val="20"/>
                <w:lang w:val="en-US"/>
              </w:rPr>
              <w:t xml:space="preserve">, DS (Ed), </w:t>
            </w:r>
            <w:proofErr w:type="spellStart"/>
            <w:r w:rsidRPr="007E6072">
              <w:rPr>
                <w:sz w:val="20"/>
                <w:szCs w:val="20"/>
                <w:lang w:val="en-US"/>
              </w:rPr>
              <w:t>UpToDate</w:t>
            </w:r>
            <w:proofErr w:type="spellEnd"/>
            <w:r w:rsidRPr="007E6072">
              <w:rPr>
                <w:sz w:val="20"/>
                <w:szCs w:val="20"/>
                <w:lang w:val="en-US"/>
              </w:rPr>
              <w:t>, Waltham, MA, 2013</w:t>
            </w:r>
            <w:r w:rsidRPr="007E6072">
              <w:rPr>
                <w:sz w:val="20"/>
                <w:szCs w:val="20"/>
                <w:vertAlign w:val="superscript"/>
                <w:lang w:val="en-US"/>
              </w:rPr>
              <w:t>1</w:t>
            </w:r>
            <w:r>
              <w:rPr>
                <w:sz w:val="20"/>
                <w:szCs w:val="20"/>
                <w:vertAlign w:val="superscript"/>
                <w:lang w:val="en-US"/>
              </w:rPr>
              <w:t>3</w:t>
            </w:r>
            <w:r w:rsidR="000779A7">
              <w:rPr>
                <w:sz w:val="20"/>
                <w:szCs w:val="20"/>
                <w:vertAlign w:val="superscript"/>
                <w:lang w:val="en-US"/>
              </w:rPr>
              <w:t>4</w:t>
            </w:r>
          </w:p>
        </w:tc>
      </w:tr>
    </w:tbl>
    <w:p w:rsidR="00FC33EC" w:rsidRPr="008620C0" w:rsidRDefault="00FC33EC" w:rsidP="00FC33EC">
      <w:pPr>
        <w:pStyle w:val="Textodebloque"/>
        <w:spacing w:line="240" w:lineRule="auto"/>
        <w:ind w:left="360"/>
        <w:rPr>
          <w:b w:val="0"/>
          <w:bCs w:val="0"/>
          <w:sz w:val="24"/>
          <w:szCs w:val="24"/>
          <w:lang w:val="en-US"/>
        </w:rPr>
      </w:pPr>
    </w:p>
    <w:p w:rsidR="00FC33EC" w:rsidRPr="008620C0" w:rsidRDefault="00FC33EC" w:rsidP="00FC33EC">
      <w:pPr>
        <w:pStyle w:val="Textodebloque"/>
        <w:spacing w:line="240" w:lineRule="auto"/>
        <w:ind w:left="360"/>
        <w:rPr>
          <w:b w:val="0"/>
          <w:bCs w:val="0"/>
          <w:sz w:val="24"/>
          <w:szCs w:val="24"/>
          <w:lang w:val="en-US"/>
        </w:rPr>
      </w:pPr>
    </w:p>
    <w:p w:rsidR="00FC33EC" w:rsidRPr="008620C0" w:rsidRDefault="00FC33EC" w:rsidP="00FC33EC">
      <w:pPr>
        <w:pStyle w:val="Textodebloque"/>
        <w:spacing w:line="240" w:lineRule="auto"/>
        <w:ind w:left="360"/>
        <w:rPr>
          <w:b w:val="0"/>
          <w:bCs w:val="0"/>
          <w:sz w:val="24"/>
          <w:szCs w:val="24"/>
          <w:lang w:val="en-US"/>
        </w:rPr>
      </w:pPr>
      <w:r w:rsidRPr="008620C0">
        <w:rPr>
          <w:b w:val="0"/>
          <w:bCs w:val="0"/>
          <w:sz w:val="24"/>
          <w:szCs w:val="24"/>
          <w:lang w:val="en-US"/>
        </w:rPr>
        <w:br w:type="page"/>
      </w:r>
    </w:p>
    <w:tbl>
      <w:tblPr>
        <w:tblW w:w="500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01"/>
        <w:gridCol w:w="5946"/>
      </w:tblGrid>
      <w:tr w:rsidR="00FC33EC" w:rsidRPr="000830E7" w:rsidTr="00274F6B">
        <w:trPr>
          <w:trHeight w:val="69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FC33EC" w:rsidRDefault="00FC33EC" w:rsidP="00274F6B">
            <w:pPr>
              <w:spacing w:before="120"/>
              <w:rPr>
                <w:b/>
                <w:bCs/>
                <w:sz w:val="20"/>
                <w:szCs w:val="20"/>
                <w:lang w:val="en-US"/>
              </w:rPr>
            </w:pP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Pr>
                <w:b/>
                <w:bCs/>
                <w:sz w:val="20"/>
                <w:szCs w:val="20"/>
              </w:rPr>
              <w:t>Hipoparatiroidismo permanente</w:t>
            </w:r>
          </w:p>
        </w:tc>
      </w:tr>
      <w:tr w:rsidR="00FC33EC" w:rsidRPr="000830E7" w:rsidTr="00274F6B">
        <w:trPr>
          <w:trHeight w:val="52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Fórmula</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rPr>
            </w:pPr>
            <w:r>
              <w:rPr>
                <w:sz w:val="20"/>
                <w:szCs w:val="20"/>
              </w:rPr>
              <w:t>Pacientes sometidos a tiroidectomía total o subtotal que presentan hipoparatiroidismo permanente x 100 / pacientes sometidos a tiroidectomía total o subtotal.</w:t>
            </w:r>
          </w:p>
        </w:tc>
      </w:tr>
      <w:tr w:rsidR="00FC33EC" w:rsidRPr="000830E7" w:rsidTr="00274F6B">
        <w:trPr>
          <w:trHeight w:val="1242"/>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Aclaraciones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7F0EE3" w:rsidRDefault="00FC33EC" w:rsidP="00FC33EC">
            <w:pPr>
              <w:pStyle w:val="Textodebloque"/>
              <w:numPr>
                <w:ilvl w:val="0"/>
                <w:numId w:val="12"/>
              </w:numPr>
              <w:spacing w:line="240" w:lineRule="auto"/>
              <w:rPr>
                <w:b w:val="0"/>
                <w:bCs w:val="0"/>
                <w:sz w:val="20"/>
                <w:szCs w:val="20"/>
              </w:rPr>
            </w:pPr>
            <w:r w:rsidRPr="007F0EE3">
              <w:rPr>
                <w:b w:val="0"/>
                <w:bCs w:val="0"/>
                <w:sz w:val="20"/>
                <w:szCs w:val="20"/>
              </w:rPr>
              <w:t xml:space="preserve">Se considera hipoparatiroidismo permanente la presencia de cifras de calcio corregido por debajo de 8 mg/dl (calcio iónico &lt; 4 mg/dl) y que se confirma por la determinación de PTH por debajo del límite inferior (&lt; 13 </w:t>
            </w:r>
            <w:proofErr w:type="spellStart"/>
            <w:r w:rsidRPr="007F0EE3">
              <w:rPr>
                <w:b w:val="0"/>
                <w:bCs w:val="0"/>
                <w:sz w:val="20"/>
                <w:szCs w:val="20"/>
              </w:rPr>
              <w:t>pgr</w:t>
            </w:r>
            <w:proofErr w:type="spellEnd"/>
            <w:r w:rsidRPr="007F0EE3">
              <w:rPr>
                <w:b w:val="0"/>
                <w:bCs w:val="0"/>
                <w:sz w:val="20"/>
                <w:szCs w:val="20"/>
              </w:rPr>
              <w:t xml:space="preserve">/ml) después del año de la tiroidectomía. </w:t>
            </w:r>
          </w:p>
          <w:p w:rsidR="00FC33EC" w:rsidRPr="007F0EE3" w:rsidRDefault="00FC33EC" w:rsidP="00FC33EC">
            <w:pPr>
              <w:pStyle w:val="Textodebloque"/>
              <w:numPr>
                <w:ilvl w:val="0"/>
                <w:numId w:val="12"/>
              </w:numPr>
              <w:spacing w:line="240" w:lineRule="auto"/>
              <w:rPr>
                <w:b w:val="0"/>
                <w:bCs w:val="0"/>
                <w:sz w:val="20"/>
                <w:szCs w:val="20"/>
              </w:rPr>
            </w:pPr>
            <w:r w:rsidRPr="007F0EE3">
              <w:rPr>
                <w:b w:val="0"/>
                <w:bCs w:val="0"/>
                <w:sz w:val="20"/>
                <w:szCs w:val="20"/>
              </w:rPr>
              <w:t>Según la bibliografía, la</w:t>
            </w:r>
            <w:r w:rsidRPr="008D0C84">
              <w:rPr>
                <w:b w:val="0"/>
                <w:bCs w:val="0"/>
                <w:color w:val="FF0000"/>
                <w:sz w:val="20"/>
                <w:szCs w:val="20"/>
              </w:rPr>
              <w:t xml:space="preserve"> </w:t>
            </w:r>
            <w:r w:rsidRPr="007E6072">
              <w:rPr>
                <w:b w:val="0"/>
                <w:bCs w:val="0"/>
                <w:sz w:val="20"/>
                <w:szCs w:val="20"/>
              </w:rPr>
              <w:t>incidencia</w:t>
            </w:r>
            <w:r w:rsidRPr="007F0EE3">
              <w:rPr>
                <w:b w:val="0"/>
                <w:bCs w:val="0"/>
                <w:sz w:val="20"/>
                <w:szCs w:val="20"/>
              </w:rPr>
              <w:t xml:space="preserve"> de hipoparatiroidismo permanente debe ser inferior al 4%. Si se considera de forma aislada la tiroidectomía por cáncer, estas cifras pueden aumentar. </w:t>
            </w:r>
          </w:p>
          <w:p w:rsidR="00FC33EC" w:rsidRPr="002E54BE" w:rsidRDefault="00FC33EC" w:rsidP="00274F6B">
            <w:pPr>
              <w:pStyle w:val="Textodebloque"/>
              <w:spacing w:line="240" w:lineRule="auto"/>
              <w:ind w:left="0"/>
              <w:rPr>
                <w:color w:val="FF0000"/>
                <w:sz w:val="20"/>
                <w:szCs w:val="20"/>
              </w:rPr>
            </w:pPr>
          </w:p>
        </w:tc>
      </w:tr>
      <w:tr w:rsidR="00FC33EC" w:rsidRPr="000830E7" w:rsidTr="00274F6B">
        <w:trPr>
          <w:trHeight w:val="524"/>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 xml:space="preserve">Tipo de indicador </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rPr>
            </w:pPr>
            <w:r>
              <w:rPr>
                <w:sz w:val="20"/>
                <w:szCs w:val="20"/>
              </w:rPr>
              <w:t>Resultado</w:t>
            </w:r>
          </w:p>
        </w:tc>
      </w:tr>
      <w:tr w:rsidR="00FC33EC" w:rsidRPr="000830E7" w:rsidTr="00274F6B">
        <w:trPr>
          <w:trHeight w:val="79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sidRPr="000830E7">
              <w:rPr>
                <w:b/>
                <w:bCs/>
                <w:sz w:val="20"/>
                <w:szCs w:val="20"/>
              </w:rPr>
              <w:t>Justificación</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386E84" w:rsidRDefault="00FC33EC" w:rsidP="00274F6B">
            <w:pPr>
              <w:pStyle w:val="Textodebloque"/>
              <w:spacing w:line="240" w:lineRule="auto"/>
              <w:ind w:left="0"/>
              <w:rPr>
                <w:b w:val="0"/>
                <w:bCs w:val="0"/>
                <w:sz w:val="20"/>
                <w:szCs w:val="20"/>
              </w:rPr>
            </w:pPr>
            <w:r w:rsidRPr="00FC147F">
              <w:rPr>
                <w:b w:val="0"/>
                <w:bCs w:val="0"/>
                <w:sz w:val="20"/>
                <w:szCs w:val="20"/>
              </w:rPr>
              <w:t xml:space="preserve">La hipocalcemia queda como secuela permanente (a partir de un año de la cirugía) </w:t>
            </w:r>
            <w:r>
              <w:rPr>
                <w:b w:val="0"/>
                <w:bCs w:val="0"/>
                <w:sz w:val="20"/>
                <w:szCs w:val="20"/>
              </w:rPr>
              <w:t xml:space="preserve">hasta en un 4% </w:t>
            </w:r>
            <w:r w:rsidRPr="00FC147F">
              <w:rPr>
                <w:b w:val="0"/>
                <w:bCs w:val="0"/>
                <w:sz w:val="20"/>
                <w:szCs w:val="20"/>
              </w:rPr>
              <w:t xml:space="preserve">de pacientes. </w:t>
            </w:r>
          </w:p>
        </w:tc>
      </w:tr>
      <w:tr w:rsidR="00FC33EC" w:rsidRPr="002E54BE" w:rsidTr="00274F6B">
        <w:trPr>
          <w:trHeight w:val="471"/>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sidRPr="000830E7">
              <w:rPr>
                <w:b/>
                <w:bCs/>
                <w:sz w:val="20"/>
                <w:szCs w:val="20"/>
              </w:rPr>
              <w:t>Origen del indicador</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2E54BE" w:rsidRDefault="00FC33EC" w:rsidP="00274F6B">
            <w:pPr>
              <w:rPr>
                <w:lang w:val="en-GB"/>
              </w:rPr>
            </w:pPr>
          </w:p>
          <w:p w:rsidR="00FC33EC" w:rsidRPr="002E54BE" w:rsidRDefault="00FC33EC" w:rsidP="00274F6B">
            <w:pPr>
              <w:rPr>
                <w:sz w:val="20"/>
                <w:szCs w:val="20"/>
                <w:lang w:val="en-GB"/>
              </w:rPr>
            </w:pPr>
            <w:proofErr w:type="spellStart"/>
            <w:r>
              <w:rPr>
                <w:sz w:val="20"/>
                <w:szCs w:val="20"/>
                <w:lang w:val="en-GB"/>
              </w:rPr>
              <w:t>Elaboración</w:t>
            </w:r>
            <w:proofErr w:type="spellEnd"/>
            <w:r>
              <w:rPr>
                <w:sz w:val="20"/>
                <w:szCs w:val="20"/>
                <w:lang w:val="en-GB"/>
              </w:rPr>
              <w:t xml:space="preserve"> </w:t>
            </w:r>
            <w:proofErr w:type="spellStart"/>
            <w:r>
              <w:rPr>
                <w:sz w:val="20"/>
                <w:szCs w:val="20"/>
                <w:lang w:val="en-GB"/>
              </w:rPr>
              <w:t>propia</w:t>
            </w:r>
            <w:proofErr w:type="spellEnd"/>
          </w:p>
        </w:tc>
      </w:tr>
      <w:tr w:rsidR="00FC33EC" w:rsidRPr="008620C0" w:rsidTr="00274F6B">
        <w:trPr>
          <w:trHeight w:val="163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7E6072" w:rsidRDefault="00FC33EC" w:rsidP="00274F6B">
            <w:pPr>
              <w:rPr>
                <w:b/>
                <w:bCs/>
                <w:sz w:val="20"/>
                <w:szCs w:val="20"/>
              </w:rPr>
            </w:pPr>
            <w:r w:rsidRPr="007E6072">
              <w:rPr>
                <w:b/>
                <w:bCs/>
                <w:sz w:val="20"/>
                <w:szCs w:val="20"/>
              </w:rPr>
              <w:t>Referencias bibliográficas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7E6072" w:rsidRDefault="00FC33EC" w:rsidP="00FC33EC">
            <w:pPr>
              <w:numPr>
                <w:ilvl w:val="0"/>
                <w:numId w:val="7"/>
              </w:numPr>
              <w:rPr>
                <w:sz w:val="20"/>
                <w:szCs w:val="20"/>
                <w:lang w:val="en-GB"/>
              </w:rPr>
            </w:pPr>
            <w:proofErr w:type="spellStart"/>
            <w:r w:rsidRPr="00464173">
              <w:rPr>
                <w:sz w:val="20"/>
                <w:szCs w:val="20"/>
                <w:lang w:val="en-GB"/>
              </w:rPr>
              <w:t>Bahn</w:t>
            </w:r>
            <w:proofErr w:type="spellEnd"/>
            <w:r w:rsidRPr="00464173">
              <w:rPr>
                <w:sz w:val="20"/>
                <w:szCs w:val="20"/>
                <w:lang w:val="en-GB"/>
              </w:rPr>
              <w:t xml:space="preserve"> RS, Burch HB, Cooper DS, Garber JR, Greenlee MC, Klein I, et al. </w:t>
            </w:r>
            <w:r w:rsidRPr="002E54BE">
              <w:rPr>
                <w:sz w:val="20"/>
                <w:szCs w:val="20"/>
                <w:lang w:val="en-US"/>
              </w:rPr>
              <w:t xml:space="preserve">Hyperthyroidism and other causes of </w:t>
            </w:r>
            <w:proofErr w:type="spellStart"/>
            <w:r w:rsidRPr="002E54BE">
              <w:rPr>
                <w:sz w:val="20"/>
                <w:szCs w:val="20"/>
                <w:lang w:val="en-US"/>
              </w:rPr>
              <w:t>thyrotoxicosis</w:t>
            </w:r>
            <w:proofErr w:type="spellEnd"/>
            <w:r w:rsidRPr="002E54BE">
              <w:rPr>
                <w:sz w:val="20"/>
                <w:szCs w:val="20"/>
                <w:lang w:val="en-US"/>
              </w:rPr>
              <w:t xml:space="preserve">: management guidelines of the American Thyroid Association and American Association of Clinical Endocrinologists. </w:t>
            </w:r>
            <w:proofErr w:type="spellStart"/>
            <w:r w:rsidRPr="007E6072">
              <w:rPr>
                <w:sz w:val="20"/>
                <w:szCs w:val="20"/>
                <w:lang w:val="en-GB"/>
              </w:rPr>
              <w:t>Endocr</w:t>
            </w:r>
            <w:proofErr w:type="spellEnd"/>
            <w:r w:rsidRPr="007E6072">
              <w:rPr>
                <w:sz w:val="20"/>
                <w:szCs w:val="20"/>
                <w:lang w:val="en-GB"/>
              </w:rPr>
              <w:t xml:space="preserve"> </w:t>
            </w:r>
            <w:proofErr w:type="spellStart"/>
            <w:r w:rsidRPr="007E6072">
              <w:rPr>
                <w:sz w:val="20"/>
                <w:szCs w:val="20"/>
                <w:lang w:val="en-GB"/>
              </w:rPr>
              <w:t>Pract</w:t>
            </w:r>
            <w:proofErr w:type="spellEnd"/>
            <w:r w:rsidRPr="007E6072">
              <w:rPr>
                <w:sz w:val="20"/>
                <w:szCs w:val="20"/>
                <w:lang w:val="en-GB"/>
              </w:rPr>
              <w:t>. 2011; 17:456-520</w:t>
            </w:r>
            <w:r>
              <w:rPr>
                <w:sz w:val="20"/>
                <w:szCs w:val="20"/>
                <w:vertAlign w:val="superscript"/>
                <w:lang w:val="en-GB"/>
              </w:rPr>
              <w:t>24</w:t>
            </w:r>
            <w:r w:rsidRPr="007E6072">
              <w:rPr>
                <w:sz w:val="20"/>
                <w:szCs w:val="20"/>
                <w:lang w:val="en-GB"/>
              </w:rPr>
              <w:t xml:space="preserve">. </w:t>
            </w:r>
          </w:p>
          <w:p w:rsidR="00FC33EC" w:rsidRPr="007E6072" w:rsidRDefault="00FC33EC" w:rsidP="008A1121">
            <w:pPr>
              <w:pStyle w:val="Prrafodelista1"/>
              <w:numPr>
                <w:ilvl w:val="0"/>
                <w:numId w:val="7"/>
              </w:numPr>
              <w:spacing w:after="120"/>
              <w:jc w:val="both"/>
              <w:rPr>
                <w:color w:val="000000"/>
                <w:sz w:val="20"/>
                <w:szCs w:val="20"/>
                <w:lang w:val="en-US"/>
              </w:rPr>
            </w:pPr>
            <w:proofErr w:type="spellStart"/>
            <w:r w:rsidRPr="002E54BE">
              <w:rPr>
                <w:color w:val="000000"/>
                <w:sz w:val="20"/>
                <w:szCs w:val="20"/>
                <w:lang w:val="en-GB"/>
              </w:rPr>
              <w:t>Youngwirth</w:t>
            </w:r>
            <w:proofErr w:type="spellEnd"/>
            <w:r w:rsidRPr="002E54BE">
              <w:rPr>
                <w:color w:val="000000"/>
                <w:sz w:val="20"/>
                <w:szCs w:val="20"/>
                <w:lang w:val="en-GB"/>
              </w:rPr>
              <w:t xml:space="preserve"> L, Benavidez J, </w:t>
            </w:r>
            <w:proofErr w:type="spellStart"/>
            <w:r w:rsidRPr="002E54BE">
              <w:rPr>
                <w:color w:val="000000"/>
                <w:sz w:val="20"/>
                <w:szCs w:val="20"/>
                <w:lang w:val="en-GB"/>
              </w:rPr>
              <w:t>Sippel</w:t>
            </w:r>
            <w:proofErr w:type="spellEnd"/>
            <w:r w:rsidRPr="002E54BE">
              <w:rPr>
                <w:color w:val="000000"/>
                <w:sz w:val="20"/>
                <w:szCs w:val="20"/>
                <w:lang w:val="en-GB"/>
              </w:rPr>
              <w:t xml:space="preserve"> R, Chen H. Parathyroid hormone deficiency after total thyroidectomy: incidence and time. J </w:t>
            </w:r>
            <w:proofErr w:type="spellStart"/>
            <w:r w:rsidRPr="002E54BE">
              <w:rPr>
                <w:color w:val="000000"/>
                <w:sz w:val="20"/>
                <w:szCs w:val="20"/>
                <w:lang w:val="en-GB"/>
              </w:rPr>
              <w:t>Surg</w:t>
            </w:r>
            <w:proofErr w:type="spellEnd"/>
            <w:r w:rsidRPr="002E54BE">
              <w:rPr>
                <w:color w:val="000000"/>
                <w:sz w:val="20"/>
                <w:szCs w:val="20"/>
                <w:lang w:val="en-GB"/>
              </w:rPr>
              <w:t xml:space="preserve"> Res 2010; 163:69-71</w:t>
            </w:r>
            <w:r>
              <w:rPr>
                <w:color w:val="000000"/>
                <w:sz w:val="20"/>
                <w:szCs w:val="20"/>
                <w:vertAlign w:val="superscript"/>
                <w:lang w:val="en-GB"/>
              </w:rPr>
              <w:t>15</w:t>
            </w:r>
            <w:r w:rsidR="008A1121">
              <w:rPr>
                <w:color w:val="000000"/>
                <w:sz w:val="20"/>
                <w:szCs w:val="20"/>
                <w:vertAlign w:val="superscript"/>
                <w:lang w:val="en-GB"/>
              </w:rPr>
              <w:t>2</w:t>
            </w:r>
            <w:r w:rsidRPr="002E54BE">
              <w:rPr>
                <w:color w:val="000000"/>
                <w:sz w:val="20"/>
                <w:szCs w:val="20"/>
                <w:lang w:val="en-GB"/>
              </w:rPr>
              <w:t>.</w:t>
            </w:r>
          </w:p>
        </w:tc>
      </w:tr>
    </w:tbl>
    <w:p w:rsidR="00FC33EC" w:rsidRPr="008620C0" w:rsidRDefault="00FC33EC" w:rsidP="00FC33EC">
      <w:pPr>
        <w:pStyle w:val="Textodebloque"/>
        <w:spacing w:line="240" w:lineRule="auto"/>
        <w:ind w:left="360"/>
        <w:rPr>
          <w:b w:val="0"/>
          <w:bCs w:val="0"/>
          <w:sz w:val="24"/>
          <w:szCs w:val="24"/>
          <w:lang w:val="en-US"/>
        </w:rPr>
      </w:pPr>
    </w:p>
    <w:p w:rsidR="00FC33EC" w:rsidRPr="008620C0" w:rsidRDefault="00FC33EC" w:rsidP="00FC33EC">
      <w:pPr>
        <w:pStyle w:val="Textodebloque"/>
        <w:spacing w:line="240" w:lineRule="auto"/>
        <w:ind w:left="360"/>
        <w:rPr>
          <w:b w:val="0"/>
          <w:bCs w:val="0"/>
          <w:sz w:val="24"/>
          <w:szCs w:val="24"/>
          <w:lang w:val="en-US"/>
        </w:rPr>
      </w:pPr>
    </w:p>
    <w:p w:rsidR="00FC33EC" w:rsidRPr="008620C0" w:rsidRDefault="00FC33EC" w:rsidP="00FC33EC">
      <w:pPr>
        <w:pStyle w:val="Textodebloque"/>
        <w:spacing w:line="240" w:lineRule="auto"/>
        <w:ind w:left="360"/>
        <w:rPr>
          <w:b w:val="0"/>
          <w:bCs w:val="0"/>
          <w:sz w:val="24"/>
          <w:szCs w:val="24"/>
          <w:lang w:val="en-US"/>
        </w:rPr>
      </w:pPr>
    </w:p>
    <w:tbl>
      <w:tblPr>
        <w:tblW w:w="500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01"/>
        <w:gridCol w:w="5946"/>
      </w:tblGrid>
      <w:tr w:rsidR="00FC33EC" w:rsidRPr="000830E7" w:rsidTr="00274F6B">
        <w:trPr>
          <w:trHeight w:val="69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Pr>
                <w:b/>
                <w:bCs/>
                <w:sz w:val="20"/>
                <w:szCs w:val="20"/>
              </w:rPr>
              <w:t>Reintervenciones urgentes</w:t>
            </w:r>
          </w:p>
        </w:tc>
      </w:tr>
      <w:tr w:rsidR="00FC33EC" w:rsidRPr="000830E7" w:rsidTr="00274F6B">
        <w:trPr>
          <w:trHeight w:val="52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Fórmula</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rPr>
            </w:pPr>
            <w:r>
              <w:rPr>
                <w:sz w:val="20"/>
                <w:szCs w:val="20"/>
              </w:rPr>
              <w:t xml:space="preserve">Pacientes sometidos a tiroidectomía que son </w:t>
            </w:r>
            <w:proofErr w:type="spellStart"/>
            <w:r>
              <w:rPr>
                <w:sz w:val="20"/>
                <w:szCs w:val="20"/>
              </w:rPr>
              <w:t>reintervenidos</w:t>
            </w:r>
            <w:proofErr w:type="spellEnd"/>
            <w:r>
              <w:rPr>
                <w:sz w:val="20"/>
                <w:szCs w:val="20"/>
              </w:rPr>
              <w:t xml:space="preserve"> de forma urgente en las primeras 72 horas del postoperatorio x 100 / pacientes sometidos a tiroidectomía.</w:t>
            </w:r>
          </w:p>
        </w:tc>
      </w:tr>
      <w:tr w:rsidR="00FC33EC" w:rsidRPr="000830E7" w:rsidTr="00274F6B">
        <w:trPr>
          <w:trHeight w:val="1242"/>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Aclaraciones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3F4B52" w:rsidRDefault="00FC33EC" w:rsidP="00274F6B">
            <w:pPr>
              <w:pStyle w:val="Textodebloque"/>
              <w:spacing w:line="240" w:lineRule="auto"/>
              <w:ind w:left="0"/>
              <w:rPr>
                <w:b w:val="0"/>
                <w:bCs w:val="0"/>
                <w:sz w:val="20"/>
                <w:szCs w:val="20"/>
              </w:rPr>
            </w:pPr>
            <w:r w:rsidRPr="003F4B52">
              <w:rPr>
                <w:b w:val="0"/>
                <w:bCs w:val="0"/>
                <w:sz w:val="20"/>
                <w:szCs w:val="20"/>
              </w:rPr>
              <w:t xml:space="preserve">Las causas más frecuentes de reintervención urgente en pacientes sometidos a tiroidectomía durante el mismo ingreso son la hemorragia/hematoma cervical, la infección de herida o la necesidad de realización de </w:t>
            </w:r>
            <w:proofErr w:type="spellStart"/>
            <w:r w:rsidRPr="003F4B52">
              <w:rPr>
                <w:b w:val="0"/>
                <w:bCs w:val="0"/>
                <w:sz w:val="20"/>
                <w:szCs w:val="20"/>
              </w:rPr>
              <w:t>traqueostomía</w:t>
            </w:r>
            <w:proofErr w:type="spellEnd"/>
            <w:r w:rsidRPr="003F4B52">
              <w:rPr>
                <w:b w:val="0"/>
                <w:bCs w:val="0"/>
                <w:sz w:val="20"/>
                <w:szCs w:val="20"/>
              </w:rPr>
              <w:t xml:space="preserve">. </w:t>
            </w:r>
          </w:p>
        </w:tc>
      </w:tr>
      <w:tr w:rsidR="00FC33EC" w:rsidRPr="000830E7" w:rsidTr="00274F6B">
        <w:trPr>
          <w:trHeight w:val="703"/>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 xml:space="preserve">Tipo de indicador </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rPr>
            </w:pPr>
            <w:r>
              <w:rPr>
                <w:sz w:val="20"/>
                <w:szCs w:val="20"/>
              </w:rPr>
              <w:t>Resultado</w:t>
            </w:r>
          </w:p>
        </w:tc>
      </w:tr>
      <w:tr w:rsidR="00FC33EC" w:rsidRPr="000830E7" w:rsidTr="00274F6B">
        <w:trPr>
          <w:trHeight w:val="79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sidRPr="000830E7">
              <w:rPr>
                <w:b/>
                <w:bCs/>
                <w:sz w:val="20"/>
                <w:szCs w:val="20"/>
              </w:rPr>
              <w:t>Justificación</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386E84" w:rsidRDefault="00FC33EC" w:rsidP="00274F6B">
            <w:pPr>
              <w:pStyle w:val="Textodebloque"/>
              <w:spacing w:line="240" w:lineRule="auto"/>
              <w:ind w:left="0"/>
              <w:rPr>
                <w:b w:val="0"/>
                <w:bCs w:val="0"/>
                <w:sz w:val="20"/>
                <w:szCs w:val="20"/>
              </w:rPr>
            </w:pPr>
            <w:r>
              <w:rPr>
                <w:b w:val="0"/>
                <w:bCs w:val="0"/>
                <w:sz w:val="20"/>
                <w:szCs w:val="20"/>
              </w:rPr>
              <w:t>Todas las reintervenciones urgentes derivan de complicaciones graves, que pueden poner en peligro la vida del paciente y su calidad de vida a largo plazo.</w:t>
            </w:r>
          </w:p>
        </w:tc>
      </w:tr>
      <w:tr w:rsidR="00FC33EC" w:rsidRPr="000830E7" w:rsidTr="00274F6B">
        <w:trPr>
          <w:trHeight w:val="708"/>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sidRPr="000830E7">
              <w:rPr>
                <w:b/>
                <w:bCs/>
                <w:sz w:val="20"/>
                <w:szCs w:val="20"/>
              </w:rPr>
              <w:t>Origen del indicador</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2E54BE" w:rsidRDefault="00FC33EC" w:rsidP="00274F6B">
            <w:pPr>
              <w:rPr>
                <w:sz w:val="20"/>
                <w:szCs w:val="20"/>
              </w:rPr>
            </w:pPr>
            <w:r>
              <w:rPr>
                <w:sz w:val="20"/>
                <w:szCs w:val="20"/>
              </w:rPr>
              <w:t>Adaptado de “Indicadores de calidad para hospitales del Sistema Nacional de Salud 2012.</w:t>
            </w:r>
          </w:p>
        </w:tc>
      </w:tr>
      <w:tr w:rsidR="00FC33EC" w:rsidRPr="000779A7" w:rsidTr="00274F6B">
        <w:trPr>
          <w:trHeight w:val="240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115AB8" w:rsidRDefault="00FC33EC" w:rsidP="00274F6B">
            <w:pPr>
              <w:rPr>
                <w:b/>
                <w:bCs/>
                <w:sz w:val="20"/>
                <w:szCs w:val="20"/>
              </w:rPr>
            </w:pPr>
            <w:r w:rsidRPr="00115AB8">
              <w:rPr>
                <w:b/>
                <w:bCs/>
                <w:sz w:val="20"/>
                <w:szCs w:val="20"/>
              </w:rPr>
              <w:lastRenderedPageBreak/>
              <w:t>Referencias bibliográficas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1069D8" w:rsidRDefault="00FC33EC" w:rsidP="00FC33EC">
            <w:pPr>
              <w:pStyle w:val="Prrafodelista1"/>
              <w:numPr>
                <w:ilvl w:val="0"/>
                <w:numId w:val="9"/>
              </w:numPr>
              <w:autoSpaceDE w:val="0"/>
              <w:autoSpaceDN w:val="0"/>
              <w:adjustRightInd w:val="0"/>
              <w:spacing w:after="480"/>
              <w:jc w:val="both"/>
              <w:rPr>
                <w:rFonts w:ascii="Arial" w:eastAsia="Batang" w:hAnsi="Arial"/>
                <w:lang w:val="en-GB" w:eastAsia="ko-KR"/>
              </w:rPr>
            </w:pPr>
            <w:r w:rsidRPr="00115AB8">
              <w:rPr>
                <w:sz w:val="20"/>
                <w:szCs w:val="20"/>
                <w:lang w:val="en-GB"/>
              </w:rPr>
              <w:t>Glick DB. Overview of complications occurring in the post-</w:t>
            </w:r>
            <w:proofErr w:type="spellStart"/>
            <w:r w:rsidRPr="00115AB8">
              <w:rPr>
                <w:sz w:val="20"/>
                <w:szCs w:val="20"/>
                <w:lang w:val="en-GB"/>
              </w:rPr>
              <w:t>anesthesia</w:t>
            </w:r>
            <w:proofErr w:type="spellEnd"/>
            <w:r w:rsidRPr="00115AB8">
              <w:rPr>
                <w:sz w:val="20"/>
                <w:szCs w:val="20"/>
                <w:lang w:val="en-GB"/>
              </w:rPr>
              <w:t xml:space="preserve"> care unit. </w:t>
            </w:r>
            <w:r w:rsidRPr="00115AB8">
              <w:rPr>
                <w:color w:val="000000"/>
                <w:sz w:val="20"/>
                <w:szCs w:val="20"/>
              </w:rPr>
              <w:t xml:space="preserve">In: </w:t>
            </w:r>
            <w:proofErr w:type="spellStart"/>
            <w:r w:rsidRPr="00115AB8">
              <w:rPr>
                <w:color w:val="000000"/>
                <w:sz w:val="20"/>
                <w:szCs w:val="20"/>
              </w:rPr>
              <w:t>UpToDate</w:t>
            </w:r>
            <w:proofErr w:type="spellEnd"/>
            <w:r w:rsidRPr="00115AB8">
              <w:rPr>
                <w:color w:val="000000"/>
                <w:sz w:val="20"/>
                <w:szCs w:val="20"/>
              </w:rPr>
              <w:t xml:space="preserve">, </w:t>
            </w:r>
            <w:proofErr w:type="spellStart"/>
            <w:r w:rsidRPr="00115AB8">
              <w:rPr>
                <w:color w:val="000000"/>
                <w:sz w:val="20"/>
                <w:szCs w:val="20"/>
              </w:rPr>
              <w:t>Basow</w:t>
            </w:r>
            <w:proofErr w:type="spellEnd"/>
            <w:r w:rsidRPr="00115AB8">
              <w:rPr>
                <w:color w:val="000000"/>
                <w:sz w:val="20"/>
                <w:szCs w:val="20"/>
              </w:rPr>
              <w:t>, DS (</w:t>
            </w:r>
            <w:proofErr w:type="spellStart"/>
            <w:r w:rsidRPr="00115AB8">
              <w:rPr>
                <w:color w:val="000000"/>
                <w:sz w:val="20"/>
                <w:szCs w:val="20"/>
              </w:rPr>
              <w:t>Ed</w:t>
            </w:r>
            <w:proofErr w:type="spellEnd"/>
            <w:r w:rsidRPr="00115AB8">
              <w:rPr>
                <w:color w:val="000000"/>
                <w:sz w:val="20"/>
                <w:szCs w:val="20"/>
              </w:rPr>
              <w:t xml:space="preserve">), </w:t>
            </w:r>
            <w:proofErr w:type="spellStart"/>
            <w:r w:rsidRPr="00115AB8">
              <w:rPr>
                <w:color w:val="000000"/>
                <w:sz w:val="20"/>
                <w:szCs w:val="20"/>
              </w:rPr>
              <w:t>UpToDate</w:t>
            </w:r>
            <w:proofErr w:type="spellEnd"/>
            <w:r w:rsidRPr="00115AB8">
              <w:rPr>
                <w:color w:val="000000"/>
                <w:sz w:val="20"/>
                <w:szCs w:val="20"/>
              </w:rPr>
              <w:t xml:space="preserve">, </w:t>
            </w:r>
            <w:proofErr w:type="spellStart"/>
            <w:r w:rsidRPr="00115AB8">
              <w:rPr>
                <w:color w:val="000000"/>
                <w:sz w:val="20"/>
                <w:szCs w:val="20"/>
              </w:rPr>
              <w:t>Waltham</w:t>
            </w:r>
            <w:proofErr w:type="spellEnd"/>
            <w:r w:rsidRPr="00115AB8">
              <w:rPr>
                <w:color w:val="000000"/>
                <w:sz w:val="20"/>
                <w:szCs w:val="20"/>
              </w:rPr>
              <w:t xml:space="preserve">, MA, 2013 </w:t>
            </w:r>
            <w:r>
              <w:rPr>
                <w:color w:val="000000"/>
                <w:sz w:val="20"/>
                <w:szCs w:val="20"/>
                <w:vertAlign w:val="superscript"/>
              </w:rPr>
              <w:t>10</w:t>
            </w:r>
            <w:r w:rsidR="000779A7">
              <w:rPr>
                <w:color w:val="000000"/>
                <w:sz w:val="20"/>
                <w:szCs w:val="20"/>
                <w:vertAlign w:val="superscript"/>
              </w:rPr>
              <w:t>1</w:t>
            </w:r>
            <w:r w:rsidRPr="00115AB8">
              <w:rPr>
                <w:color w:val="000000"/>
                <w:sz w:val="20"/>
                <w:szCs w:val="20"/>
              </w:rPr>
              <w:t xml:space="preserve">. </w:t>
            </w:r>
          </w:p>
          <w:p w:rsidR="00FC33EC" w:rsidRPr="00115AB8" w:rsidRDefault="00FC33EC" w:rsidP="008A1121">
            <w:pPr>
              <w:pStyle w:val="Prrafodelista1"/>
              <w:numPr>
                <w:ilvl w:val="0"/>
                <w:numId w:val="9"/>
              </w:numPr>
              <w:autoSpaceDE w:val="0"/>
              <w:autoSpaceDN w:val="0"/>
              <w:adjustRightInd w:val="0"/>
              <w:spacing w:after="480"/>
              <w:jc w:val="both"/>
              <w:rPr>
                <w:rFonts w:ascii="Arial" w:eastAsia="Batang" w:hAnsi="Arial"/>
                <w:lang w:val="en-GB" w:eastAsia="ko-KR"/>
              </w:rPr>
            </w:pPr>
            <w:r w:rsidRPr="00FC33EC">
              <w:rPr>
                <w:rFonts w:eastAsia="Batang"/>
                <w:sz w:val="20"/>
                <w:szCs w:val="20"/>
                <w:lang w:val="en-GB" w:eastAsia="ko-KR"/>
              </w:rPr>
              <w:t xml:space="preserve">Hurtado-López LM, Zaldivar-Ramirez FR, Basurto Kuba E, Pulido Cejudo A, Garza Flores JH, Muńoz Solis O, Campos-Castillo C. </w:t>
            </w:r>
            <w:hyperlink r:id="rId8" w:history="1">
              <w:r w:rsidRPr="007376EC">
                <w:rPr>
                  <w:rFonts w:eastAsia="Batang"/>
                  <w:sz w:val="20"/>
                  <w:szCs w:val="20"/>
                  <w:lang w:val="en-US" w:eastAsia="ko-KR"/>
                </w:rPr>
                <w:t xml:space="preserve">Causes for early </w:t>
              </w:r>
              <w:proofErr w:type="spellStart"/>
              <w:r w:rsidRPr="007376EC">
                <w:rPr>
                  <w:rFonts w:eastAsia="Batang"/>
                  <w:sz w:val="20"/>
                  <w:szCs w:val="20"/>
                  <w:lang w:val="en-US" w:eastAsia="ko-KR"/>
                </w:rPr>
                <w:t>reintervention</w:t>
              </w:r>
              <w:proofErr w:type="spellEnd"/>
              <w:r w:rsidRPr="007376EC">
                <w:rPr>
                  <w:rFonts w:eastAsia="Batang"/>
                  <w:sz w:val="20"/>
                  <w:szCs w:val="20"/>
                  <w:lang w:val="en-US" w:eastAsia="ko-KR"/>
                </w:rPr>
                <w:t xml:space="preserve"> after thyroidectomy.</w:t>
              </w:r>
            </w:hyperlink>
            <w:r w:rsidRPr="007376EC">
              <w:rPr>
                <w:rFonts w:eastAsia="Batang"/>
                <w:sz w:val="20"/>
                <w:szCs w:val="20"/>
                <w:lang w:val="en-US" w:eastAsia="ko-KR"/>
              </w:rPr>
              <w:t xml:space="preserve"> Med </w:t>
            </w:r>
            <w:proofErr w:type="spellStart"/>
            <w:r w:rsidRPr="007376EC">
              <w:rPr>
                <w:rFonts w:eastAsia="Batang"/>
                <w:sz w:val="20"/>
                <w:szCs w:val="20"/>
                <w:lang w:val="en-US" w:eastAsia="ko-KR"/>
              </w:rPr>
              <w:t>Sci</w:t>
            </w:r>
            <w:proofErr w:type="spellEnd"/>
            <w:r w:rsidRPr="007376EC">
              <w:rPr>
                <w:rFonts w:eastAsia="Batang"/>
                <w:sz w:val="20"/>
                <w:szCs w:val="20"/>
                <w:lang w:val="en-US" w:eastAsia="ko-KR"/>
              </w:rPr>
              <w:t xml:space="preserve"> </w:t>
            </w:r>
            <w:proofErr w:type="spellStart"/>
            <w:r w:rsidRPr="007376EC">
              <w:rPr>
                <w:rFonts w:eastAsia="Batang"/>
                <w:sz w:val="20"/>
                <w:szCs w:val="20"/>
                <w:lang w:val="en-US" w:eastAsia="ko-KR"/>
              </w:rPr>
              <w:t>Monit</w:t>
            </w:r>
            <w:proofErr w:type="spellEnd"/>
            <w:r w:rsidRPr="007376EC">
              <w:rPr>
                <w:rFonts w:eastAsia="Batang"/>
                <w:sz w:val="20"/>
                <w:szCs w:val="20"/>
                <w:lang w:val="en-US" w:eastAsia="ko-KR"/>
              </w:rPr>
              <w:t xml:space="preserve"> </w:t>
            </w:r>
            <w:r w:rsidRPr="00115AB8">
              <w:rPr>
                <w:rFonts w:eastAsia="Batang"/>
                <w:sz w:val="20"/>
                <w:szCs w:val="20"/>
                <w:lang w:val="en-GB" w:eastAsia="ko-KR"/>
              </w:rPr>
              <w:t>2002;</w:t>
            </w:r>
            <w:r>
              <w:rPr>
                <w:rFonts w:eastAsia="Batang"/>
                <w:sz w:val="20"/>
                <w:szCs w:val="20"/>
                <w:lang w:val="en-GB" w:eastAsia="ko-KR"/>
              </w:rPr>
              <w:t xml:space="preserve"> </w:t>
            </w:r>
            <w:r w:rsidRPr="00115AB8">
              <w:rPr>
                <w:rFonts w:eastAsia="Batang"/>
                <w:sz w:val="20"/>
                <w:szCs w:val="20"/>
                <w:lang w:val="en-GB" w:eastAsia="ko-KR"/>
              </w:rPr>
              <w:t>8:CR247-50</w:t>
            </w:r>
            <w:r>
              <w:rPr>
                <w:rFonts w:eastAsia="Batang"/>
                <w:sz w:val="20"/>
                <w:szCs w:val="20"/>
                <w:vertAlign w:val="superscript"/>
                <w:lang w:val="en-GB" w:eastAsia="ko-KR"/>
              </w:rPr>
              <w:t>16</w:t>
            </w:r>
            <w:r w:rsidR="008A1121">
              <w:rPr>
                <w:rFonts w:eastAsia="Batang"/>
                <w:sz w:val="20"/>
                <w:szCs w:val="20"/>
                <w:vertAlign w:val="superscript"/>
                <w:lang w:val="en-GB" w:eastAsia="ko-KR"/>
              </w:rPr>
              <w:t>3</w:t>
            </w:r>
            <w:r w:rsidRPr="00115AB8">
              <w:rPr>
                <w:rFonts w:eastAsia="Batang"/>
                <w:sz w:val="20"/>
                <w:szCs w:val="20"/>
                <w:lang w:val="en-GB" w:eastAsia="ko-KR"/>
              </w:rPr>
              <w:t xml:space="preserve">. </w:t>
            </w:r>
          </w:p>
        </w:tc>
      </w:tr>
    </w:tbl>
    <w:p w:rsidR="00FC33EC" w:rsidRPr="005F0B03" w:rsidRDefault="00FC33EC" w:rsidP="00FC33EC">
      <w:pPr>
        <w:pStyle w:val="Textodebloque"/>
        <w:spacing w:line="240" w:lineRule="auto"/>
        <w:ind w:left="2340"/>
        <w:rPr>
          <w:b w:val="0"/>
          <w:bCs w:val="0"/>
          <w:sz w:val="24"/>
          <w:szCs w:val="24"/>
          <w:lang w:val="en-GB"/>
        </w:rPr>
      </w:pPr>
    </w:p>
    <w:p w:rsidR="00FC33EC" w:rsidRPr="00705ACD" w:rsidRDefault="00FC33EC" w:rsidP="00FC33EC">
      <w:pPr>
        <w:pStyle w:val="Textodebloque"/>
        <w:spacing w:line="240" w:lineRule="auto"/>
        <w:ind w:left="360"/>
        <w:rPr>
          <w:b w:val="0"/>
          <w:bCs w:val="0"/>
          <w:sz w:val="24"/>
          <w:szCs w:val="24"/>
          <w:lang w:val="en-GB"/>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18"/>
        <w:gridCol w:w="7229"/>
      </w:tblGrid>
      <w:tr w:rsidR="00FC33EC" w:rsidRPr="000830E7" w:rsidTr="00274F6B">
        <w:trPr>
          <w:trHeight w:val="699"/>
        </w:trPr>
        <w:tc>
          <w:tcPr>
            <w:tcW w:w="1418" w:type="dxa"/>
            <w:tcBorders>
              <w:top w:val="single" w:sz="4" w:space="0" w:color="auto"/>
              <w:left w:val="single" w:sz="4" w:space="0" w:color="auto"/>
              <w:bottom w:val="single" w:sz="4" w:space="0" w:color="auto"/>
              <w:right w:val="single" w:sz="4" w:space="0" w:color="auto"/>
            </w:tcBorders>
            <w:vAlign w:val="center"/>
          </w:tcPr>
          <w:p w:rsidR="00FC33EC" w:rsidRPr="00FC33EC" w:rsidRDefault="00FC33EC" w:rsidP="00274F6B">
            <w:pPr>
              <w:spacing w:before="120"/>
              <w:rPr>
                <w:b/>
                <w:bCs/>
                <w:sz w:val="20"/>
                <w:szCs w:val="20"/>
                <w:lang w:val="en-US"/>
              </w:rPr>
            </w:pPr>
          </w:p>
        </w:tc>
        <w:tc>
          <w:tcPr>
            <w:tcW w:w="7229" w:type="dxa"/>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Pr>
                <w:b/>
                <w:bCs/>
                <w:sz w:val="20"/>
                <w:szCs w:val="20"/>
              </w:rPr>
              <w:t>Mortalidad</w:t>
            </w:r>
          </w:p>
        </w:tc>
      </w:tr>
      <w:tr w:rsidR="00FC33EC" w:rsidRPr="000830E7" w:rsidTr="00274F6B">
        <w:trPr>
          <w:trHeight w:val="622"/>
        </w:trPr>
        <w:tc>
          <w:tcPr>
            <w:tcW w:w="1418" w:type="dxa"/>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Fórmula</w:t>
            </w:r>
          </w:p>
        </w:tc>
        <w:tc>
          <w:tcPr>
            <w:tcW w:w="7229" w:type="dxa"/>
            <w:tcBorders>
              <w:top w:val="single" w:sz="4" w:space="0" w:color="auto"/>
              <w:left w:val="single" w:sz="4" w:space="0" w:color="auto"/>
              <w:bottom w:val="single" w:sz="4" w:space="0" w:color="auto"/>
              <w:right w:val="single" w:sz="4" w:space="0" w:color="auto"/>
            </w:tcBorders>
            <w:vAlign w:val="center"/>
          </w:tcPr>
          <w:p w:rsidR="00FC33EC" w:rsidRDefault="00FC33EC" w:rsidP="00274F6B">
            <w:pPr>
              <w:rPr>
                <w:sz w:val="20"/>
                <w:szCs w:val="20"/>
              </w:rPr>
            </w:pPr>
            <w:r>
              <w:rPr>
                <w:sz w:val="20"/>
                <w:szCs w:val="20"/>
              </w:rPr>
              <w:t>Indicador centinela: Se identificará número de casos por año.</w:t>
            </w:r>
          </w:p>
          <w:p w:rsidR="00FC33EC" w:rsidRPr="000830E7" w:rsidRDefault="00FC33EC" w:rsidP="00274F6B">
            <w:pPr>
              <w:rPr>
                <w:sz w:val="20"/>
                <w:szCs w:val="20"/>
              </w:rPr>
            </w:pPr>
          </w:p>
        </w:tc>
      </w:tr>
      <w:tr w:rsidR="00FC33EC" w:rsidRPr="000830E7" w:rsidTr="00274F6B">
        <w:trPr>
          <w:trHeight w:val="559"/>
        </w:trPr>
        <w:tc>
          <w:tcPr>
            <w:tcW w:w="1418" w:type="dxa"/>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after="120"/>
              <w:rPr>
                <w:b/>
                <w:bCs/>
                <w:sz w:val="20"/>
                <w:szCs w:val="20"/>
              </w:rPr>
            </w:pPr>
            <w:r w:rsidRPr="000830E7">
              <w:rPr>
                <w:b/>
                <w:bCs/>
                <w:sz w:val="20"/>
                <w:szCs w:val="20"/>
              </w:rPr>
              <w:t>Exclusiones</w:t>
            </w:r>
          </w:p>
        </w:tc>
        <w:tc>
          <w:tcPr>
            <w:tcW w:w="7229" w:type="dxa"/>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rPr>
            </w:pPr>
            <w:r>
              <w:rPr>
                <w:sz w:val="20"/>
                <w:szCs w:val="20"/>
              </w:rPr>
              <w:t>Ninguna</w:t>
            </w:r>
          </w:p>
        </w:tc>
      </w:tr>
      <w:tr w:rsidR="00FC33EC" w:rsidRPr="000830E7" w:rsidTr="00274F6B">
        <w:trPr>
          <w:trHeight w:val="412"/>
        </w:trPr>
        <w:tc>
          <w:tcPr>
            <w:tcW w:w="1418" w:type="dxa"/>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Aclaraciones</w:t>
            </w:r>
          </w:p>
        </w:tc>
        <w:tc>
          <w:tcPr>
            <w:tcW w:w="7229" w:type="dxa"/>
            <w:tcBorders>
              <w:top w:val="single" w:sz="4" w:space="0" w:color="auto"/>
              <w:left w:val="single" w:sz="4" w:space="0" w:color="auto"/>
              <w:bottom w:val="single" w:sz="4" w:space="0" w:color="auto"/>
              <w:right w:val="single" w:sz="4" w:space="0" w:color="auto"/>
            </w:tcBorders>
            <w:vAlign w:val="center"/>
          </w:tcPr>
          <w:p w:rsidR="00FC33EC" w:rsidRPr="007F0EE3" w:rsidRDefault="00FC33EC" w:rsidP="00274F6B">
            <w:pPr>
              <w:pStyle w:val="Textodebloque"/>
              <w:spacing w:line="240" w:lineRule="auto"/>
              <w:ind w:left="0"/>
              <w:rPr>
                <w:b w:val="0"/>
                <w:bCs w:val="0"/>
                <w:sz w:val="20"/>
                <w:szCs w:val="20"/>
              </w:rPr>
            </w:pPr>
            <w:r w:rsidRPr="007F0EE3">
              <w:rPr>
                <w:b w:val="0"/>
                <w:bCs w:val="0"/>
                <w:sz w:val="20"/>
                <w:szCs w:val="20"/>
              </w:rPr>
              <w:t>La presentación de un caso obliga a un análisis de causas.</w:t>
            </w:r>
          </w:p>
        </w:tc>
      </w:tr>
      <w:tr w:rsidR="00FC33EC" w:rsidRPr="000830E7" w:rsidTr="00274F6B">
        <w:trPr>
          <w:trHeight w:val="703"/>
        </w:trPr>
        <w:tc>
          <w:tcPr>
            <w:tcW w:w="1418" w:type="dxa"/>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 xml:space="preserve">Tipo de indicador </w:t>
            </w:r>
          </w:p>
        </w:tc>
        <w:tc>
          <w:tcPr>
            <w:tcW w:w="7229" w:type="dxa"/>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rPr>
            </w:pPr>
            <w:r>
              <w:rPr>
                <w:sz w:val="20"/>
                <w:szCs w:val="20"/>
              </w:rPr>
              <w:t>Resultado</w:t>
            </w:r>
          </w:p>
        </w:tc>
      </w:tr>
      <w:tr w:rsidR="00FC33EC" w:rsidRPr="000830E7" w:rsidTr="00274F6B">
        <w:trPr>
          <w:trHeight w:val="799"/>
        </w:trPr>
        <w:tc>
          <w:tcPr>
            <w:tcW w:w="1418" w:type="dxa"/>
            <w:tcBorders>
              <w:top w:val="single" w:sz="4" w:space="0" w:color="auto"/>
              <w:left w:val="single" w:sz="4" w:space="0" w:color="auto"/>
              <w:bottom w:val="single" w:sz="4" w:space="0" w:color="auto"/>
              <w:right w:val="single" w:sz="4" w:space="0" w:color="auto"/>
            </w:tcBorders>
            <w:vAlign w:val="center"/>
          </w:tcPr>
          <w:p w:rsidR="00FC33EC" w:rsidRPr="00EC554D" w:rsidRDefault="00FC33EC" w:rsidP="00274F6B">
            <w:pPr>
              <w:rPr>
                <w:sz w:val="20"/>
                <w:szCs w:val="20"/>
              </w:rPr>
            </w:pPr>
            <w:r w:rsidRPr="00EC554D">
              <w:rPr>
                <w:sz w:val="20"/>
                <w:szCs w:val="20"/>
              </w:rPr>
              <w:t>J</w:t>
            </w:r>
            <w:r w:rsidRPr="001069D8">
              <w:rPr>
                <w:b/>
                <w:sz w:val="20"/>
                <w:szCs w:val="20"/>
              </w:rPr>
              <w:t>ustificación</w:t>
            </w:r>
          </w:p>
        </w:tc>
        <w:tc>
          <w:tcPr>
            <w:tcW w:w="7229" w:type="dxa"/>
            <w:tcBorders>
              <w:top w:val="single" w:sz="4" w:space="0" w:color="auto"/>
              <w:left w:val="single" w:sz="4" w:space="0" w:color="auto"/>
              <w:bottom w:val="single" w:sz="4" w:space="0" w:color="auto"/>
              <w:right w:val="single" w:sz="4" w:space="0" w:color="auto"/>
            </w:tcBorders>
            <w:vAlign w:val="center"/>
          </w:tcPr>
          <w:p w:rsidR="00FC33EC" w:rsidRPr="00EC554D" w:rsidRDefault="00FC33EC" w:rsidP="00FC33EC">
            <w:pPr>
              <w:pStyle w:val="Textodebloque"/>
              <w:numPr>
                <w:ilvl w:val="0"/>
                <w:numId w:val="15"/>
              </w:numPr>
              <w:spacing w:line="240" w:lineRule="auto"/>
              <w:rPr>
                <w:b w:val="0"/>
                <w:bCs w:val="0"/>
                <w:color w:val="000000"/>
                <w:sz w:val="20"/>
                <w:szCs w:val="20"/>
              </w:rPr>
            </w:pPr>
            <w:r>
              <w:rPr>
                <w:b w:val="0"/>
                <w:bCs w:val="0"/>
                <w:color w:val="000000"/>
                <w:sz w:val="20"/>
                <w:szCs w:val="20"/>
              </w:rPr>
              <w:t>Los indicadores</w:t>
            </w:r>
            <w:r w:rsidRPr="00EC554D">
              <w:rPr>
                <w:b w:val="0"/>
                <w:bCs w:val="0"/>
                <w:color w:val="000000"/>
                <w:sz w:val="20"/>
                <w:szCs w:val="20"/>
              </w:rPr>
              <w:t xml:space="preserve"> centinelas miden la aparición de sucesos infrecuentes, de manifiesta gravedad, con un marcado componente de </w:t>
            </w:r>
            <w:proofErr w:type="spellStart"/>
            <w:r w:rsidRPr="00EC554D">
              <w:rPr>
                <w:b w:val="0"/>
                <w:bCs w:val="0"/>
                <w:color w:val="000000"/>
                <w:sz w:val="20"/>
                <w:szCs w:val="20"/>
              </w:rPr>
              <w:t>evitabilidad</w:t>
            </w:r>
            <w:proofErr w:type="spellEnd"/>
            <w:r w:rsidRPr="00EC554D">
              <w:rPr>
                <w:b w:val="0"/>
                <w:bCs w:val="0"/>
                <w:color w:val="000000"/>
                <w:sz w:val="20"/>
                <w:szCs w:val="20"/>
              </w:rPr>
              <w:t>, y qu</w:t>
            </w:r>
            <w:r>
              <w:rPr>
                <w:b w:val="0"/>
                <w:bCs w:val="0"/>
                <w:color w:val="000000"/>
                <w:sz w:val="20"/>
                <w:szCs w:val="20"/>
              </w:rPr>
              <w:t>e requieren</w:t>
            </w:r>
            <w:r w:rsidRPr="00EC554D">
              <w:rPr>
                <w:b w:val="0"/>
                <w:bCs w:val="0"/>
                <w:color w:val="000000"/>
                <w:sz w:val="20"/>
                <w:szCs w:val="20"/>
              </w:rPr>
              <w:t xml:space="preserve"> una </w:t>
            </w:r>
            <w:r w:rsidRPr="00EC554D">
              <w:rPr>
                <w:rStyle w:val="Textoennegrita"/>
                <w:color w:val="000000"/>
                <w:sz w:val="20"/>
                <w:szCs w:val="20"/>
              </w:rPr>
              <w:t>investigación puntual</w:t>
            </w:r>
            <w:r w:rsidRPr="00EC554D">
              <w:rPr>
                <w:b w:val="0"/>
                <w:bCs w:val="0"/>
                <w:color w:val="000000"/>
                <w:sz w:val="20"/>
                <w:szCs w:val="20"/>
              </w:rPr>
              <w:t xml:space="preserve"> de cada caso que aparezca</w:t>
            </w:r>
            <w:proofErr w:type="gramStart"/>
            <w:r w:rsidRPr="00EC554D">
              <w:rPr>
                <w:b w:val="0"/>
                <w:bCs w:val="0"/>
                <w:color w:val="000000"/>
                <w:sz w:val="20"/>
                <w:szCs w:val="20"/>
              </w:rPr>
              <w:t>..</w:t>
            </w:r>
            <w:proofErr w:type="gramEnd"/>
          </w:p>
          <w:p w:rsidR="00FC33EC" w:rsidRPr="00EC554D" w:rsidRDefault="00FC33EC" w:rsidP="00FC33EC">
            <w:pPr>
              <w:pStyle w:val="Textodebloque"/>
              <w:numPr>
                <w:ilvl w:val="0"/>
                <w:numId w:val="15"/>
              </w:numPr>
              <w:spacing w:line="240" w:lineRule="auto"/>
              <w:rPr>
                <w:b w:val="0"/>
                <w:bCs w:val="0"/>
                <w:sz w:val="20"/>
                <w:szCs w:val="20"/>
              </w:rPr>
            </w:pPr>
            <w:r w:rsidRPr="00EC554D">
              <w:rPr>
                <w:b w:val="0"/>
                <w:bCs w:val="0"/>
                <w:color w:val="000000"/>
                <w:sz w:val="20"/>
                <w:szCs w:val="20"/>
              </w:rPr>
              <w:t xml:space="preserve">El término </w:t>
            </w:r>
            <w:r w:rsidRPr="00EC554D">
              <w:rPr>
                <w:rStyle w:val="nfasis"/>
                <w:b w:val="0"/>
                <w:bCs w:val="0"/>
                <w:color w:val="000000"/>
                <w:sz w:val="20"/>
                <w:szCs w:val="20"/>
              </w:rPr>
              <w:t>centinela</w:t>
            </w:r>
            <w:r w:rsidRPr="00EC554D">
              <w:rPr>
                <w:b w:val="0"/>
                <w:bCs w:val="0"/>
                <w:color w:val="000000"/>
                <w:sz w:val="20"/>
                <w:szCs w:val="20"/>
              </w:rPr>
              <w:t xml:space="preserve"> refleja la relevancia del accidente, tanto por su gravedad, como por su presunta </w:t>
            </w:r>
            <w:proofErr w:type="spellStart"/>
            <w:r w:rsidRPr="00EC554D">
              <w:rPr>
                <w:b w:val="0"/>
                <w:bCs w:val="0"/>
                <w:color w:val="000000"/>
                <w:sz w:val="20"/>
                <w:szCs w:val="20"/>
              </w:rPr>
              <w:t>evitabilidad</w:t>
            </w:r>
            <w:proofErr w:type="spellEnd"/>
            <w:r w:rsidRPr="00EC554D">
              <w:rPr>
                <w:b w:val="0"/>
                <w:bCs w:val="0"/>
                <w:color w:val="000000"/>
                <w:sz w:val="20"/>
                <w:szCs w:val="20"/>
              </w:rPr>
              <w:t xml:space="preserve"> y por la necesidad de realizar inmediatamente un análisis cuidadoso para valorar cuales han sido los factores condicionantes que han facilitado su aparición y establecer los cambios precisos para que no vuelva a ocurrir. El método de análisis recomendado es el análisis de causas raíz.</w:t>
            </w:r>
          </w:p>
        </w:tc>
      </w:tr>
      <w:tr w:rsidR="00FC33EC" w:rsidRPr="000830E7" w:rsidTr="00274F6B">
        <w:trPr>
          <w:trHeight w:val="458"/>
        </w:trPr>
        <w:tc>
          <w:tcPr>
            <w:tcW w:w="1418" w:type="dxa"/>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ind w:right="-70"/>
              <w:rPr>
                <w:b/>
                <w:bCs/>
                <w:sz w:val="20"/>
                <w:szCs w:val="20"/>
              </w:rPr>
            </w:pPr>
            <w:r w:rsidRPr="000830E7">
              <w:rPr>
                <w:b/>
                <w:bCs/>
                <w:sz w:val="20"/>
                <w:szCs w:val="20"/>
              </w:rPr>
              <w:t>Origen del indicador</w:t>
            </w:r>
          </w:p>
        </w:tc>
        <w:tc>
          <w:tcPr>
            <w:tcW w:w="7229" w:type="dxa"/>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ind w:right="-70"/>
              <w:rPr>
                <w:sz w:val="20"/>
                <w:szCs w:val="20"/>
                <w:lang w:val="fr-FR"/>
              </w:rPr>
            </w:pPr>
            <w:proofErr w:type="spellStart"/>
            <w:r>
              <w:rPr>
                <w:sz w:val="20"/>
                <w:szCs w:val="20"/>
                <w:lang w:val="fr-FR"/>
              </w:rPr>
              <w:t>Elaboración</w:t>
            </w:r>
            <w:proofErr w:type="spellEnd"/>
            <w:r>
              <w:rPr>
                <w:sz w:val="20"/>
                <w:szCs w:val="20"/>
                <w:lang w:val="fr-FR"/>
              </w:rPr>
              <w:t xml:space="preserve"> </w:t>
            </w:r>
            <w:proofErr w:type="spellStart"/>
            <w:r>
              <w:rPr>
                <w:sz w:val="20"/>
                <w:szCs w:val="20"/>
                <w:lang w:val="fr-FR"/>
              </w:rPr>
              <w:t>propia</w:t>
            </w:r>
            <w:proofErr w:type="spellEnd"/>
          </w:p>
        </w:tc>
      </w:tr>
      <w:tr w:rsidR="00FC33EC" w:rsidRPr="0037429E" w:rsidTr="00274F6B">
        <w:trPr>
          <w:trHeight w:val="1639"/>
        </w:trPr>
        <w:tc>
          <w:tcPr>
            <w:tcW w:w="1418" w:type="dxa"/>
            <w:tcBorders>
              <w:top w:val="single" w:sz="4" w:space="0" w:color="auto"/>
              <w:left w:val="single" w:sz="4" w:space="0" w:color="auto"/>
              <w:bottom w:val="single" w:sz="4" w:space="0" w:color="auto"/>
              <w:right w:val="single" w:sz="4" w:space="0" w:color="auto"/>
            </w:tcBorders>
            <w:vAlign w:val="center"/>
          </w:tcPr>
          <w:p w:rsidR="00FC33EC" w:rsidRPr="00EC554D" w:rsidRDefault="00FC33EC" w:rsidP="00274F6B">
            <w:pPr>
              <w:ind w:right="-70"/>
              <w:rPr>
                <w:b/>
                <w:bCs/>
                <w:sz w:val="20"/>
                <w:szCs w:val="20"/>
              </w:rPr>
            </w:pPr>
            <w:r w:rsidRPr="00EC554D">
              <w:rPr>
                <w:b/>
                <w:bCs/>
                <w:sz w:val="20"/>
                <w:szCs w:val="20"/>
              </w:rPr>
              <w:t>Referencias bibliográficas</w:t>
            </w:r>
          </w:p>
        </w:tc>
        <w:tc>
          <w:tcPr>
            <w:tcW w:w="7229" w:type="dxa"/>
            <w:tcBorders>
              <w:top w:val="single" w:sz="4" w:space="0" w:color="auto"/>
              <w:left w:val="single" w:sz="4" w:space="0" w:color="auto"/>
              <w:bottom w:val="single" w:sz="4" w:space="0" w:color="auto"/>
              <w:right w:val="single" w:sz="4" w:space="0" w:color="auto"/>
            </w:tcBorders>
            <w:vAlign w:val="center"/>
          </w:tcPr>
          <w:tbl>
            <w:tblPr>
              <w:tblW w:w="7200" w:type="dxa"/>
              <w:jc w:val="center"/>
              <w:tblCellSpacing w:w="0" w:type="dxa"/>
              <w:tblLayout w:type="fixed"/>
              <w:tblCellMar>
                <w:left w:w="0" w:type="dxa"/>
                <w:right w:w="0" w:type="dxa"/>
              </w:tblCellMar>
              <w:tblLook w:val="0000"/>
            </w:tblPr>
            <w:tblGrid>
              <w:gridCol w:w="7200"/>
            </w:tblGrid>
            <w:tr w:rsidR="00FC33EC" w:rsidTr="00274F6B">
              <w:trPr>
                <w:tblCellSpacing w:w="0" w:type="dxa"/>
                <w:jc w:val="center"/>
              </w:trPr>
              <w:tc>
                <w:tcPr>
                  <w:tcW w:w="7200" w:type="dxa"/>
                  <w:tcBorders>
                    <w:top w:val="nil"/>
                    <w:left w:val="nil"/>
                    <w:bottom w:val="nil"/>
                    <w:right w:val="nil"/>
                  </w:tcBorders>
                  <w:shd w:val="clear" w:color="auto" w:fill="FFFFFF"/>
                </w:tcPr>
                <w:p w:rsidR="00FC33EC" w:rsidRDefault="00FC33EC" w:rsidP="00FC33EC">
                  <w:pPr>
                    <w:pStyle w:val="NormalWeb"/>
                    <w:numPr>
                      <w:ilvl w:val="0"/>
                      <w:numId w:val="14"/>
                    </w:numPr>
                    <w:tabs>
                      <w:tab w:val="clear" w:pos="360"/>
                    </w:tabs>
                    <w:ind w:left="447" w:hanging="1364"/>
                    <w:rPr>
                      <w:rFonts w:eastAsia="Batang"/>
                      <w:sz w:val="20"/>
                      <w:szCs w:val="20"/>
                      <w:vertAlign w:val="superscript"/>
                      <w:lang w:val="en-GB" w:eastAsia="ko-KR"/>
                    </w:rPr>
                  </w:pPr>
                  <w:r w:rsidRPr="00936092">
                    <w:rPr>
                      <w:rFonts w:eastAsia="Batang"/>
                      <w:sz w:val="20"/>
                      <w:lang w:val="en-GB" w:eastAsia="ko-KR"/>
                    </w:rPr>
                    <w:t xml:space="preserve">Guide to Inpatient Quality Indicators: </w:t>
                  </w:r>
                  <w:r w:rsidRPr="00EC554D">
                    <w:rPr>
                      <w:rFonts w:eastAsia="Batang"/>
                      <w:sz w:val="20"/>
                      <w:szCs w:val="20"/>
                      <w:lang w:val="en-GB" w:eastAsia="ko-KR"/>
                    </w:rPr>
                    <w:t xml:space="preserve">Quality of Care in Hospitals- Volume, Mortality, and Utilization. Department of Health and Human Services. Agency for Healthcare Research and Quality, June 2002. Version 3.1 (March 12, 2007), </w:t>
                  </w:r>
                  <w:r w:rsidRPr="00EC554D">
                    <w:rPr>
                      <w:rFonts w:eastAsia="Batang"/>
                      <w:sz w:val="20"/>
                      <w:szCs w:val="20"/>
                      <w:lang w:val="de-DE" w:eastAsia="ko-KR"/>
                    </w:rPr>
                    <w:t xml:space="preserve">pags 52-53. </w:t>
                  </w:r>
                  <w:r w:rsidRPr="00682F0A">
                    <w:rPr>
                      <w:rFonts w:eastAsia="Batang"/>
                      <w:sz w:val="20"/>
                      <w:szCs w:val="20"/>
                      <w:lang w:val="en-GB" w:eastAsia="ko-KR"/>
                    </w:rPr>
                    <w:t>http://www.qualityindicators.ahrq.gov</w:t>
                  </w:r>
                  <w:r w:rsidRPr="00682F0A">
                    <w:rPr>
                      <w:rFonts w:eastAsia="Batang"/>
                      <w:sz w:val="20"/>
                      <w:szCs w:val="20"/>
                      <w:vertAlign w:val="superscript"/>
                      <w:lang w:val="en-GB" w:eastAsia="ko-KR"/>
                    </w:rPr>
                    <w:t>1</w:t>
                  </w:r>
                  <w:bookmarkStart w:id="0" w:name="cita3"/>
                  <w:bookmarkEnd w:id="0"/>
                  <w:r>
                    <w:rPr>
                      <w:rFonts w:eastAsia="Batang"/>
                      <w:sz w:val="20"/>
                      <w:szCs w:val="20"/>
                      <w:vertAlign w:val="superscript"/>
                      <w:lang w:val="en-GB" w:eastAsia="ko-KR"/>
                    </w:rPr>
                    <w:t>6</w:t>
                  </w:r>
                  <w:r w:rsidR="008A1121">
                    <w:rPr>
                      <w:rFonts w:eastAsia="Batang"/>
                      <w:sz w:val="20"/>
                      <w:szCs w:val="20"/>
                      <w:vertAlign w:val="superscript"/>
                      <w:lang w:val="en-GB" w:eastAsia="ko-KR"/>
                    </w:rPr>
                    <w:t>4</w:t>
                  </w:r>
                </w:p>
                <w:p w:rsidR="00FC33EC" w:rsidRPr="00EC554D" w:rsidRDefault="00FC33EC" w:rsidP="00FC33EC">
                  <w:pPr>
                    <w:pStyle w:val="NormalWeb"/>
                    <w:numPr>
                      <w:ilvl w:val="0"/>
                      <w:numId w:val="14"/>
                    </w:numPr>
                    <w:tabs>
                      <w:tab w:val="clear" w:pos="360"/>
                    </w:tabs>
                    <w:ind w:left="447" w:hanging="1364"/>
                    <w:rPr>
                      <w:rFonts w:eastAsia="Batang"/>
                      <w:sz w:val="20"/>
                      <w:szCs w:val="20"/>
                      <w:vertAlign w:val="superscript"/>
                      <w:lang w:val="en-GB" w:eastAsia="ko-KR"/>
                    </w:rPr>
                  </w:pPr>
                </w:p>
                <w:p w:rsidR="00FC33EC" w:rsidRPr="00EC554D" w:rsidRDefault="00FC33EC" w:rsidP="008A1121">
                  <w:pPr>
                    <w:pStyle w:val="NormalWeb"/>
                    <w:numPr>
                      <w:ilvl w:val="0"/>
                      <w:numId w:val="14"/>
                    </w:numPr>
                    <w:tabs>
                      <w:tab w:val="clear" w:pos="360"/>
                    </w:tabs>
                    <w:ind w:left="447" w:right="-70" w:hanging="447"/>
                    <w:rPr>
                      <w:color w:val="000000"/>
                      <w:sz w:val="20"/>
                      <w:szCs w:val="20"/>
                    </w:rPr>
                  </w:pPr>
                  <w:r w:rsidRPr="00EC554D">
                    <w:rPr>
                      <w:color w:val="000000"/>
                      <w:sz w:val="20"/>
                      <w:szCs w:val="20"/>
                      <w:lang w:val="en-GB"/>
                    </w:rPr>
                    <w:t xml:space="preserve">Joint </w:t>
                  </w:r>
                  <w:proofErr w:type="spellStart"/>
                  <w:r w:rsidRPr="00EC554D">
                    <w:rPr>
                      <w:color w:val="000000"/>
                      <w:sz w:val="20"/>
                      <w:szCs w:val="20"/>
                      <w:lang w:val="en-GB"/>
                    </w:rPr>
                    <w:t>Commision</w:t>
                  </w:r>
                  <w:proofErr w:type="spellEnd"/>
                  <w:r w:rsidRPr="00EC554D">
                    <w:rPr>
                      <w:color w:val="000000"/>
                      <w:sz w:val="20"/>
                      <w:szCs w:val="20"/>
                      <w:lang w:val="en-GB"/>
                    </w:rPr>
                    <w:t xml:space="preserve"> on Accreditation on Health Care Organizations. </w:t>
                  </w:r>
                  <w:r w:rsidRPr="00EC554D">
                    <w:rPr>
                      <w:color w:val="000000"/>
                      <w:sz w:val="20"/>
                      <w:szCs w:val="20"/>
                    </w:rPr>
                    <w:t xml:space="preserve">(Acceso </w:t>
                  </w:r>
                  <w:r>
                    <w:rPr>
                      <w:color w:val="000000"/>
                      <w:sz w:val="20"/>
                      <w:szCs w:val="20"/>
                    </w:rPr>
                    <w:t xml:space="preserve">2 </w:t>
                  </w:r>
                  <w:r w:rsidRPr="00EC554D">
                    <w:rPr>
                      <w:color w:val="000000"/>
                      <w:sz w:val="20"/>
                      <w:szCs w:val="20"/>
                    </w:rPr>
                    <w:t xml:space="preserve">de </w:t>
                  </w:r>
                  <w:r>
                    <w:rPr>
                      <w:color w:val="000000"/>
                      <w:sz w:val="20"/>
                      <w:szCs w:val="20"/>
                    </w:rPr>
                    <w:t>octubre</w:t>
                  </w:r>
                  <w:r w:rsidRPr="00EC554D">
                    <w:rPr>
                      <w:color w:val="000000"/>
                      <w:sz w:val="20"/>
                      <w:szCs w:val="20"/>
                    </w:rPr>
                    <w:t xml:space="preserve"> de 20</w:t>
                  </w:r>
                  <w:r>
                    <w:rPr>
                      <w:color w:val="000000"/>
                      <w:sz w:val="20"/>
                      <w:szCs w:val="20"/>
                    </w:rPr>
                    <w:t>13</w:t>
                  </w:r>
                  <w:r w:rsidRPr="00EC554D">
                    <w:rPr>
                      <w:color w:val="000000"/>
                      <w:sz w:val="20"/>
                      <w:szCs w:val="20"/>
                    </w:rPr>
                    <w:t xml:space="preserve">).Disponible en </w:t>
                  </w:r>
                  <w:hyperlink r:id="rId9" w:tgtFrame="_blank" w:history="1">
                    <w:r w:rsidRPr="00EC554D">
                      <w:rPr>
                        <w:rStyle w:val="Hipervnculo"/>
                        <w:sz w:val="20"/>
                        <w:szCs w:val="20"/>
                      </w:rPr>
                      <w:t>http://www.jointcommission.org/SentinelEvents/</w:t>
                    </w:r>
                  </w:hyperlink>
                  <w:r>
                    <w:rPr>
                      <w:color w:val="000000"/>
                      <w:sz w:val="20"/>
                      <w:szCs w:val="20"/>
                      <w:vertAlign w:val="superscript"/>
                    </w:rPr>
                    <w:t>16</w:t>
                  </w:r>
                  <w:r w:rsidR="008A1121">
                    <w:rPr>
                      <w:color w:val="000000"/>
                      <w:sz w:val="20"/>
                      <w:szCs w:val="20"/>
                      <w:vertAlign w:val="superscript"/>
                    </w:rPr>
                    <w:t>5</w:t>
                  </w:r>
                </w:p>
              </w:tc>
            </w:tr>
            <w:tr w:rsidR="00FC33EC" w:rsidTr="00274F6B">
              <w:trPr>
                <w:tblCellSpacing w:w="0" w:type="dxa"/>
                <w:jc w:val="center"/>
              </w:trPr>
              <w:tc>
                <w:tcPr>
                  <w:tcW w:w="7200" w:type="dxa"/>
                  <w:tcBorders>
                    <w:top w:val="nil"/>
                    <w:left w:val="nil"/>
                    <w:bottom w:val="nil"/>
                    <w:right w:val="nil"/>
                  </w:tcBorders>
                  <w:shd w:val="clear" w:color="auto" w:fill="FFFFFF"/>
                </w:tcPr>
                <w:p w:rsidR="00FC33EC" w:rsidRPr="00EC554D" w:rsidRDefault="00FC33EC" w:rsidP="008A1121">
                  <w:pPr>
                    <w:pStyle w:val="NormalWeb"/>
                    <w:numPr>
                      <w:ilvl w:val="0"/>
                      <w:numId w:val="14"/>
                    </w:numPr>
                    <w:tabs>
                      <w:tab w:val="clear" w:pos="360"/>
                      <w:tab w:val="num" w:pos="447"/>
                    </w:tabs>
                    <w:ind w:right="-70"/>
                    <w:rPr>
                      <w:color w:val="000000"/>
                      <w:sz w:val="20"/>
                      <w:szCs w:val="20"/>
                    </w:rPr>
                  </w:pPr>
                  <w:bookmarkStart w:id="1" w:name="cita4"/>
                  <w:bookmarkEnd w:id="1"/>
                  <w:r>
                    <w:rPr>
                      <w:color w:val="000000"/>
                      <w:sz w:val="20"/>
                      <w:szCs w:val="20"/>
                    </w:rPr>
                    <w:t xml:space="preserve">      </w:t>
                  </w:r>
                  <w:r w:rsidRPr="00EC554D">
                    <w:rPr>
                      <w:color w:val="000000"/>
                      <w:sz w:val="20"/>
                      <w:szCs w:val="20"/>
                    </w:rPr>
                    <w:t xml:space="preserve">AHRQ </w:t>
                  </w:r>
                  <w:proofErr w:type="spellStart"/>
                  <w:r w:rsidRPr="00EC554D">
                    <w:rPr>
                      <w:color w:val="000000"/>
                      <w:sz w:val="20"/>
                      <w:szCs w:val="20"/>
                    </w:rPr>
                    <w:t>Glossary</w:t>
                  </w:r>
                  <w:proofErr w:type="spellEnd"/>
                  <w:r w:rsidRPr="00EC554D">
                    <w:rPr>
                      <w:color w:val="000000"/>
                      <w:sz w:val="20"/>
                      <w:szCs w:val="20"/>
                    </w:rPr>
                    <w:t xml:space="preserve">. (Acceso 2 de </w:t>
                  </w:r>
                  <w:r>
                    <w:rPr>
                      <w:color w:val="000000"/>
                      <w:sz w:val="20"/>
                      <w:szCs w:val="20"/>
                    </w:rPr>
                    <w:t>octubre</w:t>
                  </w:r>
                  <w:r w:rsidRPr="00EC554D">
                    <w:rPr>
                      <w:color w:val="000000"/>
                      <w:sz w:val="20"/>
                      <w:szCs w:val="20"/>
                    </w:rPr>
                    <w:t xml:space="preserve"> de 20</w:t>
                  </w:r>
                  <w:r>
                    <w:rPr>
                      <w:color w:val="000000"/>
                      <w:sz w:val="20"/>
                      <w:szCs w:val="20"/>
                    </w:rPr>
                    <w:t>13</w:t>
                  </w:r>
                  <w:r w:rsidRPr="00EC554D">
                    <w:rPr>
                      <w:color w:val="000000"/>
                      <w:sz w:val="20"/>
                      <w:szCs w:val="20"/>
                    </w:rPr>
                    <w:t xml:space="preserve">). Disponible en </w:t>
                  </w:r>
                  <w:r>
                    <w:rPr>
                      <w:color w:val="000000"/>
                      <w:sz w:val="20"/>
                      <w:szCs w:val="20"/>
                    </w:rPr>
                    <w:t xml:space="preserve">                                  </w:t>
                  </w:r>
                  <w:hyperlink r:id="rId10" w:tgtFrame="_blank" w:history="1">
                    <w:r w:rsidRPr="00EC554D">
                      <w:rPr>
                        <w:rStyle w:val="Hipervnculo"/>
                        <w:sz w:val="20"/>
                        <w:szCs w:val="20"/>
                      </w:rPr>
                      <w:t>http://psnet.ahrq.gov/glossary.aspx</w:t>
                    </w:r>
                  </w:hyperlink>
                  <w:r w:rsidRPr="00EC554D">
                    <w:rPr>
                      <w:color w:val="000000"/>
                      <w:sz w:val="20"/>
                      <w:szCs w:val="20"/>
                    </w:rPr>
                    <w:t xml:space="preserve"> </w:t>
                  </w:r>
                  <w:r>
                    <w:rPr>
                      <w:color w:val="000000"/>
                      <w:sz w:val="20"/>
                      <w:szCs w:val="20"/>
                      <w:vertAlign w:val="superscript"/>
                    </w:rPr>
                    <w:t>16</w:t>
                  </w:r>
                  <w:r w:rsidR="008A1121">
                    <w:rPr>
                      <w:color w:val="000000"/>
                      <w:sz w:val="20"/>
                      <w:szCs w:val="20"/>
                      <w:vertAlign w:val="superscript"/>
                    </w:rPr>
                    <w:t>6</w:t>
                  </w:r>
                </w:p>
              </w:tc>
            </w:tr>
            <w:tr w:rsidR="00FC33EC" w:rsidTr="00274F6B">
              <w:trPr>
                <w:trHeight w:val="80"/>
                <w:tblCellSpacing w:w="0" w:type="dxa"/>
                <w:jc w:val="center"/>
              </w:trPr>
              <w:tc>
                <w:tcPr>
                  <w:tcW w:w="7200" w:type="dxa"/>
                  <w:tcBorders>
                    <w:top w:val="nil"/>
                    <w:left w:val="nil"/>
                    <w:bottom w:val="nil"/>
                    <w:right w:val="nil"/>
                  </w:tcBorders>
                  <w:shd w:val="clear" w:color="auto" w:fill="FFFFFF"/>
                </w:tcPr>
                <w:p w:rsidR="00FC33EC" w:rsidRPr="00EC554D" w:rsidRDefault="00FC33EC" w:rsidP="00274F6B">
                  <w:pPr>
                    <w:pStyle w:val="NormalWeb"/>
                    <w:ind w:left="360" w:right="-70"/>
                    <w:rPr>
                      <w:color w:val="000000"/>
                      <w:sz w:val="20"/>
                      <w:szCs w:val="20"/>
                    </w:rPr>
                  </w:pPr>
                </w:p>
              </w:tc>
            </w:tr>
          </w:tbl>
          <w:p w:rsidR="00FC33EC" w:rsidRPr="00EC554D" w:rsidRDefault="00FC33EC" w:rsidP="00274F6B">
            <w:pPr>
              <w:ind w:right="-70"/>
              <w:jc w:val="both"/>
              <w:rPr>
                <w:sz w:val="20"/>
                <w:szCs w:val="20"/>
              </w:rPr>
            </w:pPr>
          </w:p>
        </w:tc>
      </w:tr>
    </w:tbl>
    <w:p w:rsidR="00FC33EC" w:rsidRPr="00EC554D" w:rsidRDefault="00FC33EC" w:rsidP="00FC33EC">
      <w:pPr>
        <w:pStyle w:val="Textodebloque"/>
        <w:spacing w:line="240" w:lineRule="auto"/>
        <w:ind w:left="360"/>
        <w:rPr>
          <w:b w:val="0"/>
          <w:bCs w:val="0"/>
          <w:sz w:val="24"/>
          <w:szCs w:val="24"/>
        </w:rPr>
      </w:pPr>
    </w:p>
    <w:p w:rsidR="00FC33EC" w:rsidRPr="00EC554D" w:rsidRDefault="00FC33EC" w:rsidP="00FC33EC">
      <w:pPr>
        <w:pStyle w:val="Textodebloque"/>
        <w:spacing w:line="240" w:lineRule="auto"/>
        <w:ind w:left="708"/>
        <w:rPr>
          <w:b w:val="0"/>
          <w:bCs w:val="0"/>
          <w:sz w:val="24"/>
          <w:szCs w:val="24"/>
        </w:rPr>
      </w:pPr>
    </w:p>
    <w:p w:rsidR="00FC33EC" w:rsidRPr="00EC554D" w:rsidRDefault="00FC33EC" w:rsidP="00FC33EC">
      <w:pPr>
        <w:pStyle w:val="Textodebloque"/>
        <w:spacing w:line="240" w:lineRule="auto"/>
        <w:ind w:left="708"/>
        <w:rPr>
          <w:b w:val="0"/>
          <w:bCs w:val="0"/>
          <w:sz w:val="24"/>
          <w:szCs w:val="24"/>
        </w:rPr>
      </w:pPr>
    </w:p>
    <w:p w:rsidR="00FC33EC" w:rsidRDefault="00FC33EC" w:rsidP="00FC33EC">
      <w:pPr>
        <w:pStyle w:val="Textodebloque"/>
        <w:spacing w:line="240" w:lineRule="auto"/>
        <w:ind w:left="360"/>
        <w:rPr>
          <w:b w:val="0"/>
          <w:bCs w:val="0"/>
          <w:sz w:val="24"/>
          <w:szCs w:val="24"/>
        </w:rPr>
      </w:pPr>
    </w:p>
    <w:tbl>
      <w:tblPr>
        <w:tblW w:w="500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01"/>
        <w:gridCol w:w="5946"/>
      </w:tblGrid>
      <w:tr w:rsidR="00FC33EC" w:rsidRPr="000830E7" w:rsidTr="00274F6B">
        <w:trPr>
          <w:trHeight w:val="69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Pr>
                <w:b/>
                <w:bCs/>
                <w:sz w:val="20"/>
                <w:szCs w:val="20"/>
              </w:rPr>
              <w:t>Reingresos urgentes</w:t>
            </w:r>
          </w:p>
        </w:tc>
      </w:tr>
      <w:tr w:rsidR="00FC33EC" w:rsidRPr="000830E7" w:rsidTr="00274F6B">
        <w:trPr>
          <w:trHeight w:val="52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lastRenderedPageBreak/>
              <w:t>Fórmula</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rPr>
            </w:pPr>
            <w:r>
              <w:rPr>
                <w:sz w:val="20"/>
                <w:szCs w:val="20"/>
              </w:rPr>
              <w:t>Pacientes sometidos a tiroidectomía que reingresan por urgencias en los primeros 30 días tras el alta hospitalaria x 100 / pacientes sometidos a tiroidectomía.</w:t>
            </w:r>
          </w:p>
        </w:tc>
      </w:tr>
      <w:tr w:rsidR="00FC33EC" w:rsidRPr="000830E7" w:rsidTr="00274F6B">
        <w:trPr>
          <w:trHeight w:val="447"/>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after="120"/>
              <w:rPr>
                <w:b/>
                <w:bCs/>
                <w:sz w:val="20"/>
                <w:szCs w:val="20"/>
              </w:rPr>
            </w:pPr>
            <w:r w:rsidRPr="000830E7">
              <w:rPr>
                <w:b/>
                <w:bCs/>
                <w:sz w:val="20"/>
                <w:szCs w:val="20"/>
              </w:rPr>
              <w:t>Exclusiones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rPr>
            </w:pPr>
            <w:r>
              <w:rPr>
                <w:sz w:val="20"/>
                <w:szCs w:val="20"/>
              </w:rPr>
              <w:t>Ninguna</w:t>
            </w:r>
          </w:p>
        </w:tc>
      </w:tr>
      <w:tr w:rsidR="00FC33EC" w:rsidRPr="000830E7" w:rsidTr="00274F6B">
        <w:trPr>
          <w:trHeight w:val="822"/>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Aclaraciones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3E6F59" w:rsidRDefault="00FC33EC" w:rsidP="00274F6B">
            <w:pPr>
              <w:pStyle w:val="Textodebloque"/>
              <w:spacing w:line="240" w:lineRule="auto"/>
              <w:ind w:left="0"/>
              <w:rPr>
                <w:b w:val="0"/>
                <w:bCs w:val="0"/>
                <w:sz w:val="20"/>
                <w:szCs w:val="20"/>
              </w:rPr>
            </w:pPr>
            <w:r w:rsidRPr="003E6F59">
              <w:rPr>
                <w:b w:val="0"/>
                <w:bCs w:val="0"/>
                <w:sz w:val="20"/>
                <w:szCs w:val="20"/>
              </w:rPr>
              <w:t>Las causas más frecuentes de reingreso son hematoma o infección de herida, tetania y síntomas relacionados con lesión recurrencial (estridor, disfonía, etc.)</w:t>
            </w:r>
          </w:p>
        </w:tc>
      </w:tr>
      <w:tr w:rsidR="00FC33EC" w:rsidRPr="000830E7" w:rsidTr="00274F6B">
        <w:trPr>
          <w:trHeight w:val="407"/>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 xml:space="preserve">Tipo de indicador </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rPr>
            </w:pPr>
            <w:r>
              <w:rPr>
                <w:sz w:val="20"/>
                <w:szCs w:val="20"/>
              </w:rPr>
              <w:t>Resultado</w:t>
            </w:r>
          </w:p>
        </w:tc>
      </w:tr>
      <w:tr w:rsidR="00FC33EC" w:rsidRPr="000830E7" w:rsidTr="00274F6B">
        <w:trPr>
          <w:trHeight w:val="79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sidRPr="000830E7">
              <w:rPr>
                <w:b/>
                <w:bCs/>
                <w:sz w:val="20"/>
                <w:szCs w:val="20"/>
              </w:rPr>
              <w:t>Justificación</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3E6F59" w:rsidRDefault="00FC33EC" w:rsidP="00274F6B">
            <w:pPr>
              <w:pStyle w:val="Textodebloque"/>
              <w:spacing w:line="240" w:lineRule="auto"/>
              <w:ind w:left="0"/>
              <w:rPr>
                <w:b w:val="0"/>
                <w:bCs w:val="0"/>
                <w:sz w:val="24"/>
                <w:szCs w:val="24"/>
              </w:rPr>
            </w:pPr>
            <w:r w:rsidRPr="003E6F59">
              <w:rPr>
                <w:rFonts w:eastAsia="Batang"/>
                <w:b w:val="0"/>
                <w:bCs w:val="0"/>
                <w:sz w:val="20"/>
                <w:szCs w:val="20"/>
                <w:lang w:eastAsia="ko-KR"/>
              </w:rPr>
              <w:t>Este indicador ofrece la posibilidad de detectar pacientes en los que la gravedad o complejidad de su patología ha evolucionado de manera desfavorable desde su primera visita en urgencias. Permite identificar y estudiar los casos para descartar una valoración diagnóstica y/o estrategia terapéutica inadecuada en su primera visita.</w:t>
            </w:r>
          </w:p>
        </w:tc>
      </w:tr>
      <w:tr w:rsidR="00FC33EC" w:rsidRPr="000830E7" w:rsidTr="00274F6B">
        <w:trPr>
          <w:trHeight w:val="955"/>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sidRPr="000830E7">
              <w:rPr>
                <w:b/>
                <w:bCs/>
                <w:sz w:val="20"/>
                <w:szCs w:val="20"/>
              </w:rPr>
              <w:t>Origen del indicador</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9F7059" w:rsidRDefault="00FC33EC" w:rsidP="00274F6B">
            <w:pPr>
              <w:rPr>
                <w:sz w:val="20"/>
                <w:szCs w:val="20"/>
              </w:rPr>
            </w:pPr>
            <w:r>
              <w:rPr>
                <w:sz w:val="20"/>
                <w:szCs w:val="20"/>
              </w:rPr>
              <w:t>Adaptado de la Sociedad Española de Medicina de Urgencias y Emergencias (SEMES)</w:t>
            </w:r>
          </w:p>
        </w:tc>
      </w:tr>
      <w:tr w:rsidR="00FC33EC" w:rsidRPr="009F7059" w:rsidTr="00274F6B">
        <w:trPr>
          <w:trHeight w:val="163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3E6F59" w:rsidRDefault="00FC33EC" w:rsidP="00274F6B">
            <w:pPr>
              <w:rPr>
                <w:b/>
                <w:bCs/>
                <w:sz w:val="20"/>
                <w:szCs w:val="20"/>
              </w:rPr>
            </w:pPr>
            <w:r w:rsidRPr="003E6F59">
              <w:rPr>
                <w:b/>
                <w:bCs/>
                <w:sz w:val="20"/>
                <w:szCs w:val="20"/>
              </w:rPr>
              <w:t>Referencias bibliográficas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9F7059" w:rsidRDefault="00FC33EC" w:rsidP="00FC33EC">
            <w:pPr>
              <w:numPr>
                <w:ilvl w:val="0"/>
                <w:numId w:val="8"/>
              </w:numPr>
              <w:autoSpaceDE w:val="0"/>
              <w:autoSpaceDN w:val="0"/>
              <w:adjustRightInd w:val="0"/>
              <w:jc w:val="both"/>
              <w:rPr>
                <w:rFonts w:eastAsia="Batang"/>
                <w:sz w:val="20"/>
                <w:szCs w:val="20"/>
                <w:lang w:val="pt-BR" w:eastAsia="ko-KR"/>
              </w:rPr>
            </w:pPr>
            <w:r w:rsidRPr="009F7059">
              <w:rPr>
                <w:rFonts w:eastAsia="Batang"/>
                <w:sz w:val="20"/>
                <w:szCs w:val="20"/>
                <w:lang w:eastAsia="ko-KR"/>
              </w:rPr>
              <w:t xml:space="preserve">Roqueta Egea F, Busca </w:t>
            </w:r>
            <w:proofErr w:type="spellStart"/>
            <w:r w:rsidRPr="009F7059">
              <w:rPr>
                <w:rFonts w:eastAsia="Batang"/>
                <w:sz w:val="20"/>
                <w:szCs w:val="20"/>
                <w:lang w:eastAsia="ko-KR"/>
              </w:rPr>
              <w:t>Ostolaza</w:t>
            </w:r>
            <w:proofErr w:type="spellEnd"/>
            <w:r w:rsidRPr="009F7059">
              <w:rPr>
                <w:rFonts w:eastAsia="Batang"/>
                <w:sz w:val="20"/>
                <w:szCs w:val="20"/>
                <w:lang w:eastAsia="ko-KR"/>
              </w:rPr>
              <w:t xml:space="preserve"> P, </w:t>
            </w:r>
            <w:proofErr w:type="spellStart"/>
            <w:r w:rsidRPr="009F7059">
              <w:rPr>
                <w:rFonts w:eastAsia="Batang"/>
                <w:sz w:val="20"/>
                <w:szCs w:val="20"/>
                <w:lang w:eastAsia="ko-KR"/>
              </w:rPr>
              <w:t>Chanovas</w:t>
            </w:r>
            <w:proofErr w:type="spellEnd"/>
            <w:r w:rsidRPr="009F7059">
              <w:rPr>
                <w:rFonts w:eastAsia="Batang"/>
                <w:sz w:val="20"/>
                <w:szCs w:val="20"/>
                <w:lang w:eastAsia="ko-KR"/>
              </w:rPr>
              <w:t xml:space="preserve"> </w:t>
            </w:r>
            <w:proofErr w:type="spellStart"/>
            <w:r w:rsidRPr="009F7059">
              <w:rPr>
                <w:rFonts w:eastAsia="Batang"/>
                <w:sz w:val="20"/>
                <w:szCs w:val="20"/>
                <w:lang w:eastAsia="ko-KR"/>
              </w:rPr>
              <w:t>Borrás</w:t>
            </w:r>
            <w:proofErr w:type="spellEnd"/>
            <w:r w:rsidRPr="009F7059">
              <w:rPr>
                <w:rFonts w:eastAsia="Batang"/>
                <w:sz w:val="20"/>
                <w:szCs w:val="20"/>
                <w:lang w:eastAsia="ko-KR"/>
              </w:rPr>
              <w:t xml:space="preserve"> M, López-Andújar </w:t>
            </w:r>
            <w:proofErr w:type="spellStart"/>
            <w:r w:rsidRPr="009F7059">
              <w:rPr>
                <w:rFonts w:eastAsia="Batang"/>
                <w:sz w:val="20"/>
                <w:szCs w:val="20"/>
                <w:lang w:eastAsia="ko-KR"/>
              </w:rPr>
              <w:t>Aguiriano</w:t>
            </w:r>
            <w:proofErr w:type="spellEnd"/>
            <w:r w:rsidRPr="009F7059">
              <w:rPr>
                <w:rFonts w:eastAsia="Batang"/>
                <w:sz w:val="20"/>
                <w:szCs w:val="20"/>
                <w:lang w:eastAsia="ko-KR"/>
              </w:rPr>
              <w:t xml:space="preserve"> L, Mariné Blanco M, Navarro Juanes</w:t>
            </w:r>
            <w:r>
              <w:rPr>
                <w:rFonts w:eastAsia="Batang"/>
                <w:sz w:val="20"/>
                <w:szCs w:val="20"/>
                <w:lang w:eastAsia="ko-KR"/>
              </w:rPr>
              <w:t xml:space="preserve"> </w:t>
            </w:r>
            <w:r w:rsidRPr="009F7059">
              <w:rPr>
                <w:rFonts w:eastAsia="Batang"/>
                <w:sz w:val="20"/>
                <w:szCs w:val="20"/>
                <w:lang w:eastAsia="ko-KR"/>
              </w:rPr>
              <w:t xml:space="preserve">A, Pavón </w:t>
            </w:r>
            <w:proofErr w:type="spellStart"/>
            <w:r w:rsidRPr="009F7059">
              <w:rPr>
                <w:rFonts w:eastAsia="Batang"/>
                <w:sz w:val="20"/>
                <w:szCs w:val="20"/>
                <w:lang w:eastAsia="ko-KR"/>
              </w:rPr>
              <w:t>Monzo</w:t>
            </w:r>
            <w:proofErr w:type="spellEnd"/>
            <w:r w:rsidRPr="009F7059">
              <w:rPr>
                <w:rFonts w:eastAsia="Batang"/>
                <w:sz w:val="20"/>
                <w:szCs w:val="20"/>
                <w:lang w:eastAsia="ko-KR"/>
              </w:rPr>
              <w:t xml:space="preserve"> JM, </w:t>
            </w:r>
            <w:proofErr w:type="spellStart"/>
            <w:r w:rsidRPr="009F7059">
              <w:rPr>
                <w:rFonts w:eastAsia="Batang"/>
                <w:sz w:val="20"/>
                <w:szCs w:val="20"/>
                <w:lang w:eastAsia="ko-KR"/>
              </w:rPr>
              <w:t>Piñera</w:t>
            </w:r>
            <w:proofErr w:type="spellEnd"/>
            <w:r w:rsidRPr="009F7059">
              <w:rPr>
                <w:rFonts w:eastAsia="Batang"/>
                <w:sz w:val="20"/>
                <w:szCs w:val="20"/>
                <w:lang w:eastAsia="ko-KR"/>
              </w:rPr>
              <w:t xml:space="preserve"> Salmerón P, Tomás Vecina</w:t>
            </w:r>
            <w:r>
              <w:rPr>
                <w:rFonts w:eastAsia="Batang"/>
                <w:sz w:val="20"/>
                <w:szCs w:val="20"/>
                <w:lang w:eastAsia="ko-KR"/>
              </w:rPr>
              <w:t xml:space="preserve"> </w:t>
            </w:r>
            <w:r w:rsidRPr="009F7059">
              <w:rPr>
                <w:rFonts w:eastAsia="Batang"/>
                <w:sz w:val="20"/>
                <w:szCs w:val="20"/>
                <w:lang w:eastAsia="ko-KR"/>
              </w:rPr>
              <w:t>S, Tejedor Fernández M. Manual de Indicadores de calidad</w:t>
            </w:r>
            <w:r>
              <w:rPr>
                <w:rFonts w:eastAsia="Batang"/>
                <w:sz w:val="20"/>
                <w:szCs w:val="20"/>
                <w:lang w:eastAsia="ko-KR"/>
              </w:rPr>
              <w:t xml:space="preserve"> </w:t>
            </w:r>
            <w:r w:rsidRPr="009F7059">
              <w:rPr>
                <w:rFonts w:eastAsia="Batang"/>
                <w:sz w:val="20"/>
                <w:szCs w:val="20"/>
                <w:lang w:eastAsia="ko-KR"/>
              </w:rPr>
              <w:t>para los servicios de urgencias de hospitales. Sociedad</w:t>
            </w:r>
            <w:r>
              <w:rPr>
                <w:rFonts w:eastAsia="Batang"/>
                <w:sz w:val="20"/>
                <w:szCs w:val="20"/>
                <w:lang w:eastAsia="ko-KR"/>
              </w:rPr>
              <w:t xml:space="preserve"> </w:t>
            </w:r>
            <w:r w:rsidRPr="009F7059">
              <w:rPr>
                <w:rFonts w:eastAsia="Batang"/>
                <w:sz w:val="20"/>
                <w:szCs w:val="20"/>
                <w:lang w:eastAsia="ko-KR"/>
              </w:rPr>
              <w:t>Española de Medicina de Urgencias y Emergencias (SEMES).</w:t>
            </w:r>
            <w:r>
              <w:rPr>
                <w:rFonts w:eastAsia="Batang"/>
                <w:sz w:val="20"/>
                <w:szCs w:val="20"/>
                <w:lang w:eastAsia="ko-KR"/>
              </w:rPr>
              <w:t xml:space="preserve"> </w:t>
            </w:r>
            <w:r w:rsidRPr="009F7059">
              <w:rPr>
                <w:rFonts w:eastAsia="Batang"/>
                <w:sz w:val="20"/>
                <w:szCs w:val="20"/>
                <w:lang w:val="pt-BR" w:eastAsia="ko-KR"/>
              </w:rPr>
              <w:t>2009</w:t>
            </w:r>
            <w:r>
              <w:rPr>
                <w:rFonts w:eastAsia="Batang"/>
                <w:sz w:val="20"/>
                <w:szCs w:val="20"/>
                <w:vertAlign w:val="superscript"/>
                <w:lang w:val="pt-BR" w:eastAsia="ko-KR"/>
              </w:rPr>
              <w:t>16</w:t>
            </w:r>
            <w:r w:rsidR="008A1121">
              <w:rPr>
                <w:rFonts w:eastAsia="Batang"/>
                <w:sz w:val="20"/>
                <w:szCs w:val="20"/>
                <w:vertAlign w:val="superscript"/>
                <w:lang w:val="pt-BR" w:eastAsia="ko-KR"/>
              </w:rPr>
              <w:t>7</w:t>
            </w:r>
            <w:r>
              <w:rPr>
                <w:rFonts w:eastAsia="Batang"/>
                <w:sz w:val="20"/>
                <w:szCs w:val="20"/>
                <w:lang w:val="pt-BR" w:eastAsia="ko-KR"/>
              </w:rPr>
              <w:t>.</w:t>
            </w:r>
          </w:p>
          <w:p w:rsidR="00FC33EC" w:rsidRPr="009F7059" w:rsidRDefault="00FC33EC" w:rsidP="008A1121">
            <w:pPr>
              <w:numPr>
                <w:ilvl w:val="0"/>
                <w:numId w:val="8"/>
              </w:numPr>
              <w:jc w:val="both"/>
              <w:rPr>
                <w:sz w:val="20"/>
                <w:szCs w:val="20"/>
                <w:lang w:val="pt-BR"/>
              </w:rPr>
            </w:pPr>
            <w:proofErr w:type="spellStart"/>
            <w:r w:rsidRPr="009F7059">
              <w:rPr>
                <w:rFonts w:eastAsia="Batang"/>
                <w:sz w:val="20"/>
                <w:szCs w:val="20"/>
                <w:lang w:val="pt-BR" w:eastAsia="ko-KR"/>
              </w:rPr>
              <w:t>Felisart</w:t>
            </w:r>
            <w:proofErr w:type="spellEnd"/>
            <w:r w:rsidRPr="009F7059">
              <w:rPr>
                <w:rFonts w:eastAsia="Batang"/>
                <w:sz w:val="20"/>
                <w:szCs w:val="20"/>
                <w:lang w:val="pt-BR" w:eastAsia="ko-KR"/>
              </w:rPr>
              <w:t xml:space="preserve"> J, </w:t>
            </w:r>
            <w:proofErr w:type="spellStart"/>
            <w:r w:rsidRPr="009F7059">
              <w:rPr>
                <w:rFonts w:eastAsia="Batang"/>
                <w:sz w:val="20"/>
                <w:szCs w:val="20"/>
                <w:lang w:val="pt-BR" w:eastAsia="ko-KR"/>
              </w:rPr>
              <w:t>Requena</w:t>
            </w:r>
            <w:proofErr w:type="spellEnd"/>
            <w:r w:rsidRPr="009F7059">
              <w:rPr>
                <w:rFonts w:eastAsia="Batang"/>
                <w:sz w:val="20"/>
                <w:szCs w:val="20"/>
                <w:lang w:val="pt-BR" w:eastAsia="ko-KR"/>
              </w:rPr>
              <w:t xml:space="preserve"> J, </w:t>
            </w:r>
            <w:proofErr w:type="spellStart"/>
            <w:r w:rsidRPr="009F7059">
              <w:rPr>
                <w:rFonts w:eastAsia="Batang"/>
                <w:sz w:val="20"/>
                <w:szCs w:val="20"/>
                <w:lang w:val="pt-BR" w:eastAsia="ko-KR"/>
              </w:rPr>
              <w:t>Roqueta</w:t>
            </w:r>
            <w:proofErr w:type="spellEnd"/>
            <w:r w:rsidRPr="009F7059">
              <w:rPr>
                <w:rFonts w:eastAsia="Batang"/>
                <w:sz w:val="20"/>
                <w:szCs w:val="20"/>
                <w:lang w:val="pt-BR" w:eastAsia="ko-KR"/>
              </w:rPr>
              <w:t xml:space="preserve"> F, </w:t>
            </w:r>
            <w:proofErr w:type="spellStart"/>
            <w:r w:rsidRPr="009F7059">
              <w:rPr>
                <w:rFonts w:eastAsia="Batang"/>
                <w:sz w:val="20"/>
                <w:szCs w:val="20"/>
                <w:lang w:val="pt-BR" w:eastAsia="ko-KR"/>
              </w:rPr>
              <w:t>Saura</w:t>
            </w:r>
            <w:proofErr w:type="spellEnd"/>
            <w:r w:rsidRPr="009F7059">
              <w:rPr>
                <w:rFonts w:eastAsia="Batang"/>
                <w:sz w:val="20"/>
                <w:szCs w:val="20"/>
                <w:lang w:val="pt-BR" w:eastAsia="ko-KR"/>
              </w:rPr>
              <w:t xml:space="preserve"> RM, </w:t>
            </w:r>
            <w:proofErr w:type="spellStart"/>
            <w:r w:rsidRPr="009F7059">
              <w:rPr>
                <w:rFonts w:eastAsia="Batang"/>
                <w:sz w:val="20"/>
                <w:szCs w:val="20"/>
                <w:lang w:val="pt-BR" w:eastAsia="ko-KR"/>
              </w:rPr>
              <w:t>Suñol</w:t>
            </w:r>
            <w:proofErr w:type="spellEnd"/>
            <w:r w:rsidRPr="009F7059">
              <w:rPr>
                <w:rFonts w:eastAsia="Batang"/>
                <w:sz w:val="20"/>
                <w:szCs w:val="20"/>
                <w:lang w:val="pt-BR" w:eastAsia="ko-KR"/>
              </w:rPr>
              <w:t xml:space="preserve"> R, Tomás</w:t>
            </w:r>
            <w:r>
              <w:rPr>
                <w:rFonts w:eastAsia="Batang"/>
                <w:sz w:val="20"/>
                <w:szCs w:val="20"/>
                <w:lang w:val="pt-BR" w:eastAsia="ko-KR"/>
              </w:rPr>
              <w:t xml:space="preserve"> </w:t>
            </w:r>
            <w:r w:rsidRPr="009F7059">
              <w:rPr>
                <w:rFonts w:eastAsia="Batang"/>
                <w:sz w:val="20"/>
                <w:szCs w:val="20"/>
                <w:lang w:val="pt-BR" w:eastAsia="ko-KR"/>
              </w:rPr>
              <w:t xml:space="preserve">S </w:t>
            </w:r>
            <w:proofErr w:type="spellStart"/>
            <w:r w:rsidRPr="009F7059">
              <w:rPr>
                <w:rFonts w:eastAsia="Batang"/>
                <w:sz w:val="20"/>
                <w:szCs w:val="20"/>
                <w:lang w:val="pt-BR" w:eastAsia="ko-KR"/>
              </w:rPr>
              <w:t>Serveis</w:t>
            </w:r>
            <w:proofErr w:type="spellEnd"/>
            <w:r w:rsidRPr="009F7059">
              <w:rPr>
                <w:rFonts w:eastAsia="Batang"/>
                <w:sz w:val="20"/>
                <w:szCs w:val="20"/>
                <w:lang w:val="pt-BR" w:eastAsia="ko-KR"/>
              </w:rPr>
              <w:t xml:space="preserve"> d’</w:t>
            </w:r>
            <w:proofErr w:type="spellStart"/>
            <w:r w:rsidRPr="009F7059">
              <w:rPr>
                <w:rFonts w:eastAsia="Batang"/>
                <w:sz w:val="20"/>
                <w:szCs w:val="20"/>
                <w:lang w:val="pt-BR" w:eastAsia="ko-KR"/>
              </w:rPr>
              <w:t>Urgencies</w:t>
            </w:r>
            <w:proofErr w:type="spellEnd"/>
            <w:r w:rsidRPr="009F7059">
              <w:rPr>
                <w:rFonts w:eastAsia="Batang"/>
                <w:sz w:val="20"/>
                <w:szCs w:val="20"/>
                <w:lang w:val="pt-BR" w:eastAsia="ko-KR"/>
              </w:rPr>
              <w:t xml:space="preserve">: indicador per mesurar </w:t>
            </w:r>
            <w:proofErr w:type="spellStart"/>
            <w:r w:rsidRPr="009F7059">
              <w:rPr>
                <w:rFonts w:eastAsia="Batang"/>
                <w:sz w:val="20"/>
                <w:szCs w:val="20"/>
                <w:lang w:val="pt-BR" w:eastAsia="ko-KR"/>
              </w:rPr>
              <w:t>els</w:t>
            </w:r>
            <w:proofErr w:type="spellEnd"/>
            <w:r w:rsidRPr="009F7059">
              <w:rPr>
                <w:rFonts w:eastAsia="Batang"/>
                <w:sz w:val="20"/>
                <w:szCs w:val="20"/>
                <w:lang w:val="pt-BR" w:eastAsia="ko-KR"/>
              </w:rPr>
              <w:t xml:space="preserve"> </w:t>
            </w:r>
            <w:proofErr w:type="spellStart"/>
            <w:r w:rsidRPr="009F7059">
              <w:rPr>
                <w:rFonts w:eastAsia="Batang"/>
                <w:sz w:val="20"/>
                <w:szCs w:val="20"/>
                <w:lang w:val="pt-BR" w:eastAsia="ko-KR"/>
              </w:rPr>
              <w:t>criteris</w:t>
            </w:r>
            <w:proofErr w:type="spellEnd"/>
            <w:r>
              <w:rPr>
                <w:rFonts w:eastAsia="Batang"/>
                <w:sz w:val="20"/>
                <w:szCs w:val="20"/>
                <w:lang w:val="pt-BR" w:eastAsia="ko-KR"/>
              </w:rPr>
              <w:t xml:space="preserve"> </w:t>
            </w:r>
            <w:r w:rsidRPr="009F7059">
              <w:rPr>
                <w:rFonts w:eastAsia="Batang"/>
                <w:sz w:val="20"/>
                <w:szCs w:val="20"/>
                <w:lang w:val="pt-BR" w:eastAsia="ko-KR"/>
              </w:rPr>
              <w:t xml:space="preserve">de </w:t>
            </w:r>
            <w:proofErr w:type="spellStart"/>
            <w:r w:rsidRPr="009F7059">
              <w:rPr>
                <w:rFonts w:eastAsia="Batang"/>
                <w:sz w:val="20"/>
                <w:szCs w:val="20"/>
                <w:lang w:val="pt-BR" w:eastAsia="ko-KR"/>
              </w:rPr>
              <w:t>qualitat</w:t>
            </w:r>
            <w:proofErr w:type="spellEnd"/>
            <w:r w:rsidRPr="009F7059">
              <w:rPr>
                <w:rFonts w:eastAsia="Batang"/>
                <w:sz w:val="20"/>
                <w:szCs w:val="20"/>
                <w:lang w:val="pt-BR" w:eastAsia="ko-KR"/>
              </w:rPr>
              <w:t xml:space="preserve"> de </w:t>
            </w:r>
            <w:proofErr w:type="spellStart"/>
            <w:r w:rsidRPr="009F7059">
              <w:rPr>
                <w:rFonts w:eastAsia="Batang"/>
                <w:sz w:val="20"/>
                <w:szCs w:val="20"/>
                <w:lang w:val="pt-BR" w:eastAsia="ko-KR"/>
              </w:rPr>
              <w:t>l’antenció</w:t>
            </w:r>
            <w:proofErr w:type="spellEnd"/>
            <w:r w:rsidRPr="009F7059">
              <w:rPr>
                <w:rFonts w:eastAsia="Batang"/>
                <w:sz w:val="20"/>
                <w:szCs w:val="20"/>
                <w:lang w:val="pt-BR" w:eastAsia="ko-KR"/>
              </w:rPr>
              <w:t xml:space="preserve"> </w:t>
            </w:r>
            <w:proofErr w:type="spellStart"/>
            <w:r w:rsidRPr="009F7059">
              <w:rPr>
                <w:rFonts w:eastAsia="Batang"/>
                <w:sz w:val="20"/>
                <w:szCs w:val="20"/>
                <w:lang w:val="pt-BR" w:eastAsia="ko-KR"/>
              </w:rPr>
              <w:t>sanitaria</w:t>
            </w:r>
            <w:proofErr w:type="spellEnd"/>
            <w:r w:rsidRPr="009F7059">
              <w:rPr>
                <w:rFonts w:eastAsia="Batang"/>
                <w:sz w:val="20"/>
                <w:szCs w:val="20"/>
                <w:lang w:val="pt-BR" w:eastAsia="ko-KR"/>
              </w:rPr>
              <w:t xml:space="preserve">. Barcelona; </w:t>
            </w:r>
            <w:proofErr w:type="spellStart"/>
            <w:r w:rsidRPr="009F7059">
              <w:rPr>
                <w:rFonts w:eastAsia="Batang"/>
                <w:sz w:val="20"/>
                <w:szCs w:val="20"/>
                <w:lang w:val="pt-BR" w:eastAsia="ko-KR"/>
              </w:rPr>
              <w:t>Agéncia</w:t>
            </w:r>
            <w:proofErr w:type="spellEnd"/>
            <w:r>
              <w:rPr>
                <w:rFonts w:eastAsia="Batang"/>
                <w:sz w:val="20"/>
                <w:szCs w:val="20"/>
                <w:lang w:val="pt-BR" w:eastAsia="ko-KR"/>
              </w:rPr>
              <w:t xml:space="preserve"> </w:t>
            </w:r>
            <w:r w:rsidRPr="009F7059">
              <w:rPr>
                <w:rFonts w:eastAsia="Batang"/>
                <w:sz w:val="20"/>
                <w:szCs w:val="20"/>
                <w:lang w:val="pt-BR" w:eastAsia="ko-KR"/>
              </w:rPr>
              <w:t>d’</w:t>
            </w:r>
            <w:proofErr w:type="spellStart"/>
            <w:r w:rsidRPr="009F7059">
              <w:rPr>
                <w:rFonts w:eastAsia="Batang"/>
                <w:sz w:val="20"/>
                <w:szCs w:val="20"/>
                <w:lang w:val="pt-BR" w:eastAsia="ko-KR"/>
              </w:rPr>
              <w:t>Avaluació</w:t>
            </w:r>
            <w:proofErr w:type="spellEnd"/>
            <w:r w:rsidRPr="009F7059">
              <w:rPr>
                <w:rFonts w:eastAsia="Batang"/>
                <w:sz w:val="20"/>
                <w:szCs w:val="20"/>
                <w:lang w:val="pt-BR" w:eastAsia="ko-KR"/>
              </w:rPr>
              <w:t xml:space="preserve"> de Tecnologia i Recerca </w:t>
            </w:r>
            <w:proofErr w:type="spellStart"/>
            <w:r w:rsidRPr="009F7059">
              <w:rPr>
                <w:rFonts w:eastAsia="Batang"/>
                <w:sz w:val="20"/>
                <w:szCs w:val="20"/>
                <w:lang w:val="pt-BR" w:eastAsia="ko-KR"/>
              </w:rPr>
              <w:t>Médiques</w:t>
            </w:r>
            <w:proofErr w:type="spellEnd"/>
            <w:r w:rsidRPr="009F7059">
              <w:rPr>
                <w:rFonts w:eastAsia="Batang"/>
                <w:sz w:val="20"/>
                <w:szCs w:val="20"/>
                <w:lang w:val="pt-BR" w:eastAsia="ko-KR"/>
              </w:rPr>
              <w:t xml:space="preserve">. </w:t>
            </w:r>
            <w:proofErr w:type="spellStart"/>
            <w:r w:rsidRPr="009F7059">
              <w:rPr>
                <w:rFonts w:eastAsia="Batang"/>
                <w:sz w:val="20"/>
                <w:szCs w:val="20"/>
                <w:lang w:val="pt-BR" w:eastAsia="ko-KR"/>
              </w:rPr>
              <w:t>Servei</w:t>
            </w:r>
            <w:proofErr w:type="spellEnd"/>
            <w:r w:rsidRPr="009F7059">
              <w:rPr>
                <w:rFonts w:eastAsia="Batang"/>
                <w:sz w:val="20"/>
                <w:szCs w:val="20"/>
                <w:lang w:val="pt-BR" w:eastAsia="ko-KR"/>
              </w:rPr>
              <w:t xml:space="preserve"> </w:t>
            </w:r>
            <w:proofErr w:type="spellStart"/>
            <w:r w:rsidRPr="009F7059">
              <w:rPr>
                <w:rFonts w:eastAsia="Batang"/>
                <w:sz w:val="20"/>
                <w:szCs w:val="20"/>
                <w:lang w:val="pt-BR" w:eastAsia="ko-KR"/>
              </w:rPr>
              <w:t>Catalá</w:t>
            </w:r>
            <w:proofErr w:type="spellEnd"/>
            <w:r w:rsidRPr="009F7059">
              <w:rPr>
                <w:rFonts w:eastAsia="Batang"/>
                <w:sz w:val="20"/>
                <w:szCs w:val="20"/>
                <w:lang w:val="pt-BR" w:eastAsia="ko-KR"/>
              </w:rPr>
              <w:t xml:space="preserve"> de </w:t>
            </w:r>
            <w:proofErr w:type="spellStart"/>
            <w:proofErr w:type="gramStart"/>
            <w:r w:rsidRPr="009F7059">
              <w:rPr>
                <w:rFonts w:eastAsia="Batang"/>
                <w:sz w:val="20"/>
                <w:szCs w:val="20"/>
                <w:lang w:val="pt-BR" w:eastAsia="ko-KR"/>
              </w:rPr>
              <w:t>la</w:t>
            </w:r>
            <w:proofErr w:type="spellEnd"/>
            <w:proofErr w:type="gramEnd"/>
            <w:r w:rsidRPr="009F7059">
              <w:rPr>
                <w:rFonts w:eastAsia="Batang"/>
                <w:sz w:val="20"/>
                <w:szCs w:val="20"/>
                <w:lang w:val="pt-BR" w:eastAsia="ko-KR"/>
              </w:rPr>
              <w:t xml:space="preserve"> </w:t>
            </w:r>
            <w:proofErr w:type="spellStart"/>
            <w:r w:rsidRPr="009F7059">
              <w:rPr>
                <w:rFonts w:eastAsia="Batang"/>
                <w:sz w:val="20"/>
                <w:szCs w:val="20"/>
                <w:lang w:val="pt-BR" w:eastAsia="ko-KR"/>
              </w:rPr>
              <w:t>Salut</w:t>
            </w:r>
            <w:proofErr w:type="spellEnd"/>
            <w:r w:rsidRPr="009F7059">
              <w:rPr>
                <w:rFonts w:eastAsia="Batang"/>
                <w:sz w:val="20"/>
                <w:szCs w:val="20"/>
                <w:lang w:val="pt-BR" w:eastAsia="ko-KR"/>
              </w:rPr>
              <w:t xml:space="preserve">. </w:t>
            </w:r>
            <w:proofErr w:type="spellStart"/>
            <w:r w:rsidRPr="009F7059">
              <w:rPr>
                <w:rFonts w:eastAsia="Batang"/>
                <w:sz w:val="20"/>
                <w:szCs w:val="20"/>
                <w:lang w:val="pt-BR" w:eastAsia="ko-KR"/>
              </w:rPr>
              <w:t>Departament</w:t>
            </w:r>
            <w:proofErr w:type="spellEnd"/>
            <w:r w:rsidRPr="009F7059">
              <w:rPr>
                <w:rFonts w:eastAsia="Batang"/>
                <w:sz w:val="20"/>
                <w:szCs w:val="20"/>
                <w:lang w:val="pt-BR" w:eastAsia="ko-KR"/>
              </w:rPr>
              <w:t xml:space="preserve"> de </w:t>
            </w:r>
            <w:proofErr w:type="spellStart"/>
            <w:r w:rsidRPr="009F7059">
              <w:rPr>
                <w:rFonts w:eastAsia="Batang"/>
                <w:sz w:val="20"/>
                <w:szCs w:val="20"/>
                <w:lang w:val="pt-BR" w:eastAsia="ko-KR"/>
              </w:rPr>
              <w:t>Sanitat</w:t>
            </w:r>
            <w:proofErr w:type="spellEnd"/>
            <w:r w:rsidRPr="009F7059">
              <w:rPr>
                <w:rFonts w:eastAsia="Batang"/>
                <w:sz w:val="20"/>
                <w:szCs w:val="20"/>
                <w:lang w:val="pt-BR" w:eastAsia="ko-KR"/>
              </w:rPr>
              <w:t xml:space="preserve"> i </w:t>
            </w:r>
            <w:proofErr w:type="spellStart"/>
            <w:r w:rsidRPr="009F7059">
              <w:rPr>
                <w:rFonts w:eastAsia="Batang"/>
                <w:sz w:val="20"/>
                <w:szCs w:val="20"/>
                <w:lang w:val="pt-BR" w:eastAsia="ko-KR"/>
              </w:rPr>
              <w:t>Seguretat</w:t>
            </w:r>
            <w:proofErr w:type="spellEnd"/>
            <w:r w:rsidRPr="009F7059">
              <w:rPr>
                <w:rFonts w:eastAsia="Batang"/>
                <w:sz w:val="20"/>
                <w:szCs w:val="20"/>
                <w:lang w:val="pt-BR" w:eastAsia="ko-KR"/>
              </w:rPr>
              <w:t xml:space="preserve"> Social. </w:t>
            </w:r>
            <w:proofErr w:type="spellStart"/>
            <w:r w:rsidRPr="009F7059">
              <w:rPr>
                <w:rFonts w:eastAsia="Batang"/>
                <w:sz w:val="20"/>
                <w:szCs w:val="20"/>
                <w:lang w:val="pt-BR" w:eastAsia="ko-KR"/>
              </w:rPr>
              <w:t>Generalitat</w:t>
            </w:r>
            <w:proofErr w:type="spellEnd"/>
            <w:r w:rsidRPr="009F7059">
              <w:rPr>
                <w:rFonts w:eastAsia="Batang"/>
                <w:sz w:val="20"/>
                <w:szCs w:val="20"/>
                <w:lang w:val="pt-BR" w:eastAsia="ko-KR"/>
              </w:rPr>
              <w:t xml:space="preserve"> de </w:t>
            </w:r>
            <w:proofErr w:type="spellStart"/>
            <w:r w:rsidRPr="009F7059">
              <w:rPr>
                <w:rFonts w:eastAsia="Batang"/>
                <w:sz w:val="20"/>
                <w:szCs w:val="20"/>
                <w:lang w:val="pt-BR" w:eastAsia="ko-KR"/>
              </w:rPr>
              <w:t>Catalunya</w:t>
            </w:r>
            <w:proofErr w:type="spellEnd"/>
            <w:r w:rsidRPr="009F7059">
              <w:rPr>
                <w:rFonts w:eastAsia="Batang"/>
                <w:sz w:val="20"/>
                <w:szCs w:val="20"/>
                <w:lang w:val="pt-BR" w:eastAsia="ko-KR"/>
              </w:rPr>
              <w:t xml:space="preserve">. </w:t>
            </w:r>
            <w:proofErr w:type="spellStart"/>
            <w:r w:rsidRPr="009F7059">
              <w:rPr>
                <w:rFonts w:eastAsia="Batang"/>
                <w:sz w:val="20"/>
                <w:szCs w:val="20"/>
                <w:lang w:val="pt-BR" w:eastAsia="ko-KR"/>
              </w:rPr>
              <w:t>Junio</w:t>
            </w:r>
            <w:proofErr w:type="spellEnd"/>
            <w:r w:rsidRPr="009F7059">
              <w:rPr>
                <w:rFonts w:eastAsia="Batang"/>
                <w:sz w:val="20"/>
                <w:szCs w:val="20"/>
                <w:lang w:val="pt-BR" w:eastAsia="ko-KR"/>
              </w:rPr>
              <w:t xml:space="preserve"> 2011</w:t>
            </w:r>
            <w:r>
              <w:rPr>
                <w:rFonts w:eastAsia="Batang"/>
                <w:sz w:val="20"/>
                <w:szCs w:val="20"/>
                <w:vertAlign w:val="superscript"/>
                <w:lang w:val="pt-BR" w:eastAsia="ko-KR"/>
              </w:rPr>
              <w:t>16</w:t>
            </w:r>
            <w:r w:rsidR="008A1121">
              <w:rPr>
                <w:rFonts w:eastAsia="Batang"/>
                <w:sz w:val="20"/>
                <w:szCs w:val="20"/>
                <w:vertAlign w:val="superscript"/>
                <w:lang w:val="pt-BR" w:eastAsia="ko-KR"/>
              </w:rPr>
              <w:t>8</w:t>
            </w:r>
            <w:r w:rsidRPr="009F7059">
              <w:rPr>
                <w:rFonts w:eastAsia="Batang"/>
                <w:sz w:val="20"/>
                <w:szCs w:val="20"/>
                <w:lang w:val="pt-BR" w:eastAsia="ko-KR"/>
              </w:rPr>
              <w:t>.</w:t>
            </w:r>
          </w:p>
        </w:tc>
      </w:tr>
    </w:tbl>
    <w:p w:rsidR="00FC33EC" w:rsidRPr="009F7059" w:rsidRDefault="00FC33EC" w:rsidP="00FC33EC">
      <w:pPr>
        <w:pStyle w:val="Textodebloque"/>
        <w:spacing w:line="240" w:lineRule="auto"/>
        <w:ind w:left="360"/>
        <w:rPr>
          <w:b w:val="0"/>
          <w:bCs w:val="0"/>
          <w:sz w:val="24"/>
          <w:szCs w:val="24"/>
          <w:lang w:val="pt-BR"/>
        </w:rPr>
      </w:pPr>
    </w:p>
    <w:p w:rsidR="00FC33EC" w:rsidRDefault="00FC33EC" w:rsidP="00FC33EC">
      <w:pPr>
        <w:pStyle w:val="Textodebloque"/>
        <w:spacing w:line="240" w:lineRule="auto"/>
        <w:ind w:left="360"/>
        <w:rPr>
          <w:b w:val="0"/>
          <w:bCs w:val="0"/>
          <w:sz w:val="24"/>
          <w:szCs w:val="24"/>
          <w:lang w:val="pt-BR"/>
        </w:rPr>
      </w:pPr>
    </w:p>
    <w:p w:rsidR="00FC33EC" w:rsidRDefault="00FC33EC" w:rsidP="00FC33EC">
      <w:pPr>
        <w:pStyle w:val="Textodebloque"/>
        <w:spacing w:line="240" w:lineRule="auto"/>
        <w:ind w:left="360"/>
        <w:rPr>
          <w:b w:val="0"/>
          <w:bCs w:val="0"/>
          <w:sz w:val="24"/>
          <w:szCs w:val="24"/>
        </w:rPr>
      </w:pPr>
    </w:p>
    <w:tbl>
      <w:tblPr>
        <w:tblW w:w="500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01"/>
        <w:gridCol w:w="5946"/>
      </w:tblGrid>
      <w:tr w:rsidR="00FC33EC" w:rsidRPr="000830E7" w:rsidTr="00274F6B">
        <w:trPr>
          <w:trHeight w:val="69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Pr>
                <w:b/>
                <w:bCs/>
                <w:sz w:val="20"/>
                <w:szCs w:val="20"/>
              </w:rPr>
              <w:t>Satisfacción global</w:t>
            </w:r>
          </w:p>
        </w:tc>
      </w:tr>
      <w:tr w:rsidR="00FC33EC" w:rsidRPr="000830E7" w:rsidTr="00274F6B">
        <w:trPr>
          <w:trHeight w:val="52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Fórmula</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3E6F59" w:rsidRDefault="00FC33EC" w:rsidP="00274F6B">
            <w:pPr>
              <w:rPr>
                <w:sz w:val="20"/>
                <w:szCs w:val="20"/>
              </w:rPr>
            </w:pPr>
            <w:r w:rsidRPr="003E6F59">
              <w:rPr>
                <w:sz w:val="20"/>
                <w:szCs w:val="20"/>
              </w:rPr>
              <w:t xml:space="preserve">Pacientes sometidos a tiroidectomía que contestan “satisfecho” o “muy satisfecho” en la pregunta </w:t>
            </w:r>
            <w:r w:rsidRPr="003E6F59">
              <w:rPr>
                <w:sz w:val="18"/>
                <w:szCs w:val="18"/>
              </w:rPr>
              <w:t>“</w:t>
            </w:r>
            <w:r w:rsidRPr="003E6F59">
              <w:rPr>
                <w:sz w:val="20"/>
                <w:szCs w:val="20"/>
              </w:rPr>
              <w:t>Valoración global durante este ingreso”</w:t>
            </w:r>
            <w:r w:rsidRPr="003E6F59">
              <w:rPr>
                <w:sz w:val="18"/>
                <w:szCs w:val="18"/>
              </w:rPr>
              <w:t xml:space="preserve"> </w:t>
            </w:r>
            <w:r w:rsidRPr="003E6F59">
              <w:rPr>
                <w:sz w:val="20"/>
                <w:szCs w:val="20"/>
              </w:rPr>
              <w:t>x 100 / pacientes sometidos a tiroidectomía que cumplimentan esta pregunta.</w:t>
            </w:r>
          </w:p>
        </w:tc>
      </w:tr>
      <w:tr w:rsidR="00FC33EC" w:rsidRPr="000830E7" w:rsidTr="00274F6B">
        <w:trPr>
          <w:trHeight w:val="455"/>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after="120"/>
              <w:rPr>
                <w:b/>
                <w:bCs/>
                <w:sz w:val="20"/>
                <w:szCs w:val="20"/>
              </w:rPr>
            </w:pPr>
            <w:r w:rsidRPr="000830E7">
              <w:rPr>
                <w:b/>
                <w:bCs/>
                <w:sz w:val="20"/>
                <w:szCs w:val="20"/>
              </w:rPr>
              <w:t>Exclusiones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rPr>
            </w:pPr>
            <w:r>
              <w:rPr>
                <w:sz w:val="20"/>
                <w:szCs w:val="20"/>
              </w:rPr>
              <w:t>Ninguna</w:t>
            </w:r>
          </w:p>
        </w:tc>
      </w:tr>
      <w:tr w:rsidR="00FC33EC" w:rsidRPr="000830E7" w:rsidTr="00274F6B">
        <w:trPr>
          <w:trHeight w:val="973"/>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Aclaraciones</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3E6F59" w:rsidRDefault="00FC33EC" w:rsidP="00274F6B">
            <w:pPr>
              <w:pStyle w:val="Textodebloque"/>
              <w:spacing w:line="240" w:lineRule="auto"/>
              <w:ind w:left="0"/>
              <w:rPr>
                <w:sz w:val="20"/>
                <w:szCs w:val="20"/>
              </w:rPr>
            </w:pPr>
            <w:r w:rsidRPr="003E6F59">
              <w:rPr>
                <w:b w:val="0"/>
                <w:bCs w:val="0"/>
                <w:sz w:val="20"/>
                <w:szCs w:val="20"/>
              </w:rPr>
              <w:t>La encuesta de satisfacción mide la calidad percibida del paciente, familia o cuidadores. Se recomienda su utilización y análisis crítico de los resultados para mejorar.</w:t>
            </w:r>
          </w:p>
        </w:tc>
      </w:tr>
      <w:tr w:rsidR="00FC33EC" w:rsidRPr="000830E7" w:rsidTr="00274F6B">
        <w:trPr>
          <w:trHeight w:val="548"/>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spacing w:before="120"/>
              <w:rPr>
                <w:b/>
                <w:bCs/>
                <w:sz w:val="20"/>
                <w:szCs w:val="20"/>
              </w:rPr>
            </w:pPr>
            <w:r w:rsidRPr="000830E7">
              <w:rPr>
                <w:b/>
                <w:bCs/>
                <w:sz w:val="20"/>
                <w:szCs w:val="20"/>
              </w:rPr>
              <w:t xml:space="preserve">Tipo de indicador </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rPr>
            </w:pPr>
            <w:r>
              <w:rPr>
                <w:sz w:val="20"/>
                <w:szCs w:val="20"/>
              </w:rPr>
              <w:t>Resultado</w:t>
            </w:r>
          </w:p>
        </w:tc>
      </w:tr>
      <w:tr w:rsidR="00FC33EC" w:rsidRPr="000830E7" w:rsidTr="00274F6B">
        <w:trPr>
          <w:trHeight w:val="799"/>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sidRPr="000830E7">
              <w:rPr>
                <w:b/>
                <w:bCs/>
                <w:sz w:val="20"/>
                <w:szCs w:val="20"/>
              </w:rPr>
              <w:t>Justificación</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386E84" w:rsidRDefault="00FC33EC" w:rsidP="00274F6B">
            <w:pPr>
              <w:pStyle w:val="Textodebloque"/>
              <w:spacing w:line="240" w:lineRule="auto"/>
              <w:ind w:left="0"/>
              <w:rPr>
                <w:b w:val="0"/>
                <w:bCs w:val="0"/>
                <w:sz w:val="20"/>
                <w:szCs w:val="20"/>
              </w:rPr>
            </w:pPr>
            <w:r>
              <w:rPr>
                <w:b w:val="0"/>
                <w:bCs w:val="0"/>
                <w:sz w:val="20"/>
                <w:szCs w:val="20"/>
              </w:rPr>
              <w:t>La encuesta de satisfacción es una herramienta útil para valorar el grado de satisfacción del usuario</w:t>
            </w:r>
          </w:p>
        </w:tc>
      </w:tr>
      <w:tr w:rsidR="00FC33EC" w:rsidRPr="000830E7" w:rsidTr="00274F6B">
        <w:trPr>
          <w:trHeight w:val="737"/>
        </w:trPr>
        <w:tc>
          <w:tcPr>
            <w:tcW w:w="1562"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b/>
                <w:bCs/>
                <w:sz w:val="20"/>
                <w:szCs w:val="20"/>
              </w:rPr>
            </w:pPr>
            <w:r w:rsidRPr="000830E7">
              <w:rPr>
                <w:b/>
                <w:bCs/>
                <w:sz w:val="20"/>
                <w:szCs w:val="20"/>
              </w:rPr>
              <w:t>Origen del indicador</w:t>
            </w:r>
          </w:p>
        </w:tc>
        <w:tc>
          <w:tcPr>
            <w:tcW w:w="3438" w:type="pct"/>
            <w:tcBorders>
              <w:top w:val="single" w:sz="4" w:space="0" w:color="auto"/>
              <w:left w:val="single" w:sz="4" w:space="0" w:color="auto"/>
              <w:bottom w:val="single" w:sz="4" w:space="0" w:color="auto"/>
              <w:right w:val="single" w:sz="4" w:space="0" w:color="auto"/>
            </w:tcBorders>
            <w:vAlign w:val="center"/>
          </w:tcPr>
          <w:p w:rsidR="00FC33EC" w:rsidRPr="000830E7" w:rsidRDefault="00FC33EC" w:rsidP="00274F6B">
            <w:pPr>
              <w:rPr>
                <w:sz w:val="20"/>
                <w:szCs w:val="20"/>
                <w:lang w:val="fr-FR"/>
              </w:rPr>
            </w:pPr>
            <w:proofErr w:type="spellStart"/>
            <w:r>
              <w:rPr>
                <w:sz w:val="20"/>
                <w:szCs w:val="20"/>
                <w:lang w:val="fr-FR"/>
              </w:rPr>
              <w:t>Elaboración</w:t>
            </w:r>
            <w:proofErr w:type="spellEnd"/>
            <w:r>
              <w:rPr>
                <w:sz w:val="20"/>
                <w:szCs w:val="20"/>
                <w:lang w:val="fr-FR"/>
              </w:rPr>
              <w:t xml:space="preserve"> </w:t>
            </w:r>
            <w:proofErr w:type="spellStart"/>
            <w:r>
              <w:rPr>
                <w:sz w:val="20"/>
                <w:szCs w:val="20"/>
                <w:lang w:val="fr-FR"/>
              </w:rPr>
              <w:t>propia</w:t>
            </w:r>
            <w:proofErr w:type="spellEnd"/>
          </w:p>
        </w:tc>
      </w:tr>
    </w:tbl>
    <w:p w:rsidR="00FD604F" w:rsidRDefault="00FD604F"/>
    <w:sectPr w:rsidR="00FD604F" w:rsidSect="00FD604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C5EAD"/>
    <w:multiLevelType w:val="hybridMultilevel"/>
    <w:tmpl w:val="A6187E88"/>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
    <w:nsid w:val="0EA74A0E"/>
    <w:multiLevelType w:val="hybridMultilevel"/>
    <w:tmpl w:val="915CF0EE"/>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2">
    <w:nsid w:val="1BDF7C7D"/>
    <w:multiLevelType w:val="hybridMultilevel"/>
    <w:tmpl w:val="21925814"/>
    <w:lvl w:ilvl="0" w:tplc="A63A816A">
      <w:numFmt w:val="bullet"/>
      <w:lvlText w:val="-"/>
      <w:lvlJc w:val="left"/>
      <w:pPr>
        <w:ind w:left="786"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275527B4"/>
    <w:multiLevelType w:val="hybridMultilevel"/>
    <w:tmpl w:val="A866CCE2"/>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4">
    <w:nsid w:val="32910F50"/>
    <w:multiLevelType w:val="hybridMultilevel"/>
    <w:tmpl w:val="2718211A"/>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5">
    <w:nsid w:val="38833392"/>
    <w:multiLevelType w:val="hybridMultilevel"/>
    <w:tmpl w:val="51F2286A"/>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6">
    <w:nsid w:val="3C350EF3"/>
    <w:multiLevelType w:val="hybridMultilevel"/>
    <w:tmpl w:val="4EBCE82A"/>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7">
    <w:nsid w:val="439D229B"/>
    <w:multiLevelType w:val="hybridMultilevel"/>
    <w:tmpl w:val="F5B6E2DC"/>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8">
    <w:nsid w:val="4EFA1465"/>
    <w:multiLevelType w:val="hybridMultilevel"/>
    <w:tmpl w:val="4E92BC16"/>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9">
    <w:nsid w:val="50E064B6"/>
    <w:multiLevelType w:val="hybridMultilevel"/>
    <w:tmpl w:val="CEC87132"/>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0">
    <w:nsid w:val="5372002D"/>
    <w:multiLevelType w:val="hybridMultilevel"/>
    <w:tmpl w:val="F62CBDC2"/>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1">
    <w:nsid w:val="5F0D4723"/>
    <w:multiLevelType w:val="hybridMultilevel"/>
    <w:tmpl w:val="7B4ECA78"/>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2">
    <w:nsid w:val="74524E4A"/>
    <w:multiLevelType w:val="hybridMultilevel"/>
    <w:tmpl w:val="614AE4EC"/>
    <w:lvl w:ilvl="0" w:tplc="0C0A0005">
      <w:start w:val="1"/>
      <w:numFmt w:val="bullet"/>
      <w:lvlText w:val=""/>
      <w:lvlJc w:val="left"/>
      <w:pPr>
        <w:tabs>
          <w:tab w:val="num" w:pos="360"/>
        </w:tabs>
        <w:ind w:left="360" w:hanging="360"/>
      </w:pPr>
      <w:rPr>
        <w:rFonts w:ascii="Wingdings" w:hAnsi="Wingdings"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3">
    <w:nsid w:val="784B22B4"/>
    <w:multiLevelType w:val="hybridMultilevel"/>
    <w:tmpl w:val="19A4186E"/>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4">
    <w:nsid w:val="78AF2FA1"/>
    <w:multiLevelType w:val="hybridMultilevel"/>
    <w:tmpl w:val="BF3E1D5E"/>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3"/>
  </w:num>
  <w:num w:numId="3">
    <w:abstractNumId w:val="5"/>
  </w:num>
  <w:num w:numId="4">
    <w:abstractNumId w:val="12"/>
  </w:num>
  <w:num w:numId="5">
    <w:abstractNumId w:val="7"/>
  </w:num>
  <w:num w:numId="6">
    <w:abstractNumId w:val="11"/>
  </w:num>
  <w:num w:numId="7">
    <w:abstractNumId w:val="10"/>
  </w:num>
  <w:num w:numId="8">
    <w:abstractNumId w:val="14"/>
  </w:num>
  <w:num w:numId="9">
    <w:abstractNumId w:val="1"/>
  </w:num>
  <w:num w:numId="10">
    <w:abstractNumId w:val="0"/>
  </w:num>
  <w:num w:numId="11">
    <w:abstractNumId w:val="6"/>
  </w:num>
  <w:num w:numId="12">
    <w:abstractNumId w:val="8"/>
  </w:num>
  <w:num w:numId="13">
    <w:abstractNumId w:val="4"/>
  </w:num>
  <w:num w:numId="14">
    <w:abstractNumId w:val="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doNotDisplayPageBoundaries/>
  <w:proofState w:spelling="clean" w:grammar="clean"/>
  <w:defaultTabStop w:val="708"/>
  <w:hyphenationZone w:val="425"/>
  <w:characterSpacingControl w:val="doNotCompress"/>
  <w:compat/>
  <w:rsids>
    <w:rsidRoot w:val="00FC33EC"/>
    <w:rsid w:val="000779A7"/>
    <w:rsid w:val="00274F6B"/>
    <w:rsid w:val="004D470F"/>
    <w:rsid w:val="008A1121"/>
    <w:rsid w:val="00D73366"/>
    <w:rsid w:val="00EE2EDC"/>
    <w:rsid w:val="00FC33EC"/>
    <w:rsid w:val="00FD604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3E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bloque">
    <w:name w:val="Block Text"/>
    <w:basedOn w:val="Normal"/>
    <w:rsid w:val="00FC33EC"/>
    <w:pPr>
      <w:spacing w:line="360" w:lineRule="auto"/>
      <w:ind w:left="567" w:right="567"/>
      <w:jc w:val="both"/>
    </w:pPr>
    <w:rPr>
      <w:b/>
      <w:bCs/>
      <w:sz w:val="28"/>
      <w:szCs w:val="28"/>
    </w:rPr>
  </w:style>
  <w:style w:type="paragraph" w:customStyle="1" w:styleId="Prrafodelista1">
    <w:name w:val="Párrafo de lista1"/>
    <w:basedOn w:val="Normal"/>
    <w:rsid w:val="00FC33EC"/>
    <w:pPr>
      <w:ind w:left="720"/>
    </w:pPr>
    <w:rPr>
      <w:lang w:val="es-ES_tradnl" w:eastAsia="es-ES_tradnl"/>
    </w:rPr>
  </w:style>
  <w:style w:type="character" w:styleId="Hipervnculo">
    <w:name w:val="Hyperlink"/>
    <w:rsid w:val="00FC33EC"/>
    <w:rPr>
      <w:rFonts w:cs="Times New Roman"/>
      <w:color w:val="0000FF"/>
      <w:u w:val="single"/>
    </w:rPr>
  </w:style>
  <w:style w:type="paragraph" w:styleId="NormalWeb">
    <w:name w:val="Normal (Web)"/>
    <w:basedOn w:val="Normal"/>
    <w:rsid w:val="00FC33EC"/>
    <w:pPr>
      <w:spacing w:before="100" w:beforeAutospacing="1" w:after="100" w:afterAutospacing="1"/>
    </w:pPr>
  </w:style>
  <w:style w:type="character" w:styleId="Textoennegrita">
    <w:name w:val="Strong"/>
    <w:qFormat/>
    <w:rsid w:val="00FC33EC"/>
    <w:rPr>
      <w:rFonts w:cs="Times New Roman"/>
      <w:b/>
      <w:bCs/>
    </w:rPr>
  </w:style>
  <w:style w:type="character" w:styleId="nfasis">
    <w:name w:val="Emphasis"/>
    <w:qFormat/>
    <w:rsid w:val="00FC33EC"/>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11951065" TargetMode="External"/><Relationship Id="rId3" Type="http://schemas.openxmlformats.org/officeDocument/2006/relationships/settings" Target="settings.xml"/><Relationship Id="rId7" Type="http://schemas.openxmlformats.org/officeDocument/2006/relationships/hyperlink" Target="http://www.ncbi.nlm.nih.gov/pubmed/1820494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p.ihi.org/imap/tool/" TargetMode="External"/><Relationship Id="rId11" Type="http://schemas.openxmlformats.org/officeDocument/2006/relationships/fontTable" Target="fontTable.xml"/><Relationship Id="rId5" Type="http://schemas.openxmlformats.org/officeDocument/2006/relationships/hyperlink" Target="http://www.uptodate.com/contents" TargetMode="External"/><Relationship Id="rId10" Type="http://schemas.openxmlformats.org/officeDocument/2006/relationships/hyperlink" Target="http://psnet.ahrq.gov/glossary.aspx" TargetMode="External"/><Relationship Id="rId4" Type="http://schemas.openxmlformats.org/officeDocument/2006/relationships/webSettings" Target="webSettings.xml"/><Relationship Id="rId9" Type="http://schemas.openxmlformats.org/officeDocument/2006/relationships/hyperlink" Target="http://www.jointcommission.org/SentinelEvent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15</Pages>
  <Words>4203</Words>
  <Characters>23118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27267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www.intercambiosvirtuales.org</cp:lastModifiedBy>
  <cp:revision>3</cp:revision>
  <dcterms:created xsi:type="dcterms:W3CDTF">2014-07-22T11:00:00Z</dcterms:created>
  <dcterms:modified xsi:type="dcterms:W3CDTF">2014-10-19T09:44:00Z</dcterms:modified>
</cp:coreProperties>
</file>