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6D99" w:rsidRDefault="00D33051">
      <w:pPr>
        <w:pStyle w:val="Normal1"/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Herramienta para valorar la calidad de la anastomosis intestinal  E-E  L-L de 5 cm en simulador físico </w:t>
      </w:r>
    </w:p>
    <w:p w:rsidR="005B6D99" w:rsidRPr="001C57D3" w:rsidRDefault="00D33051">
      <w:pPr>
        <w:pStyle w:val="Normal1"/>
        <w:spacing w:line="276" w:lineRule="auto"/>
        <w:rPr>
          <w:b/>
          <w:sz w:val="22"/>
          <w:szCs w:val="22"/>
          <w:lang w:val="en-GB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Pr="001C57D3">
        <w:rPr>
          <w:b/>
          <w:sz w:val="22"/>
          <w:szCs w:val="22"/>
          <w:lang w:val="en-GB"/>
        </w:rPr>
        <w:t>(Szabo-</w:t>
      </w:r>
      <w:proofErr w:type="spellStart"/>
      <w:r w:rsidRPr="001C57D3">
        <w:rPr>
          <w:b/>
          <w:sz w:val="22"/>
          <w:szCs w:val="22"/>
          <w:lang w:val="en-GB"/>
        </w:rPr>
        <w:t>Berci</w:t>
      </w:r>
      <w:proofErr w:type="spellEnd"/>
      <w:r w:rsidRPr="001C57D3">
        <w:rPr>
          <w:b/>
          <w:sz w:val="22"/>
          <w:szCs w:val="22"/>
          <w:lang w:val="en-GB"/>
        </w:rPr>
        <w:t>-</w:t>
      </w:r>
      <w:proofErr w:type="spellStart"/>
      <w:r w:rsidRPr="001C57D3">
        <w:rPr>
          <w:b/>
          <w:sz w:val="22"/>
          <w:szCs w:val="22"/>
          <w:lang w:val="en-GB"/>
        </w:rPr>
        <w:t>Sackier</w:t>
      </w:r>
      <w:proofErr w:type="spellEnd"/>
      <w:r w:rsidRPr="001C57D3">
        <w:rPr>
          <w:b/>
          <w:sz w:val="22"/>
          <w:szCs w:val="22"/>
          <w:lang w:val="en-GB"/>
        </w:rPr>
        <w:t xml:space="preserve"> </w:t>
      </w:r>
      <w:r w:rsidRPr="001C57D3">
        <w:rPr>
          <w:sz w:val="22"/>
          <w:szCs w:val="22"/>
          <w:lang w:val="en-GB"/>
        </w:rPr>
        <w:t xml:space="preserve">Laparoscopic Trainer </w:t>
      </w:r>
      <w:proofErr w:type="spellStart"/>
      <w:r w:rsidRPr="001C57D3">
        <w:rPr>
          <w:sz w:val="22"/>
          <w:szCs w:val="22"/>
          <w:lang w:val="en-GB"/>
        </w:rPr>
        <w:t>Storz</w:t>
      </w:r>
      <w:proofErr w:type="spellEnd"/>
      <w:r w:rsidRPr="001C57D3">
        <w:rPr>
          <w:b/>
          <w:sz w:val="22"/>
          <w:szCs w:val="22"/>
          <w:lang w:val="en-GB"/>
        </w:rPr>
        <w:t>)</w:t>
      </w:r>
    </w:p>
    <w:p w:rsidR="005B6D99" w:rsidRPr="001C57D3" w:rsidRDefault="005B6D99">
      <w:pPr>
        <w:pStyle w:val="Normal1"/>
        <w:spacing w:line="276" w:lineRule="auto"/>
        <w:jc w:val="center"/>
        <w:rPr>
          <w:rFonts w:ascii="Arial" w:eastAsia="Arial" w:hAnsi="Arial" w:cs="Arial"/>
          <w:sz w:val="22"/>
          <w:szCs w:val="22"/>
          <w:lang w:val="en-GB"/>
        </w:rPr>
      </w:pPr>
    </w:p>
    <w:tbl>
      <w:tblPr>
        <w:tblStyle w:val="a"/>
        <w:tblW w:w="12375" w:type="dxa"/>
        <w:tblInd w:w="-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1800"/>
        <w:gridCol w:w="1095"/>
        <w:gridCol w:w="1065"/>
        <w:gridCol w:w="1770"/>
        <w:gridCol w:w="1050"/>
        <w:gridCol w:w="1230"/>
        <w:gridCol w:w="1545"/>
        <w:gridCol w:w="660"/>
      </w:tblGrid>
      <w:tr w:rsidR="005B6D99">
        <w:trPr>
          <w:trHeight w:val="320"/>
        </w:trPr>
        <w:tc>
          <w:tcPr>
            <w:tcW w:w="2160" w:type="dxa"/>
          </w:tcPr>
          <w:p w:rsidR="005B6D99" w:rsidRDefault="00D33051">
            <w:pPr>
              <w:pStyle w:val="Normal1"/>
              <w:contextualSpacing w:val="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DIMENSIÓN</w:t>
            </w:r>
          </w:p>
        </w:tc>
        <w:tc>
          <w:tcPr>
            <w:tcW w:w="9555" w:type="dxa"/>
            <w:gridSpan w:val="7"/>
          </w:tcPr>
          <w:p w:rsidR="005B6D99" w:rsidRDefault="00D33051">
            <w:pPr>
              <w:pStyle w:val="Normal1"/>
              <w:contextualSpacing w:val="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imes" w:eastAsia="Times" w:hAnsi="Times" w:cs="Times"/>
                <w:b/>
                <w:sz w:val="20"/>
                <w:szCs w:val="20"/>
              </w:rPr>
              <w:t>Puntuación</w:t>
            </w:r>
          </w:p>
        </w:tc>
        <w:tc>
          <w:tcPr>
            <w:tcW w:w="660" w:type="dxa"/>
          </w:tcPr>
          <w:p w:rsidR="005B6D99" w:rsidRDefault="005B6D99">
            <w:pPr>
              <w:pStyle w:val="Normal1"/>
              <w:contextualSpacing w:val="0"/>
              <w:rPr>
                <w:rFonts w:ascii="Times" w:eastAsia="Times" w:hAnsi="Times" w:cs="Times"/>
                <w:sz w:val="14"/>
                <w:szCs w:val="14"/>
              </w:rPr>
            </w:pPr>
          </w:p>
        </w:tc>
      </w:tr>
      <w:tr w:rsidR="005B6D99">
        <w:tc>
          <w:tcPr>
            <w:tcW w:w="2160" w:type="dxa"/>
          </w:tcPr>
          <w:p w:rsidR="005B6D99" w:rsidRDefault="005B6D99">
            <w:pPr>
              <w:pStyle w:val="Normal1"/>
              <w:contextualSpacing w:val="0"/>
              <w:rPr>
                <w:rFonts w:ascii="Times" w:eastAsia="Times" w:hAnsi="Times" w:cs="Times"/>
                <w:sz w:val="14"/>
                <w:szCs w:val="14"/>
              </w:rPr>
            </w:pPr>
          </w:p>
        </w:tc>
        <w:tc>
          <w:tcPr>
            <w:tcW w:w="1800" w:type="dxa"/>
          </w:tcPr>
          <w:p w:rsidR="005B6D99" w:rsidRDefault="00D33051">
            <w:pPr>
              <w:pStyle w:val="Normal1"/>
              <w:contextualSpacing w:val="0"/>
              <w:jc w:val="center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sz w:val="14"/>
                <w:szCs w:val="14"/>
              </w:rPr>
              <w:t>1</w:t>
            </w:r>
          </w:p>
        </w:tc>
        <w:tc>
          <w:tcPr>
            <w:tcW w:w="1095" w:type="dxa"/>
          </w:tcPr>
          <w:p w:rsidR="005B6D99" w:rsidRDefault="00D33051">
            <w:pPr>
              <w:pStyle w:val="Normal1"/>
              <w:contextualSpacing w:val="0"/>
              <w:jc w:val="center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sz w:val="14"/>
                <w:szCs w:val="14"/>
              </w:rPr>
              <w:t>2</w:t>
            </w:r>
          </w:p>
        </w:tc>
        <w:tc>
          <w:tcPr>
            <w:tcW w:w="1065" w:type="dxa"/>
          </w:tcPr>
          <w:p w:rsidR="005B6D99" w:rsidRDefault="00D33051">
            <w:pPr>
              <w:pStyle w:val="Normal1"/>
              <w:contextualSpacing w:val="0"/>
              <w:jc w:val="center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sz w:val="14"/>
                <w:szCs w:val="14"/>
              </w:rPr>
              <w:t>3</w:t>
            </w:r>
          </w:p>
        </w:tc>
        <w:tc>
          <w:tcPr>
            <w:tcW w:w="1770" w:type="dxa"/>
          </w:tcPr>
          <w:p w:rsidR="005B6D99" w:rsidRDefault="00D33051">
            <w:pPr>
              <w:pStyle w:val="Normal1"/>
              <w:contextualSpacing w:val="0"/>
              <w:jc w:val="center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sz w:val="14"/>
                <w:szCs w:val="14"/>
              </w:rPr>
              <w:t>4</w:t>
            </w:r>
          </w:p>
        </w:tc>
        <w:tc>
          <w:tcPr>
            <w:tcW w:w="1050" w:type="dxa"/>
          </w:tcPr>
          <w:p w:rsidR="005B6D99" w:rsidRDefault="00D33051">
            <w:pPr>
              <w:pStyle w:val="Normal1"/>
              <w:contextualSpacing w:val="0"/>
              <w:jc w:val="center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sz w:val="14"/>
                <w:szCs w:val="14"/>
              </w:rPr>
              <w:t>5</w:t>
            </w:r>
          </w:p>
        </w:tc>
        <w:tc>
          <w:tcPr>
            <w:tcW w:w="1230" w:type="dxa"/>
          </w:tcPr>
          <w:p w:rsidR="005B6D99" w:rsidRDefault="00D33051">
            <w:pPr>
              <w:pStyle w:val="Normal1"/>
              <w:contextualSpacing w:val="0"/>
              <w:jc w:val="center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sz w:val="14"/>
                <w:szCs w:val="14"/>
              </w:rPr>
              <w:t>6</w:t>
            </w:r>
          </w:p>
        </w:tc>
        <w:tc>
          <w:tcPr>
            <w:tcW w:w="1545" w:type="dxa"/>
          </w:tcPr>
          <w:p w:rsidR="005B6D99" w:rsidRDefault="00D33051">
            <w:pPr>
              <w:pStyle w:val="Normal1"/>
              <w:contextualSpacing w:val="0"/>
              <w:jc w:val="center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sz w:val="14"/>
                <w:szCs w:val="14"/>
              </w:rPr>
              <w:t>7</w:t>
            </w:r>
          </w:p>
        </w:tc>
        <w:tc>
          <w:tcPr>
            <w:tcW w:w="660" w:type="dxa"/>
          </w:tcPr>
          <w:p w:rsidR="005B6D99" w:rsidRDefault="00D33051">
            <w:pPr>
              <w:pStyle w:val="Normal1"/>
              <w:contextualSpacing w:val="0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sz w:val="14"/>
                <w:szCs w:val="14"/>
              </w:rPr>
              <w:t>Puntos</w:t>
            </w:r>
          </w:p>
        </w:tc>
      </w:tr>
      <w:tr w:rsidR="005B6D99">
        <w:trPr>
          <w:trHeight w:val="540"/>
        </w:trPr>
        <w:tc>
          <w:tcPr>
            <w:tcW w:w="2160" w:type="dxa"/>
          </w:tcPr>
          <w:p w:rsidR="005B6D99" w:rsidRDefault="005B6D99">
            <w:pPr>
              <w:pStyle w:val="Normal1"/>
              <w:contextualSpacing w:val="0"/>
              <w:rPr>
                <w:rFonts w:ascii="Times" w:eastAsia="Times" w:hAnsi="Times" w:cs="Times"/>
                <w:sz w:val="14"/>
                <w:szCs w:val="14"/>
              </w:rPr>
            </w:pPr>
          </w:p>
        </w:tc>
        <w:tc>
          <w:tcPr>
            <w:tcW w:w="1800" w:type="dxa"/>
          </w:tcPr>
          <w:p w:rsidR="005B6D99" w:rsidRDefault="00D33051">
            <w:pPr>
              <w:pStyle w:val="Normal1"/>
              <w:contextualSpacing w:val="0"/>
              <w:jc w:val="center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sz w:val="14"/>
                <w:szCs w:val="14"/>
              </w:rPr>
              <w:t>1 Riesgo seguro de dehiscencia</w:t>
            </w:r>
          </w:p>
          <w:p w:rsidR="005B6D99" w:rsidRDefault="005B6D99">
            <w:pPr>
              <w:pStyle w:val="Normal1"/>
              <w:contextualSpacing w:val="0"/>
              <w:jc w:val="center"/>
              <w:rPr>
                <w:rFonts w:ascii="Times" w:eastAsia="Times" w:hAnsi="Times" w:cs="Times"/>
                <w:sz w:val="14"/>
                <w:szCs w:val="14"/>
              </w:rPr>
            </w:pPr>
          </w:p>
        </w:tc>
        <w:tc>
          <w:tcPr>
            <w:tcW w:w="1095" w:type="dxa"/>
          </w:tcPr>
          <w:p w:rsidR="005B6D99" w:rsidRDefault="00D33051">
            <w:pPr>
              <w:pStyle w:val="Normal1"/>
              <w:contextualSpacing w:val="0"/>
              <w:jc w:val="center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sz w:val="14"/>
                <w:szCs w:val="14"/>
              </w:rPr>
              <w:t>2: Riesgo muy probable de dehiscencia</w:t>
            </w:r>
          </w:p>
        </w:tc>
        <w:tc>
          <w:tcPr>
            <w:tcW w:w="1065" w:type="dxa"/>
          </w:tcPr>
          <w:p w:rsidR="005B6D99" w:rsidRDefault="00D33051">
            <w:pPr>
              <w:pStyle w:val="Normal1"/>
              <w:contextualSpacing w:val="0"/>
              <w:jc w:val="center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sz w:val="14"/>
                <w:szCs w:val="14"/>
              </w:rPr>
              <w:t>3. Riesgo probable dehiscencia</w:t>
            </w:r>
          </w:p>
          <w:p w:rsidR="005B6D99" w:rsidRDefault="005B6D99">
            <w:pPr>
              <w:pStyle w:val="Normal1"/>
              <w:contextualSpacing w:val="0"/>
              <w:jc w:val="center"/>
              <w:rPr>
                <w:rFonts w:ascii="Times" w:eastAsia="Times" w:hAnsi="Times" w:cs="Times"/>
                <w:sz w:val="14"/>
                <w:szCs w:val="14"/>
              </w:rPr>
            </w:pPr>
          </w:p>
        </w:tc>
        <w:tc>
          <w:tcPr>
            <w:tcW w:w="1770" w:type="dxa"/>
          </w:tcPr>
          <w:p w:rsidR="005B6D99" w:rsidRDefault="00D33051">
            <w:pPr>
              <w:pStyle w:val="Normal1"/>
              <w:contextualSpacing w:val="0"/>
              <w:jc w:val="center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sz w:val="14"/>
                <w:szCs w:val="14"/>
              </w:rPr>
              <w:t>4. Riesgo mínimo dehiscencia</w:t>
            </w:r>
          </w:p>
        </w:tc>
        <w:tc>
          <w:tcPr>
            <w:tcW w:w="1050" w:type="dxa"/>
          </w:tcPr>
          <w:p w:rsidR="005B6D99" w:rsidRDefault="00D33051">
            <w:pPr>
              <w:pStyle w:val="Normal1"/>
              <w:contextualSpacing w:val="0"/>
              <w:jc w:val="center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sz w:val="14"/>
                <w:szCs w:val="14"/>
              </w:rPr>
              <w:t>5. Sin riesgo dehiscencia y pobre calidad</w:t>
            </w:r>
          </w:p>
          <w:p w:rsidR="005B6D99" w:rsidRDefault="005B6D99">
            <w:pPr>
              <w:pStyle w:val="Normal1"/>
              <w:contextualSpacing w:val="0"/>
              <w:jc w:val="center"/>
              <w:rPr>
                <w:rFonts w:ascii="Times" w:eastAsia="Times" w:hAnsi="Times" w:cs="Times"/>
                <w:sz w:val="14"/>
                <w:szCs w:val="14"/>
              </w:rPr>
            </w:pPr>
          </w:p>
        </w:tc>
        <w:tc>
          <w:tcPr>
            <w:tcW w:w="1230" w:type="dxa"/>
          </w:tcPr>
          <w:p w:rsidR="005B6D99" w:rsidRDefault="00D33051">
            <w:pPr>
              <w:pStyle w:val="Normal1"/>
              <w:contextualSpacing w:val="0"/>
              <w:jc w:val="center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sz w:val="14"/>
                <w:szCs w:val="14"/>
              </w:rPr>
              <w:t>6. Sin riesgo de dehiscencia y calidad buena</w:t>
            </w:r>
          </w:p>
        </w:tc>
        <w:tc>
          <w:tcPr>
            <w:tcW w:w="1545" w:type="dxa"/>
          </w:tcPr>
          <w:p w:rsidR="005B6D99" w:rsidRDefault="00D33051">
            <w:pPr>
              <w:pStyle w:val="Normal1"/>
              <w:contextualSpacing w:val="0"/>
              <w:jc w:val="center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sz w:val="14"/>
                <w:szCs w:val="14"/>
              </w:rPr>
              <w:t>7. Sin riesgo de dehiscencia y calidad excelente</w:t>
            </w:r>
          </w:p>
        </w:tc>
        <w:tc>
          <w:tcPr>
            <w:tcW w:w="660" w:type="dxa"/>
          </w:tcPr>
          <w:p w:rsidR="005B6D99" w:rsidRDefault="005B6D99">
            <w:pPr>
              <w:pStyle w:val="Normal1"/>
              <w:contextualSpacing w:val="0"/>
              <w:rPr>
                <w:rFonts w:ascii="Times" w:eastAsia="Times" w:hAnsi="Times" w:cs="Times"/>
                <w:sz w:val="14"/>
                <w:szCs w:val="14"/>
              </w:rPr>
            </w:pPr>
          </w:p>
        </w:tc>
      </w:tr>
      <w:tr w:rsidR="005B6D99">
        <w:tc>
          <w:tcPr>
            <w:tcW w:w="2160" w:type="dxa"/>
          </w:tcPr>
          <w:p w:rsidR="005B6D99" w:rsidRDefault="00D33051">
            <w:pPr>
              <w:pStyle w:val="Normal1"/>
              <w:contextualSpacing w:val="0"/>
              <w:jc w:val="both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b/>
                <w:sz w:val="14"/>
                <w:szCs w:val="14"/>
              </w:rPr>
              <w:t xml:space="preserve">Elemento 1: Separación entre puntos en cara anterior de anastomosis: </w:t>
            </w:r>
            <w:r>
              <w:rPr>
                <w:rFonts w:ascii="Times" w:eastAsia="Times" w:hAnsi="Times" w:cs="Times"/>
                <w:sz w:val="14"/>
                <w:szCs w:val="14"/>
              </w:rPr>
              <w:t>distancia entre cada uno de los puntos y cantidad de puntos que no cumplen la distancia adecuada.</w:t>
            </w:r>
          </w:p>
        </w:tc>
        <w:tc>
          <w:tcPr>
            <w:tcW w:w="1800" w:type="dxa"/>
          </w:tcPr>
          <w:p w:rsidR="005B6D99" w:rsidRDefault="00D33051">
            <w:pPr>
              <w:pStyle w:val="Normal1"/>
              <w:contextualSpacing w:val="0"/>
              <w:jc w:val="both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sz w:val="14"/>
                <w:szCs w:val="14"/>
              </w:rPr>
              <w:t>Distancia entre puntos y discrepancia inaceptables</w:t>
            </w:r>
          </w:p>
          <w:p w:rsidR="005B6D99" w:rsidRDefault="005B6D99">
            <w:pPr>
              <w:pStyle w:val="Normal1"/>
              <w:contextualSpacing w:val="0"/>
              <w:jc w:val="both"/>
              <w:rPr>
                <w:rFonts w:ascii="Times" w:eastAsia="Times" w:hAnsi="Times" w:cs="Times"/>
                <w:sz w:val="14"/>
                <w:szCs w:val="14"/>
              </w:rPr>
            </w:pPr>
          </w:p>
        </w:tc>
        <w:tc>
          <w:tcPr>
            <w:tcW w:w="1095" w:type="dxa"/>
          </w:tcPr>
          <w:p w:rsidR="005B6D99" w:rsidRDefault="005B6D99">
            <w:pPr>
              <w:pStyle w:val="Normal1"/>
              <w:contextualSpacing w:val="0"/>
              <w:rPr>
                <w:rFonts w:ascii="Times" w:eastAsia="Times" w:hAnsi="Times" w:cs="Times"/>
                <w:sz w:val="14"/>
                <w:szCs w:val="14"/>
              </w:rPr>
            </w:pPr>
          </w:p>
        </w:tc>
        <w:tc>
          <w:tcPr>
            <w:tcW w:w="1065" w:type="dxa"/>
          </w:tcPr>
          <w:p w:rsidR="005B6D99" w:rsidRDefault="005B6D99">
            <w:pPr>
              <w:pStyle w:val="Normal1"/>
              <w:contextualSpacing w:val="0"/>
              <w:rPr>
                <w:rFonts w:ascii="Times" w:eastAsia="Times" w:hAnsi="Times" w:cs="Times"/>
                <w:sz w:val="14"/>
                <w:szCs w:val="14"/>
              </w:rPr>
            </w:pPr>
          </w:p>
        </w:tc>
        <w:tc>
          <w:tcPr>
            <w:tcW w:w="1770" w:type="dxa"/>
          </w:tcPr>
          <w:p w:rsidR="005B6D99" w:rsidRDefault="00D33051">
            <w:pPr>
              <w:pStyle w:val="Normal1"/>
              <w:contextualSpacing w:val="0"/>
              <w:jc w:val="both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sz w:val="14"/>
                <w:szCs w:val="14"/>
              </w:rPr>
              <w:t>Distancia entre puntos y discrepancia aceptables</w:t>
            </w:r>
          </w:p>
        </w:tc>
        <w:tc>
          <w:tcPr>
            <w:tcW w:w="1050" w:type="dxa"/>
          </w:tcPr>
          <w:p w:rsidR="005B6D99" w:rsidRDefault="005B6D99">
            <w:pPr>
              <w:pStyle w:val="Normal1"/>
              <w:contextualSpacing w:val="0"/>
              <w:rPr>
                <w:rFonts w:ascii="Times" w:eastAsia="Times" w:hAnsi="Times" w:cs="Times"/>
                <w:sz w:val="14"/>
                <w:szCs w:val="14"/>
              </w:rPr>
            </w:pPr>
          </w:p>
        </w:tc>
        <w:tc>
          <w:tcPr>
            <w:tcW w:w="1230" w:type="dxa"/>
          </w:tcPr>
          <w:p w:rsidR="005B6D99" w:rsidRDefault="005B6D99">
            <w:pPr>
              <w:pStyle w:val="Normal1"/>
              <w:contextualSpacing w:val="0"/>
              <w:rPr>
                <w:rFonts w:ascii="Times" w:eastAsia="Times" w:hAnsi="Times" w:cs="Times"/>
                <w:sz w:val="14"/>
                <w:szCs w:val="14"/>
              </w:rPr>
            </w:pPr>
          </w:p>
        </w:tc>
        <w:tc>
          <w:tcPr>
            <w:tcW w:w="1545" w:type="dxa"/>
          </w:tcPr>
          <w:p w:rsidR="005B6D99" w:rsidRDefault="00D33051">
            <w:pPr>
              <w:pStyle w:val="Normal1"/>
              <w:contextualSpacing w:val="0"/>
              <w:jc w:val="both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sz w:val="14"/>
                <w:szCs w:val="14"/>
              </w:rPr>
              <w:t>Distancia entre puntos precisa y sin discrepancia</w:t>
            </w:r>
          </w:p>
        </w:tc>
        <w:tc>
          <w:tcPr>
            <w:tcW w:w="660" w:type="dxa"/>
          </w:tcPr>
          <w:p w:rsidR="005B6D99" w:rsidRDefault="005B6D99">
            <w:pPr>
              <w:pStyle w:val="Normal1"/>
              <w:contextualSpacing w:val="0"/>
              <w:rPr>
                <w:rFonts w:ascii="Times" w:eastAsia="Times" w:hAnsi="Times" w:cs="Times"/>
                <w:sz w:val="14"/>
                <w:szCs w:val="14"/>
              </w:rPr>
            </w:pPr>
          </w:p>
        </w:tc>
      </w:tr>
      <w:tr w:rsidR="005B6D99">
        <w:tc>
          <w:tcPr>
            <w:tcW w:w="2160" w:type="dxa"/>
          </w:tcPr>
          <w:p w:rsidR="005B6D99" w:rsidRDefault="00D33051">
            <w:pPr>
              <w:pStyle w:val="Normal1"/>
              <w:contextualSpacing w:val="0"/>
              <w:jc w:val="both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b/>
                <w:sz w:val="14"/>
                <w:szCs w:val="14"/>
              </w:rPr>
              <w:t>Elemento 2: Eversión de mucosa:</w:t>
            </w:r>
            <w:r>
              <w:rPr>
                <w:rFonts w:ascii="Times" w:eastAsia="Times" w:hAnsi="Times" w:cs="Times"/>
                <w:sz w:val="14"/>
                <w:szCs w:val="14"/>
              </w:rPr>
              <w:t xml:space="preserve"> Visualización de la mucosa intestinal fuera de las líneas de sutura,  anterior o posterior de la anastomosis</w:t>
            </w:r>
          </w:p>
        </w:tc>
        <w:tc>
          <w:tcPr>
            <w:tcW w:w="1800" w:type="dxa"/>
          </w:tcPr>
          <w:p w:rsidR="005B6D99" w:rsidRDefault="00D33051">
            <w:pPr>
              <w:pStyle w:val="Normal1"/>
              <w:contextualSpacing w:val="0"/>
              <w:jc w:val="both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sz w:val="14"/>
                <w:szCs w:val="14"/>
              </w:rPr>
              <w:t>La eversión de mucosa total es inaceptable</w:t>
            </w:r>
          </w:p>
          <w:p w:rsidR="005B6D99" w:rsidRDefault="005B6D99">
            <w:pPr>
              <w:pStyle w:val="Normal1"/>
              <w:contextualSpacing w:val="0"/>
              <w:jc w:val="both"/>
              <w:rPr>
                <w:rFonts w:ascii="Times" w:eastAsia="Times" w:hAnsi="Times" w:cs="Times"/>
                <w:sz w:val="14"/>
                <w:szCs w:val="14"/>
              </w:rPr>
            </w:pPr>
          </w:p>
        </w:tc>
        <w:tc>
          <w:tcPr>
            <w:tcW w:w="1095" w:type="dxa"/>
          </w:tcPr>
          <w:p w:rsidR="005B6D99" w:rsidRDefault="005B6D99">
            <w:pPr>
              <w:pStyle w:val="Normal1"/>
              <w:contextualSpacing w:val="0"/>
              <w:rPr>
                <w:rFonts w:ascii="Times" w:eastAsia="Times" w:hAnsi="Times" w:cs="Times"/>
                <w:sz w:val="14"/>
                <w:szCs w:val="14"/>
              </w:rPr>
            </w:pPr>
          </w:p>
        </w:tc>
        <w:tc>
          <w:tcPr>
            <w:tcW w:w="1065" w:type="dxa"/>
          </w:tcPr>
          <w:p w:rsidR="005B6D99" w:rsidRDefault="005B6D99">
            <w:pPr>
              <w:pStyle w:val="Normal1"/>
              <w:contextualSpacing w:val="0"/>
              <w:rPr>
                <w:rFonts w:ascii="Times" w:eastAsia="Times" w:hAnsi="Times" w:cs="Times"/>
                <w:sz w:val="14"/>
                <w:szCs w:val="14"/>
              </w:rPr>
            </w:pPr>
          </w:p>
        </w:tc>
        <w:tc>
          <w:tcPr>
            <w:tcW w:w="1770" w:type="dxa"/>
          </w:tcPr>
          <w:p w:rsidR="005B6D99" w:rsidRDefault="00D33051">
            <w:pPr>
              <w:pStyle w:val="Normal1"/>
              <w:contextualSpacing w:val="0"/>
              <w:jc w:val="both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sz w:val="14"/>
                <w:szCs w:val="14"/>
              </w:rPr>
              <w:t>La eversión de mucosa total es aceptable</w:t>
            </w:r>
          </w:p>
          <w:p w:rsidR="005B6D99" w:rsidRDefault="005B6D99">
            <w:pPr>
              <w:pStyle w:val="Normal1"/>
              <w:contextualSpacing w:val="0"/>
              <w:jc w:val="both"/>
              <w:rPr>
                <w:rFonts w:ascii="Times" w:eastAsia="Times" w:hAnsi="Times" w:cs="Times"/>
                <w:sz w:val="14"/>
                <w:szCs w:val="14"/>
              </w:rPr>
            </w:pPr>
          </w:p>
        </w:tc>
        <w:tc>
          <w:tcPr>
            <w:tcW w:w="1050" w:type="dxa"/>
          </w:tcPr>
          <w:p w:rsidR="005B6D99" w:rsidRDefault="005B6D99">
            <w:pPr>
              <w:pStyle w:val="Normal1"/>
              <w:contextualSpacing w:val="0"/>
              <w:rPr>
                <w:rFonts w:ascii="Times" w:eastAsia="Times" w:hAnsi="Times" w:cs="Times"/>
                <w:sz w:val="14"/>
                <w:szCs w:val="14"/>
              </w:rPr>
            </w:pPr>
          </w:p>
        </w:tc>
        <w:tc>
          <w:tcPr>
            <w:tcW w:w="1230" w:type="dxa"/>
          </w:tcPr>
          <w:p w:rsidR="005B6D99" w:rsidRDefault="005B6D99">
            <w:pPr>
              <w:pStyle w:val="Normal1"/>
              <w:contextualSpacing w:val="0"/>
              <w:rPr>
                <w:rFonts w:ascii="Times" w:eastAsia="Times" w:hAnsi="Times" w:cs="Times"/>
                <w:sz w:val="14"/>
                <w:szCs w:val="14"/>
              </w:rPr>
            </w:pPr>
          </w:p>
        </w:tc>
        <w:tc>
          <w:tcPr>
            <w:tcW w:w="1545" w:type="dxa"/>
          </w:tcPr>
          <w:p w:rsidR="005B6D99" w:rsidRDefault="00D33051">
            <w:pPr>
              <w:pStyle w:val="Normal1"/>
              <w:contextualSpacing w:val="0"/>
              <w:jc w:val="both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sz w:val="14"/>
                <w:szCs w:val="14"/>
              </w:rPr>
              <w:t>No existe eversión de mucosa</w:t>
            </w:r>
          </w:p>
          <w:p w:rsidR="005B6D99" w:rsidRDefault="005B6D99">
            <w:pPr>
              <w:pStyle w:val="Normal1"/>
              <w:contextualSpacing w:val="0"/>
              <w:jc w:val="both"/>
              <w:rPr>
                <w:rFonts w:ascii="Times" w:eastAsia="Times" w:hAnsi="Times" w:cs="Times"/>
                <w:sz w:val="14"/>
                <w:szCs w:val="14"/>
              </w:rPr>
            </w:pPr>
          </w:p>
        </w:tc>
        <w:tc>
          <w:tcPr>
            <w:tcW w:w="660" w:type="dxa"/>
          </w:tcPr>
          <w:p w:rsidR="005B6D99" w:rsidRDefault="005B6D99">
            <w:pPr>
              <w:pStyle w:val="Normal1"/>
              <w:contextualSpacing w:val="0"/>
              <w:rPr>
                <w:rFonts w:ascii="Times" w:eastAsia="Times" w:hAnsi="Times" w:cs="Times"/>
                <w:sz w:val="14"/>
                <w:szCs w:val="14"/>
              </w:rPr>
            </w:pPr>
          </w:p>
        </w:tc>
      </w:tr>
      <w:tr w:rsidR="005B6D99">
        <w:trPr>
          <w:trHeight w:val="1200"/>
        </w:trPr>
        <w:tc>
          <w:tcPr>
            <w:tcW w:w="2160" w:type="dxa"/>
          </w:tcPr>
          <w:p w:rsidR="005B6D99" w:rsidRDefault="00D33051">
            <w:pPr>
              <w:pStyle w:val="Normal1"/>
              <w:contextualSpacing w:val="0"/>
              <w:jc w:val="both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b/>
                <w:sz w:val="14"/>
                <w:szCs w:val="14"/>
              </w:rPr>
              <w:t>Elemento 3: Tensión de la sutura: Elemento 3: Tensión de la sutura:</w:t>
            </w:r>
            <w:r>
              <w:rPr>
                <w:rFonts w:ascii="Times" w:eastAsia="Times" w:hAnsi="Times" w:cs="Times"/>
                <w:sz w:val="14"/>
                <w:szCs w:val="14"/>
              </w:rPr>
              <w:t xml:space="preserve"> Valoración del tamaño de la anastomosis  a través de la medición de la longitud de la anastomosis y la tracción del hilo de sutura.</w:t>
            </w:r>
          </w:p>
          <w:p w:rsidR="005B6D99" w:rsidRDefault="005B6D99">
            <w:pPr>
              <w:pStyle w:val="Normal1"/>
              <w:contextualSpacing w:val="0"/>
              <w:jc w:val="both"/>
              <w:rPr>
                <w:rFonts w:ascii="Times" w:eastAsia="Times" w:hAnsi="Times" w:cs="Times"/>
                <w:sz w:val="14"/>
                <w:szCs w:val="14"/>
              </w:rPr>
            </w:pPr>
          </w:p>
        </w:tc>
        <w:tc>
          <w:tcPr>
            <w:tcW w:w="1800" w:type="dxa"/>
          </w:tcPr>
          <w:p w:rsidR="005B6D99" w:rsidRDefault="00D33051">
            <w:pPr>
              <w:pStyle w:val="Normal1"/>
              <w:contextualSpacing w:val="0"/>
              <w:jc w:val="both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sz w:val="14"/>
                <w:szCs w:val="14"/>
              </w:rPr>
              <w:t>La medida de la anastomosis de ángulo a ángulo es inaceptable</w:t>
            </w:r>
            <w:r>
              <w:rPr>
                <w:rFonts w:ascii="Times" w:eastAsia="Times" w:hAnsi="Times" w:cs="Times"/>
                <w:sz w:val="14"/>
                <w:szCs w:val="14"/>
              </w:rPr>
              <w:br/>
            </w:r>
          </w:p>
          <w:p w:rsidR="005B6D99" w:rsidRDefault="00D33051">
            <w:pPr>
              <w:pStyle w:val="Normal1"/>
              <w:contextualSpacing w:val="0"/>
              <w:jc w:val="both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sz w:val="14"/>
                <w:szCs w:val="14"/>
              </w:rPr>
              <w:t>El hilo sobrante después de tensar el mismo en la línea de sutura es inaceptable</w:t>
            </w:r>
          </w:p>
        </w:tc>
        <w:tc>
          <w:tcPr>
            <w:tcW w:w="1095" w:type="dxa"/>
          </w:tcPr>
          <w:p w:rsidR="005B6D99" w:rsidRDefault="005B6D99">
            <w:pPr>
              <w:pStyle w:val="Normal1"/>
              <w:contextualSpacing w:val="0"/>
              <w:rPr>
                <w:rFonts w:ascii="Times" w:eastAsia="Times" w:hAnsi="Times" w:cs="Times"/>
                <w:sz w:val="14"/>
                <w:szCs w:val="14"/>
              </w:rPr>
            </w:pPr>
          </w:p>
        </w:tc>
        <w:tc>
          <w:tcPr>
            <w:tcW w:w="1065" w:type="dxa"/>
          </w:tcPr>
          <w:p w:rsidR="005B6D99" w:rsidRDefault="005B6D99">
            <w:pPr>
              <w:pStyle w:val="Normal1"/>
              <w:contextualSpacing w:val="0"/>
              <w:rPr>
                <w:rFonts w:ascii="Times" w:eastAsia="Times" w:hAnsi="Times" w:cs="Times"/>
                <w:sz w:val="14"/>
                <w:szCs w:val="14"/>
              </w:rPr>
            </w:pPr>
          </w:p>
        </w:tc>
        <w:tc>
          <w:tcPr>
            <w:tcW w:w="1770" w:type="dxa"/>
          </w:tcPr>
          <w:p w:rsidR="005B6D99" w:rsidRDefault="00D33051">
            <w:pPr>
              <w:pStyle w:val="Normal1"/>
              <w:contextualSpacing w:val="0"/>
              <w:jc w:val="both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sz w:val="14"/>
                <w:szCs w:val="14"/>
              </w:rPr>
              <w:t>La medida de la anastomosis de ángulo a ángulo es aceptable.</w:t>
            </w:r>
            <w:r>
              <w:rPr>
                <w:rFonts w:ascii="Times" w:eastAsia="Times" w:hAnsi="Times" w:cs="Times"/>
                <w:sz w:val="14"/>
                <w:szCs w:val="14"/>
              </w:rPr>
              <w:br/>
            </w:r>
          </w:p>
          <w:p w:rsidR="005B6D99" w:rsidRDefault="00D33051">
            <w:pPr>
              <w:pStyle w:val="Normal1"/>
              <w:contextualSpacing w:val="0"/>
              <w:jc w:val="both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sz w:val="14"/>
                <w:szCs w:val="14"/>
              </w:rPr>
              <w:t>El hilo sobrante después de tensar el mismo en la línea de sutura es aceptable</w:t>
            </w:r>
          </w:p>
        </w:tc>
        <w:tc>
          <w:tcPr>
            <w:tcW w:w="1050" w:type="dxa"/>
          </w:tcPr>
          <w:p w:rsidR="005B6D99" w:rsidRDefault="005B6D99">
            <w:pPr>
              <w:pStyle w:val="Normal1"/>
              <w:contextualSpacing w:val="0"/>
              <w:rPr>
                <w:rFonts w:ascii="Times" w:eastAsia="Times" w:hAnsi="Times" w:cs="Times"/>
                <w:sz w:val="14"/>
                <w:szCs w:val="14"/>
              </w:rPr>
            </w:pPr>
          </w:p>
        </w:tc>
        <w:tc>
          <w:tcPr>
            <w:tcW w:w="1230" w:type="dxa"/>
          </w:tcPr>
          <w:p w:rsidR="005B6D99" w:rsidRDefault="005B6D99">
            <w:pPr>
              <w:pStyle w:val="Normal1"/>
              <w:contextualSpacing w:val="0"/>
              <w:rPr>
                <w:rFonts w:ascii="Times" w:eastAsia="Times" w:hAnsi="Times" w:cs="Times"/>
                <w:sz w:val="14"/>
                <w:szCs w:val="14"/>
              </w:rPr>
            </w:pPr>
          </w:p>
        </w:tc>
        <w:tc>
          <w:tcPr>
            <w:tcW w:w="1545" w:type="dxa"/>
          </w:tcPr>
          <w:p w:rsidR="005B6D99" w:rsidRDefault="00D33051">
            <w:pPr>
              <w:pStyle w:val="Normal1"/>
              <w:contextualSpacing w:val="0"/>
              <w:jc w:val="both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sz w:val="14"/>
                <w:szCs w:val="14"/>
              </w:rPr>
              <w:t>La medida de la anastomosis de ángulo a ángulo es precisa.</w:t>
            </w:r>
          </w:p>
          <w:p w:rsidR="005B6D99" w:rsidRDefault="00D33051">
            <w:pPr>
              <w:pStyle w:val="Normal1"/>
              <w:contextualSpacing w:val="0"/>
              <w:jc w:val="both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sz w:val="14"/>
                <w:szCs w:val="14"/>
              </w:rPr>
              <w:br/>
              <w:t>No hay hilo sobrante después de tensar el mismo</w:t>
            </w:r>
          </w:p>
        </w:tc>
        <w:tc>
          <w:tcPr>
            <w:tcW w:w="660" w:type="dxa"/>
          </w:tcPr>
          <w:p w:rsidR="005B6D99" w:rsidRDefault="005B6D99">
            <w:pPr>
              <w:pStyle w:val="Normal1"/>
              <w:contextualSpacing w:val="0"/>
              <w:rPr>
                <w:rFonts w:ascii="Times" w:eastAsia="Times" w:hAnsi="Times" w:cs="Times"/>
                <w:sz w:val="14"/>
                <w:szCs w:val="14"/>
              </w:rPr>
            </w:pPr>
          </w:p>
        </w:tc>
      </w:tr>
      <w:tr w:rsidR="005B6D99">
        <w:tc>
          <w:tcPr>
            <w:tcW w:w="2160" w:type="dxa"/>
          </w:tcPr>
          <w:p w:rsidR="005B6D99" w:rsidRDefault="00D33051">
            <w:pPr>
              <w:pStyle w:val="Normal1"/>
              <w:contextualSpacing w:val="0"/>
              <w:jc w:val="both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b/>
                <w:sz w:val="14"/>
                <w:szCs w:val="14"/>
              </w:rPr>
              <w:t xml:space="preserve">Elemento 4:  Estanqueidad: </w:t>
            </w:r>
            <w:r>
              <w:rPr>
                <w:rFonts w:ascii="Times" w:eastAsia="Times" w:hAnsi="Times" w:cs="Times"/>
                <w:sz w:val="14"/>
                <w:szCs w:val="14"/>
              </w:rPr>
              <w:t>Evaluación de la fuga de aire a través de las líneas de sutura cuando los intestinos que forman la anastomosis están distendidos. Se considera estanca cuando no existe  fuga de aire por la misma.</w:t>
            </w:r>
          </w:p>
        </w:tc>
        <w:tc>
          <w:tcPr>
            <w:tcW w:w="1800" w:type="dxa"/>
          </w:tcPr>
          <w:p w:rsidR="005B6D99" w:rsidRDefault="00D33051">
            <w:pPr>
              <w:pStyle w:val="Normal1"/>
              <w:contextualSpacing w:val="0"/>
              <w:jc w:val="both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sz w:val="14"/>
                <w:szCs w:val="14"/>
              </w:rPr>
              <w:t>Existe salida de aire por cualquier parte de la anastomosis y de forma manifiesta no permite la distensión de la anastomosis.</w:t>
            </w:r>
          </w:p>
          <w:p w:rsidR="005B6D99" w:rsidRDefault="005B6D99">
            <w:pPr>
              <w:pStyle w:val="Normal1"/>
              <w:contextualSpacing w:val="0"/>
              <w:jc w:val="both"/>
              <w:rPr>
                <w:rFonts w:ascii="Times" w:eastAsia="Times" w:hAnsi="Times" w:cs="Times"/>
                <w:sz w:val="14"/>
                <w:szCs w:val="14"/>
              </w:rPr>
            </w:pPr>
          </w:p>
        </w:tc>
        <w:tc>
          <w:tcPr>
            <w:tcW w:w="1095" w:type="dxa"/>
          </w:tcPr>
          <w:p w:rsidR="005B6D99" w:rsidRDefault="005B6D99">
            <w:pPr>
              <w:pStyle w:val="Normal1"/>
              <w:contextualSpacing w:val="0"/>
              <w:rPr>
                <w:rFonts w:ascii="Times" w:eastAsia="Times" w:hAnsi="Times" w:cs="Times"/>
                <w:sz w:val="14"/>
                <w:szCs w:val="14"/>
              </w:rPr>
            </w:pPr>
          </w:p>
        </w:tc>
        <w:tc>
          <w:tcPr>
            <w:tcW w:w="1065" w:type="dxa"/>
          </w:tcPr>
          <w:p w:rsidR="005B6D99" w:rsidRDefault="005B6D99">
            <w:pPr>
              <w:pStyle w:val="Normal1"/>
              <w:contextualSpacing w:val="0"/>
              <w:rPr>
                <w:rFonts w:ascii="Times" w:eastAsia="Times" w:hAnsi="Times" w:cs="Times"/>
                <w:sz w:val="14"/>
                <w:szCs w:val="14"/>
              </w:rPr>
            </w:pPr>
          </w:p>
        </w:tc>
        <w:tc>
          <w:tcPr>
            <w:tcW w:w="1770" w:type="dxa"/>
          </w:tcPr>
          <w:p w:rsidR="005B6D99" w:rsidRDefault="00D33051">
            <w:pPr>
              <w:pStyle w:val="Normal1"/>
              <w:contextualSpacing w:val="0"/>
              <w:jc w:val="both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sz w:val="14"/>
                <w:szCs w:val="14"/>
              </w:rPr>
              <w:t>Existe pequeña salida de aire  por alguno de los pases de la aguja y no por los puntos con las asas intestinales distendidas.</w:t>
            </w:r>
          </w:p>
        </w:tc>
        <w:tc>
          <w:tcPr>
            <w:tcW w:w="1050" w:type="dxa"/>
          </w:tcPr>
          <w:p w:rsidR="005B6D99" w:rsidRDefault="005B6D99">
            <w:pPr>
              <w:pStyle w:val="Normal1"/>
              <w:contextualSpacing w:val="0"/>
              <w:rPr>
                <w:rFonts w:ascii="Times" w:eastAsia="Times" w:hAnsi="Times" w:cs="Times"/>
                <w:sz w:val="14"/>
                <w:szCs w:val="14"/>
              </w:rPr>
            </w:pPr>
          </w:p>
        </w:tc>
        <w:tc>
          <w:tcPr>
            <w:tcW w:w="1230" w:type="dxa"/>
          </w:tcPr>
          <w:p w:rsidR="005B6D99" w:rsidRDefault="005B6D99">
            <w:pPr>
              <w:pStyle w:val="Normal1"/>
              <w:contextualSpacing w:val="0"/>
              <w:rPr>
                <w:rFonts w:ascii="Times" w:eastAsia="Times" w:hAnsi="Times" w:cs="Times"/>
                <w:sz w:val="14"/>
                <w:szCs w:val="14"/>
              </w:rPr>
            </w:pPr>
          </w:p>
        </w:tc>
        <w:tc>
          <w:tcPr>
            <w:tcW w:w="1545" w:type="dxa"/>
          </w:tcPr>
          <w:p w:rsidR="005B6D99" w:rsidRDefault="00D33051">
            <w:pPr>
              <w:pStyle w:val="Normal1"/>
              <w:contextualSpacing w:val="0"/>
              <w:jc w:val="both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sz w:val="14"/>
                <w:szCs w:val="14"/>
              </w:rPr>
              <w:t>No existe salida de aire por ningún punto de la anastomosis y las asas intestinales están distendidas.</w:t>
            </w:r>
          </w:p>
        </w:tc>
        <w:tc>
          <w:tcPr>
            <w:tcW w:w="660" w:type="dxa"/>
          </w:tcPr>
          <w:p w:rsidR="005B6D99" w:rsidRDefault="005B6D99">
            <w:pPr>
              <w:pStyle w:val="Normal1"/>
              <w:contextualSpacing w:val="0"/>
              <w:rPr>
                <w:rFonts w:ascii="Times" w:eastAsia="Times" w:hAnsi="Times" w:cs="Times"/>
                <w:sz w:val="14"/>
                <w:szCs w:val="14"/>
              </w:rPr>
            </w:pPr>
          </w:p>
        </w:tc>
      </w:tr>
      <w:tr w:rsidR="005B6D99">
        <w:trPr>
          <w:trHeight w:val="240"/>
        </w:trPr>
        <w:tc>
          <w:tcPr>
            <w:tcW w:w="12375" w:type="dxa"/>
            <w:gridSpan w:val="9"/>
          </w:tcPr>
          <w:p w:rsidR="005B6D99" w:rsidRDefault="00D33051" w:rsidP="001C57D3">
            <w:pPr>
              <w:pStyle w:val="Normal1"/>
              <w:contextualSpacing w:val="0"/>
              <w:jc w:val="center"/>
              <w:rPr>
                <w:rFonts w:ascii="Times" w:eastAsia="Times" w:hAnsi="Times" w:cs="Times"/>
                <w:sz w:val="14"/>
                <w:szCs w:val="14"/>
              </w:rPr>
            </w:pPr>
            <w:r>
              <w:rPr>
                <w:rFonts w:ascii="Times" w:eastAsia="Times" w:hAnsi="Times" w:cs="Times"/>
                <w:b/>
                <w:sz w:val="14"/>
                <w:szCs w:val="14"/>
              </w:rPr>
              <w:t>Total</w:t>
            </w:r>
            <w:r w:rsidR="001C57D3">
              <w:rPr>
                <w:rFonts w:ascii="Times" w:eastAsia="Times" w:hAnsi="Times" w:cs="Times"/>
                <w:sz w:val="14"/>
                <w:szCs w:val="14"/>
              </w:rPr>
              <w:t>=1+2+3+4 (mínimo 5 y máximo 28</w:t>
            </w:r>
            <w:bookmarkStart w:id="1" w:name="_GoBack"/>
            <w:bookmarkEnd w:id="1"/>
            <w:r>
              <w:rPr>
                <w:rFonts w:ascii="Times" w:eastAsia="Times" w:hAnsi="Times" w:cs="Times"/>
                <w:sz w:val="14"/>
                <w:szCs w:val="14"/>
              </w:rPr>
              <w:t>)</w:t>
            </w:r>
          </w:p>
        </w:tc>
      </w:tr>
    </w:tbl>
    <w:p w:rsidR="005B6D99" w:rsidRDefault="005B6D99">
      <w:pPr>
        <w:pStyle w:val="Normal1"/>
      </w:pPr>
    </w:p>
    <w:sectPr w:rsidR="005B6D99">
      <w:pgSz w:w="16840" w:h="11900"/>
      <w:pgMar w:top="847" w:right="1417" w:bottom="1701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99"/>
    <w:rsid w:val="001C57D3"/>
    <w:rsid w:val="005B6D99"/>
    <w:rsid w:val="00D3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46E8B"/>
  <w15:docId w15:val="{F07CE2F5-1B5C-402D-BA6E-E15C428A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_tradnl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HvV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Enrique</dc:creator>
  <cp:lastModifiedBy>HP</cp:lastModifiedBy>
  <cp:revision>2</cp:revision>
  <dcterms:created xsi:type="dcterms:W3CDTF">2019-06-15T21:17:00Z</dcterms:created>
  <dcterms:modified xsi:type="dcterms:W3CDTF">2019-06-15T21:17:00Z</dcterms:modified>
</cp:coreProperties>
</file>