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0D9" w14:paraId="0F50162A" w14:textId="77777777" w:rsidTr="00DF0993">
        <w:tc>
          <w:tcPr>
            <w:tcW w:w="2122" w:type="dxa"/>
          </w:tcPr>
          <w:p w14:paraId="4CCE1EAC" w14:textId="29F47E60" w:rsidR="004720D9" w:rsidRPr="00190D8B" w:rsidRDefault="004720D9">
            <w:pPr>
              <w:rPr>
                <w:rFonts w:ascii="Arial" w:hAnsi="Arial" w:cs="Arial"/>
              </w:rPr>
            </w:pPr>
            <w:proofErr w:type="spellStart"/>
            <w:r w:rsidRPr="00190D8B">
              <w:rPr>
                <w:rFonts w:ascii="Arial" w:hAnsi="Arial" w:cs="Arial"/>
              </w:rPr>
              <w:t>Medida</w:t>
            </w:r>
            <w:proofErr w:type="spellEnd"/>
          </w:p>
        </w:tc>
        <w:tc>
          <w:tcPr>
            <w:tcW w:w="6372" w:type="dxa"/>
          </w:tcPr>
          <w:p w14:paraId="1A7B82A8" w14:textId="558295BF" w:rsidR="004720D9" w:rsidRPr="00190D8B" w:rsidRDefault="004720D9">
            <w:pPr>
              <w:rPr>
                <w:rFonts w:ascii="Arial" w:hAnsi="Arial" w:cs="Arial"/>
              </w:rPr>
            </w:pPr>
            <w:proofErr w:type="spellStart"/>
            <w:r w:rsidRPr="00190D8B">
              <w:rPr>
                <w:rFonts w:ascii="Arial" w:hAnsi="Arial" w:cs="Arial"/>
              </w:rPr>
              <w:t>Recomendación</w:t>
            </w:r>
            <w:proofErr w:type="spellEnd"/>
          </w:p>
        </w:tc>
      </w:tr>
      <w:tr w:rsidR="004720D9" w:rsidRPr="00154760" w14:paraId="694F2460" w14:textId="77777777" w:rsidTr="00DF0993">
        <w:tc>
          <w:tcPr>
            <w:tcW w:w="2122" w:type="dxa"/>
          </w:tcPr>
          <w:p w14:paraId="0E6F0667" w14:textId="048D1984" w:rsidR="004720D9" w:rsidRPr="00190D8B" w:rsidRDefault="004720D9" w:rsidP="00190D8B">
            <w:pPr>
              <w:rPr>
                <w:rFonts w:ascii="Arial" w:hAnsi="Arial" w:cs="Arial"/>
              </w:rPr>
            </w:pPr>
            <w:r w:rsidRPr="00190D8B">
              <w:rPr>
                <w:rFonts w:ascii="Arial" w:hAnsi="Arial" w:cs="Arial"/>
                <w:lang w:val="es-ES"/>
              </w:rPr>
              <w:t>Eliminación del vello cutáneo</w:t>
            </w:r>
          </w:p>
        </w:tc>
        <w:tc>
          <w:tcPr>
            <w:tcW w:w="6372" w:type="dxa"/>
          </w:tcPr>
          <w:p w14:paraId="34189BE5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no retirar de forma rutinaria el vello del campo quirúrgico. </w:t>
            </w:r>
          </w:p>
          <w:p w14:paraId="54555949" w14:textId="2F2169D9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En caso de considerarse necesario, se debe eliminar fuera del área quirúrgica, poco tiempo antes del inicio de la intervención y mediante corte con maquinilla eléctrica.</w:t>
            </w:r>
          </w:p>
        </w:tc>
      </w:tr>
      <w:tr w:rsidR="004720D9" w:rsidRPr="00154760" w14:paraId="6F227788" w14:textId="77777777" w:rsidTr="00DF0993">
        <w:tc>
          <w:tcPr>
            <w:tcW w:w="2122" w:type="dxa"/>
          </w:tcPr>
          <w:p w14:paraId="29DF999C" w14:textId="21D2141A" w:rsidR="004720D9" w:rsidRPr="00190D8B" w:rsidRDefault="004720D9" w:rsidP="00190D8B">
            <w:pPr>
              <w:rPr>
                <w:rFonts w:ascii="Arial" w:hAnsi="Arial" w:cs="Arial"/>
              </w:rPr>
            </w:pPr>
            <w:r w:rsidRPr="00190D8B">
              <w:rPr>
                <w:rFonts w:ascii="Arial" w:hAnsi="Arial" w:cs="Arial"/>
                <w:lang w:val="es-ES"/>
              </w:rPr>
              <w:t>Antisepsia de la piel</w:t>
            </w:r>
          </w:p>
        </w:tc>
        <w:tc>
          <w:tcPr>
            <w:tcW w:w="6372" w:type="dxa"/>
          </w:tcPr>
          <w:p w14:paraId="1359F713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En piel indemne se recomienda descontaminar la piel con una solución alcohólica, con gluconato de clorhexidina al 2% con 70% de alcohol o povidona yodada al 5% en 70% de alcohol, en cantidad y extensión adecuadas.</w:t>
            </w:r>
          </w:p>
          <w:p w14:paraId="7D684E45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En mucosas o piel con heridas abiertas, se recomienda un antiséptico de base acuosa con clorhexidina al 2% o con povidona yodada al 10%.</w:t>
            </w:r>
          </w:p>
          <w:p w14:paraId="258F9A04" w14:textId="354B5D7A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que todos los antisépticos actúen sobre la piel al menos durante 3 minutos y se dejen secar al aire </w:t>
            </w:r>
            <w:r w:rsidR="00154760">
              <w:rPr>
                <w:rFonts w:ascii="Arial" w:hAnsi="Arial" w:cs="Arial"/>
                <w:lang w:val="es-ES"/>
              </w:rPr>
              <w:t xml:space="preserve">por completo </w:t>
            </w:r>
            <w:r w:rsidRPr="00190D8B">
              <w:rPr>
                <w:rFonts w:ascii="Arial" w:hAnsi="Arial" w:cs="Arial"/>
                <w:lang w:val="es-ES"/>
              </w:rPr>
              <w:t xml:space="preserve">antes </w:t>
            </w:r>
            <w:r w:rsidR="00154760">
              <w:rPr>
                <w:rFonts w:ascii="Arial" w:hAnsi="Arial" w:cs="Arial"/>
                <w:lang w:val="es-ES"/>
              </w:rPr>
              <w:t xml:space="preserve">de </w:t>
            </w:r>
            <w:r w:rsidRPr="00190D8B">
              <w:rPr>
                <w:rFonts w:ascii="Arial" w:hAnsi="Arial" w:cs="Arial"/>
                <w:lang w:val="es-ES"/>
              </w:rPr>
              <w:t xml:space="preserve">colocar la cobertura quirúrgica. </w:t>
            </w:r>
          </w:p>
          <w:p w14:paraId="0214B2F8" w14:textId="11144321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Cuando se utilicen soluciones alcohólicas, se recomienda extremar las medidas de seguridad para evitar el riesgo de incendios y quemaduras.</w:t>
            </w:r>
          </w:p>
        </w:tc>
      </w:tr>
      <w:tr w:rsidR="004720D9" w:rsidRPr="00154760" w14:paraId="3BCA04EB" w14:textId="77777777" w:rsidTr="00DF0993">
        <w:tc>
          <w:tcPr>
            <w:tcW w:w="2122" w:type="dxa"/>
          </w:tcPr>
          <w:p w14:paraId="2CDC6253" w14:textId="0BC5BCF6" w:rsidR="004720D9" w:rsidRPr="00190D8B" w:rsidRDefault="004720D9" w:rsidP="00190D8B">
            <w:pPr>
              <w:rPr>
                <w:rFonts w:ascii="Arial" w:hAnsi="Arial" w:cs="Arial"/>
              </w:rPr>
            </w:pPr>
            <w:r w:rsidRPr="00190D8B">
              <w:rPr>
                <w:rFonts w:ascii="Arial" w:hAnsi="Arial" w:cs="Arial"/>
                <w:lang w:val="es-ES"/>
              </w:rPr>
              <w:t>Profilaxis antibiótica adecuada</w:t>
            </w:r>
          </w:p>
        </w:tc>
        <w:tc>
          <w:tcPr>
            <w:tcW w:w="6372" w:type="dxa"/>
          </w:tcPr>
          <w:p w14:paraId="3BEEEC6E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la profilaxis antibiótica sistémica adecuada, en general en monodosis. </w:t>
            </w:r>
          </w:p>
          <w:p w14:paraId="57F1013D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recomiendan </w:t>
            </w:r>
            <w:proofErr w:type="spellStart"/>
            <w:r w:rsidRPr="00190D8B">
              <w:rPr>
                <w:rFonts w:ascii="Arial" w:hAnsi="Arial" w:cs="Arial"/>
                <w:lang w:val="es-ES"/>
              </w:rPr>
              <w:t>redosificaciones</w:t>
            </w:r>
            <w:proofErr w:type="spellEnd"/>
            <w:r w:rsidRPr="00190D8B">
              <w:rPr>
                <w:rFonts w:ascii="Arial" w:hAnsi="Arial" w:cs="Arial"/>
                <w:lang w:val="es-ES"/>
              </w:rPr>
              <w:t xml:space="preserve"> que proporcionen niveles terapéuticos óptimos durante toda la intervención. </w:t>
            </w:r>
          </w:p>
          <w:p w14:paraId="1DB4CA85" w14:textId="77777777" w:rsidR="004720D9" w:rsidRPr="00190D8B" w:rsidRDefault="004720D9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DF0993" w:rsidRPr="00154760" w14:paraId="0F7D1FB9" w14:textId="77777777" w:rsidTr="00DF0993">
        <w:tc>
          <w:tcPr>
            <w:tcW w:w="2122" w:type="dxa"/>
          </w:tcPr>
          <w:p w14:paraId="37DFBC98" w14:textId="491A6A30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Prolongación de la profilaxis antibiótica</w:t>
            </w:r>
          </w:p>
        </w:tc>
        <w:tc>
          <w:tcPr>
            <w:tcW w:w="6372" w:type="dxa"/>
          </w:tcPr>
          <w:p w14:paraId="156887F6" w14:textId="7777777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no prolongar la profilaxis antibiótica más de 24 horas.</w:t>
            </w:r>
          </w:p>
          <w:p w14:paraId="1D52E08C" w14:textId="7777777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DF0993" w:rsidRPr="00154760" w14:paraId="2D2292EE" w14:textId="77777777" w:rsidTr="00DF0993">
        <w:tc>
          <w:tcPr>
            <w:tcW w:w="2122" w:type="dxa"/>
          </w:tcPr>
          <w:p w14:paraId="10F08A2D" w14:textId="2DAC521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proofErr w:type="spellStart"/>
            <w:r w:rsidRPr="00190D8B">
              <w:rPr>
                <w:rFonts w:ascii="Arial" w:hAnsi="Arial" w:cs="Arial"/>
                <w:lang w:val="es-ES"/>
              </w:rPr>
              <w:t>Normotermia</w:t>
            </w:r>
            <w:proofErr w:type="spellEnd"/>
          </w:p>
        </w:tc>
        <w:tc>
          <w:tcPr>
            <w:tcW w:w="6372" w:type="dxa"/>
          </w:tcPr>
          <w:p w14:paraId="46D5F646" w14:textId="7777777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mantener la temperatura central del paciente por encima de 36ºC durante todo el periodo perioperatorio en todos los procedimientos de &gt;30 minutos de duración. </w:t>
            </w:r>
          </w:p>
          <w:p w14:paraId="76F1965E" w14:textId="7777777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DF0993" w:rsidRPr="00154760" w14:paraId="6FCC5560" w14:textId="77777777" w:rsidTr="00DF0993">
        <w:tc>
          <w:tcPr>
            <w:tcW w:w="2122" w:type="dxa"/>
          </w:tcPr>
          <w:p w14:paraId="4AF23797" w14:textId="743B702C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proofErr w:type="spellStart"/>
            <w:r w:rsidRPr="00190D8B">
              <w:rPr>
                <w:rFonts w:ascii="Arial" w:hAnsi="Arial" w:cs="Arial"/>
                <w:lang w:val="es-ES"/>
              </w:rPr>
              <w:t>Normoglucemia</w:t>
            </w:r>
            <w:proofErr w:type="spellEnd"/>
          </w:p>
        </w:tc>
        <w:tc>
          <w:tcPr>
            <w:tcW w:w="6372" w:type="dxa"/>
          </w:tcPr>
          <w:p w14:paraId="274B2CEA" w14:textId="051D5C9C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el control no estricto de la glucemia perioperatoria en cirugía mayor en pacientes diabéticos y no diabéticos, con el objetivo de alcanzar niveles por debajo de 150-200 mg/dl (8,3 mmol/L - 11,1</w:t>
            </w:r>
            <w:bookmarkStart w:id="0" w:name="_GoBack"/>
            <w:bookmarkEnd w:id="0"/>
            <w:r w:rsidRPr="00190D8B">
              <w:rPr>
                <w:rFonts w:ascii="Arial" w:hAnsi="Arial" w:cs="Arial"/>
                <w:lang w:val="es-ES"/>
              </w:rPr>
              <w:t xml:space="preserve"> mmol/L). </w:t>
            </w:r>
          </w:p>
          <w:p w14:paraId="494B7B77" w14:textId="77777777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DF0993" w:rsidRPr="00154760" w14:paraId="3B05B5FC" w14:textId="77777777" w:rsidTr="00DF0993">
        <w:tc>
          <w:tcPr>
            <w:tcW w:w="2122" w:type="dxa"/>
          </w:tcPr>
          <w:p w14:paraId="1C33756E" w14:textId="3BC586F6" w:rsidR="00DF0993" w:rsidRPr="00190D8B" w:rsidRDefault="00DF0993" w:rsidP="00190D8B">
            <w:pPr>
              <w:rPr>
                <w:rFonts w:ascii="Arial" w:hAnsi="Arial" w:cs="Arial"/>
              </w:rPr>
            </w:pPr>
            <w:r w:rsidRPr="00190D8B">
              <w:rPr>
                <w:rFonts w:ascii="Arial" w:hAnsi="Arial" w:cs="Arial"/>
                <w:lang w:val="es-ES"/>
              </w:rPr>
              <w:t>Baño/</w:t>
            </w:r>
            <w:proofErr w:type="gramStart"/>
            <w:r w:rsidRPr="00190D8B">
              <w:rPr>
                <w:rFonts w:ascii="Arial" w:hAnsi="Arial" w:cs="Arial"/>
                <w:lang w:val="es-ES"/>
              </w:rPr>
              <w:t>ducha preoperatorio</w:t>
            </w:r>
            <w:proofErr w:type="gramEnd"/>
          </w:p>
        </w:tc>
        <w:tc>
          <w:tcPr>
            <w:tcW w:w="6372" w:type="dxa"/>
          </w:tcPr>
          <w:p w14:paraId="7D2CCEC7" w14:textId="23D74D28" w:rsidR="00DF0993" w:rsidRPr="00190D8B" w:rsidRDefault="00DF0993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que el paciente se duche el mismo día de la intervención con un jabón de clorhexidina o con jabón no farmacológico, proporcionando la máxima información al paciente sobre el procedimiento a seguir.</w:t>
            </w:r>
          </w:p>
        </w:tc>
      </w:tr>
      <w:tr w:rsidR="00190D8B" w:rsidRPr="00154760" w14:paraId="7D888C77" w14:textId="77777777" w:rsidTr="00DF0993">
        <w:tc>
          <w:tcPr>
            <w:tcW w:w="2122" w:type="dxa"/>
          </w:tcPr>
          <w:p w14:paraId="65234A9A" w14:textId="50351595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Preparación/lavado de manos</w:t>
            </w:r>
          </w:p>
        </w:tc>
        <w:tc>
          <w:tcPr>
            <w:tcW w:w="6372" w:type="dxa"/>
          </w:tcPr>
          <w:p w14:paraId="1F89C6BA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que la primera higiene quirúrgica de manos del día sea con solución jabonosa antiséptica, de 5 minutos, y que incluya manos, antebrazos y codos. </w:t>
            </w:r>
          </w:p>
          <w:p w14:paraId="15F1EFC8" w14:textId="03999FFF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Las ulteriores preparaciones quirúrgicas pueden ser con jabón antiséptico o con solución alcohólica, dejando que se evapore de la piel.</w:t>
            </w:r>
          </w:p>
        </w:tc>
      </w:tr>
      <w:tr w:rsidR="00190D8B" w:rsidRPr="00154760" w14:paraId="36A57637" w14:textId="77777777" w:rsidTr="00DF0993">
        <w:tc>
          <w:tcPr>
            <w:tcW w:w="2122" w:type="dxa"/>
          </w:tcPr>
          <w:p w14:paraId="734D3A9E" w14:textId="5AA6D3E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Protección de los márgenes de la herida quirúrgica</w:t>
            </w:r>
          </w:p>
        </w:tc>
        <w:tc>
          <w:tcPr>
            <w:tcW w:w="6372" w:type="dxa"/>
          </w:tcPr>
          <w:p w14:paraId="74CEA539" w14:textId="4D1B8BD2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la utilización de protectores plásticos para proteger los márgenes de la herida quirúrgica, preferiblemente de doble anillo.</w:t>
            </w:r>
          </w:p>
        </w:tc>
      </w:tr>
      <w:tr w:rsidR="00190D8B" w:rsidRPr="00154760" w14:paraId="19400B6F" w14:textId="77777777" w:rsidTr="00DF0993">
        <w:tc>
          <w:tcPr>
            <w:tcW w:w="2122" w:type="dxa"/>
          </w:tcPr>
          <w:p w14:paraId="7A81B600" w14:textId="2599E42E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Profilaxis antibiótica vía oral en cirugía colorrectal</w:t>
            </w:r>
          </w:p>
        </w:tc>
        <w:tc>
          <w:tcPr>
            <w:tcW w:w="6372" w:type="dxa"/>
          </w:tcPr>
          <w:p w14:paraId="1BD37B1A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la profilaxis antibiótica por vía oral asociada a la preparación mecánica de colon en cirugía colorrectal. </w:t>
            </w:r>
          </w:p>
          <w:p w14:paraId="5D30191B" w14:textId="2C99255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11D6FE44" w14:textId="77777777" w:rsidTr="00DF0993">
        <w:tc>
          <w:tcPr>
            <w:tcW w:w="2122" w:type="dxa"/>
          </w:tcPr>
          <w:p w14:paraId="49036702" w14:textId="0204B00B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proofErr w:type="spellStart"/>
            <w:r w:rsidRPr="00190D8B">
              <w:rPr>
                <w:rFonts w:ascii="Arial" w:hAnsi="Arial" w:cs="Arial"/>
                <w:lang w:val="es-ES"/>
              </w:rPr>
              <w:lastRenderedPageBreak/>
              <w:t>Normovolemia</w:t>
            </w:r>
            <w:proofErr w:type="spellEnd"/>
          </w:p>
        </w:tc>
        <w:tc>
          <w:tcPr>
            <w:tcW w:w="6372" w:type="dxa"/>
          </w:tcPr>
          <w:p w14:paraId="22938EB8" w14:textId="08E2389E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evitar la hipotensión perioperatoria y el exceso de volumen que produzca edema de los tejidos y una expansión significativa del volumen extracelular, situaciones que pueden interferir tanto en la cicatrización correcta de las anastomosis y suturas como en la biodisponibilidad correcta de los antibióticos profilácticos.</w:t>
            </w:r>
          </w:p>
        </w:tc>
      </w:tr>
      <w:tr w:rsidR="00190D8B" w:rsidRPr="00154760" w14:paraId="1DBBD2A1" w14:textId="77777777" w:rsidTr="00DF0993">
        <w:tc>
          <w:tcPr>
            <w:tcW w:w="2122" w:type="dxa"/>
          </w:tcPr>
          <w:p w14:paraId="4146058A" w14:textId="75B8B0C5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Ropa operatoria / campos quirúrgicos</w:t>
            </w:r>
          </w:p>
        </w:tc>
        <w:tc>
          <w:tcPr>
            <w:tcW w:w="6372" w:type="dxa"/>
          </w:tcPr>
          <w:p w14:paraId="49627C83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el uso de mascarillas y gorros cubriendo el pelo, además de campos quirúrgicos y ropa operatoria estériles. </w:t>
            </w:r>
          </w:p>
          <w:p w14:paraId="364F5D52" w14:textId="624F8CAC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No se recomienda utilizar la vestimenta del área quirúrgica fuera de ella.</w:t>
            </w:r>
          </w:p>
        </w:tc>
      </w:tr>
      <w:tr w:rsidR="00190D8B" w:rsidRPr="00154760" w14:paraId="7E20CE24" w14:textId="77777777" w:rsidTr="00DF0993">
        <w:tc>
          <w:tcPr>
            <w:tcW w:w="2122" w:type="dxa"/>
          </w:tcPr>
          <w:p w14:paraId="369B4377" w14:textId="265B943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Apósitos protectores para las heridas quirúrgicas</w:t>
            </w:r>
          </w:p>
        </w:tc>
        <w:tc>
          <w:tcPr>
            <w:tcW w:w="6372" w:type="dxa"/>
          </w:tcPr>
          <w:p w14:paraId="7D77F5E2" w14:textId="22512512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recomienda aplicar un apósito con gasa estéril durante 48 horas sobre las heridas quirúrgicas.</w:t>
            </w:r>
          </w:p>
        </w:tc>
      </w:tr>
      <w:tr w:rsidR="00190D8B" w:rsidRPr="00154760" w14:paraId="7808F646" w14:textId="77777777" w:rsidTr="00DF0993">
        <w:tc>
          <w:tcPr>
            <w:tcW w:w="2122" w:type="dxa"/>
          </w:tcPr>
          <w:p w14:paraId="4D2E09AA" w14:textId="29313DFB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proofErr w:type="spellStart"/>
            <w:r w:rsidRPr="00190D8B">
              <w:rPr>
                <w:rFonts w:ascii="Arial" w:hAnsi="Arial" w:cs="Arial"/>
              </w:rPr>
              <w:t>Nutrición</w:t>
            </w:r>
            <w:proofErr w:type="spellEnd"/>
            <w:r w:rsidRPr="00190D8B">
              <w:rPr>
                <w:rFonts w:ascii="Arial" w:hAnsi="Arial" w:cs="Arial"/>
              </w:rPr>
              <w:t xml:space="preserve"> </w:t>
            </w:r>
            <w:proofErr w:type="spellStart"/>
            <w:r w:rsidRPr="00190D8B">
              <w:rPr>
                <w:rFonts w:ascii="Arial" w:hAnsi="Arial" w:cs="Arial"/>
              </w:rPr>
              <w:t>preoperatoria</w:t>
            </w:r>
            <w:proofErr w:type="spellEnd"/>
          </w:p>
        </w:tc>
        <w:tc>
          <w:tcPr>
            <w:tcW w:w="6372" w:type="dxa"/>
          </w:tcPr>
          <w:p w14:paraId="612386A8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recomienda la nutrición perioperatoria del paciente desnutrido. </w:t>
            </w:r>
          </w:p>
          <w:p w14:paraId="2AF1D3A1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sugiere la </w:t>
            </w:r>
            <w:proofErr w:type="spellStart"/>
            <w:r w:rsidRPr="00190D8B">
              <w:rPr>
                <w:rFonts w:ascii="Arial" w:hAnsi="Arial" w:cs="Arial"/>
                <w:lang w:val="es-ES"/>
              </w:rPr>
              <w:t>inmunonutrición</w:t>
            </w:r>
            <w:proofErr w:type="spellEnd"/>
            <w:r w:rsidRPr="00190D8B">
              <w:rPr>
                <w:rFonts w:ascii="Arial" w:hAnsi="Arial" w:cs="Arial"/>
                <w:lang w:val="es-ES"/>
              </w:rPr>
              <w:t xml:space="preserve"> preoperatoria en los pacientes desnutridos con cáncer que van a ser sometidos a cirugía mayor.</w:t>
            </w:r>
          </w:p>
          <w:p w14:paraId="7A35ABB3" w14:textId="71F5B28D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668C2A97" w14:textId="77777777" w:rsidTr="00DF0993">
        <w:tc>
          <w:tcPr>
            <w:tcW w:w="2122" w:type="dxa"/>
          </w:tcPr>
          <w:p w14:paraId="05EE35F6" w14:textId="30CC2CFD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Preparación mecánica del colon</w:t>
            </w:r>
          </w:p>
        </w:tc>
        <w:tc>
          <w:tcPr>
            <w:tcW w:w="6372" w:type="dxa"/>
          </w:tcPr>
          <w:p w14:paraId="1E98CA0E" w14:textId="23E6AC0C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No se recomienda la preparación mecánica de colon aislada como medida de prevención de ILQ en cirugía colorrectal.</w:t>
            </w:r>
          </w:p>
        </w:tc>
      </w:tr>
      <w:tr w:rsidR="00190D8B" w:rsidRPr="00154760" w14:paraId="756DBE74" w14:textId="77777777" w:rsidTr="00DF0993">
        <w:tc>
          <w:tcPr>
            <w:tcW w:w="2122" w:type="dxa"/>
          </w:tcPr>
          <w:p w14:paraId="41F8C508" w14:textId="4468640F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Suspensión del tratamiento inmunomodulador antes de la intervención</w:t>
            </w:r>
          </w:p>
        </w:tc>
        <w:tc>
          <w:tcPr>
            <w:tcW w:w="6372" w:type="dxa"/>
          </w:tcPr>
          <w:p w14:paraId="73D36CFC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No se recomienda la retirada de la terapia inmunosupresora sistémica previa a la cirugía mayor. </w:t>
            </w:r>
          </w:p>
          <w:p w14:paraId="7FAB9B32" w14:textId="56CE7801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55630D47" w14:textId="77777777" w:rsidTr="00DF0993">
        <w:tc>
          <w:tcPr>
            <w:tcW w:w="2122" w:type="dxa"/>
          </w:tcPr>
          <w:p w14:paraId="5983D609" w14:textId="35C50C9D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Protectores de plástico adhesivo sobre el campo quirúrgico</w:t>
            </w:r>
          </w:p>
        </w:tc>
        <w:tc>
          <w:tcPr>
            <w:tcW w:w="6372" w:type="dxa"/>
          </w:tcPr>
          <w:p w14:paraId="6381A472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No se recomienda utilizar protectores de plástico adhesivo sobre el campo quirúrgico. </w:t>
            </w:r>
          </w:p>
          <w:p w14:paraId="31B705B7" w14:textId="0DA16926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77BBB105" w14:textId="77777777" w:rsidTr="00DF0993">
        <w:tc>
          <w:tcPr>
            <w:tcW w:w="2122" w:type="dxa"/>
          </w:tcPr>
          <w:p w14:paraId="58A7958B" w14:textId="7F8E9934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Utilización de sellantes cutáneos</w:t>
            </w:r>
          </w:p>
        </w:tc>
        <w:tc>
          <w:tcPr>
            <w:tcW w:w="6372" w:type="dxa"/>
          </w:tcPr>
          <w:p w14:paraId="1C986065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No se recomienda utilizar sellantes cutáneos sobre el campo quirúrgico.</w:t>
            </w:r>
          </w:p>
          <w:p w14:paraId="3020DC99" w14:textId="22897B7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29BC3CAD" w14:textId="77777777" w:rsidTr="00DF0993">
        <w:tc>
          <w:tcPr>
            <w:tcW w:w="2122" w:type="dxa"/>
          </w:tcPr>
          <w:p w14:paraId="5BD6EBBB" w14:textId="6AF73952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Oxigenación</w:t>
            </w:r>
          </w:p>
        </w:tc>
        <w:tc>
          <w:tcPr>
            <w:tcW w:w="6372" w:type="dxa"/>
          </w:tcPr>
          <w:p w14:paraId="295EE285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No se recomienda la hiperoxia durante el periodo perioperatorio.</w:t>
            </w:r>
          </w:p>
          <w:p w14:paraId="5F1E5553" w14:textId="55032ECF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26F9E3B0" w14:textId="77777777" w:rsidTr="00DF0993">
        <w:tc>
          <w:tcPr>
            <w:tcW w:w="2122" w:type="dxa"/>
          </w:tcPr>
          <w:p w14:paraId="60DBC091" w14:textId="3824D92A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Sistemas de ventilación con flujo laminar en </w:t>
            </w:r>
            <w:proofErr w:type="gramStart"/>
            <w:r w:rsidRPr="00190D8B">
              <w:rPr>
                <w:rFonts w:ascii="Arial" w:hAnsi="Arial" w:cs="Arial"/>
                <w:lang w:val="es-ES"/>
              </w:rPr>
              <w:t>quirófano</w:t>
            </w:r>
            <w:proofErr w:type="gramEnd"/>
          </w:p>
        </w:tc>
        <w:tc>
          <w:tcPr>
            <w:tcW w:w="6372" w:type="dxa"/>
          </w:tcPr>
          <w:p w14:paraId="69777615" w14:textId="78ABF9B8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No se recomienda la instalación de sistemas de ventilación con flujo laminar en los quirófanos de cirugía general. </w:t>
            </w:r>
          </w:p>
        </w:tc>
      </w:tr>
      <w:tr w:rsidR="00190D8B" w:rsidRPr="00154760" w14:paraId="0DDE4842" w14:textId="77777777" w:rsidTr="00DF0993">
        <w:tc>
          <w:tcPr>
            <w:tcW w:w="2122" w:type="dxa"/>
          </w:tcPr>
          <w:p w14:paraId="672FDD6E" w14:textId="6C836BE2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Uso de doble guante quirúrgico</w:t>
            </w:r>
          </w:p>
        </w:tc>
        <w:tc>
          <w:tcPr>
            <w:tcW w:w="6372" w:type="dxa"/>
          </w:tcPr>
          <w:p w14:paraId="324EA35F" w14:textId="08CE9D6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sugiere la utilización de doble guante para aumentar la protección a la contaminación tanto de los pacientes al equipo quirúrgico como del equipo quirúrgico a los pacientes</w:t>
            </w:r>
          </w:p>
        </w:tc>
      </w:tr>
      <w:tr w:rsidR="00190D8B" w:rsidRPr="00154760" w14:paraId="6673E2F9" w14:textId="77777777" w:rsidTr="00DF0993">
        <w:tc>
          <w:tcPr>
            <w:tcW w:w="2122" w:type="dxa"/>
          </w:tcPr>
          <w:p w14:paraId="20295406" w14:textId="7978A22C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Suturas con antiséptico</w:t>
            </w:r>
          </w:p>
        </w:tc>
        <w:tc>
          <w:tcPr>
            <w:tcW w:w="6372" w:type="dxa"/>
          </w:tcPr>
          <w:p w14:paraId="23F26F91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sugiere la utilización suturas impregnadas con antiséptico en cirugía limpia y limpia-contaminada, si se dispone de ellas sin un coste adicional.</w:t>
            </w:r>
          </w:p>
          <w:p w14:paraId="6C8932EF" w14:textId="0BD1A55B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1BECD958" w14:textId="77777777" w:rsidTr="00DF0993">
        <w:tc>
          <w:tcPr>
            <w:tcW w:w="2122" w:type="dxa"/>
          </w:tcPr>
          <w:p w14:paraId="238134E8" w14:textId="7DB69D49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Irrigación de la herida quirúrgica</w:t>
            </w:r>
          </w:p>
        </w:tc>
        <w:tc>
          <w:tcPr>
            <w:tcW w:w="6372" w:type="dxa"/>
          </w:tcPr>
          <w:p w14:paraId="61BCECAF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sugiere la irrigación de las heridas al final de la intervención con una cantidad moderada de una solución a presión para eliminar detritus y cuerpos extraños.</w:t>
            </w:r>
          </w:p>
          <w:p w14:paraId="2ED77D40" w14:textId="44DBE46C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0D56283E" w14:textId="77777777" w:rsidTr="00DF0993">
        <w:tc>
          <w:tcPr>
            <w:tcW w:w="2122" w:type="dxa"/>
          </w:tcPr>
          <w:p w14:paraId="4534C3DC" w14:textId="27D0D675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lastRenderedPageBreak/>
              <w:t>Cambio del material quirúrgico</w:t>
            </w:r>
          </w:p>
        </w:tc>
        <w:tc>
          <w:tcPr>
            <w:tcW w:w="6372" w:type="dxa"/>
          </w:tcPr>
          <w:p w14:paraId="11C01B07" w14:textId="77777777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 xml:space="preserve">Se sugiere cambiar el instrumental quirúrgico y el material auxiliar (terminales de aspirador, bisturí eléctrico, mangos de las lámparas quirúrgicas) antes del cierre de las heridas en cirugía limpia-contaminada, contaminada y sucia. </w:t>
            </w:r>
          </w:p>
          <w:p w14:paraId="144A9C2D" w14:textId="34E9F511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</w:p>
        </w:tc>
      </w:tr>
      <w:tr w:rsidR="00190D8B" w:rsidRPr="00154760" w14:paraId="54B7368A" w14:textId="77777777" w:rsidTr="00DF0993">
        <w:tc>
          <w:tcPr>
            <w:tcW w:w="2122" w:type="dxa"/>
          </w:tcPr>
          <w:p w14:paraId="12408A72" w14:textId="11D98AD3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Cambios de guantes</w:t>
            </w:r>
          </w:p>
        </w:tc>
        <w:tc>
          <w:tcPr>
            <w:tcW w:w="6372" w:type="dxa"/>
          </w:tcPr>
          <w:p w14:paraId="510C020B" w14:textId="61AF8BBB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sugiere el cambio de guantes cuando se sospeche contaminación o perforación, al finalizar una anastomosis digestiva y, como rutina, en las operaciones de más de 2 horas, antes de colocar una prótesis y antes de cerrar la incisión.</w:t>
            </w:r>
          </w:p>
        </w:tc>
      </w:tr>
      <w:tr w:rsidR="00190D8B" w:rsidRPr="00154760" w14:paraId="17A5F261" w14:textId="77777777" w:rsidTr="00DF0993">
        <w:tc>
          <w:tcPr>
            <w:tcW w:w="2122" w:type="dxa"/>
          </w:tcPr>
          <w:p w14:paraId="2098AD54" w14:textId="40F8AF31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Terapia de presión negativa</w:t>
            </w:r>
          </w:p>
        </w:tc>
        <w:tc>
          <w:tcPr>
            <w:tcW w:w="6372" w:type="dxa"/>
          </w:tcPr>
          <w:p w14:paraId="1C3E288A" w14:textId="1F65B07D" w:rsidR="00190D8B" w:rsidRPr="00190D8B" w:rsidRDefault="00190D8B" w:rsidP="00190D8B">
            <w:pPr>
              <w:rPr>
                <w:rFonts w:ascii="Arial" w:hAnsi="Arial" w:cs="Arial"/>
                <w:lang w:val="es-ES"/>
              </w:rPr>
            </w:pPr>
            <w:r w:rsidRPr="00190D8B">
              <w:rPr>
                <w:rFonts w:ascii="Arial" w:hAnsi="Arial" w:cs="Arial"/>
                <w:lang w:val="es-ES"/>
              </w:rPr>
              <w:t>Se sugiere la terapia de presión negativa sobre la herida cerrada únicamente en cirugía con alto riesgo de infección.</w:t>
            </w:r>
          </w:p>
        </w:tc>
      </w:tr>
    </w:tbl>
    <w:p w14:paraId="5C5ED9AA" w14:textId="77777777" w:rsidR="00B11DC2" w:rsidRPr="00190D8B" w:rsidRDefault="00B11DC2" w:rsidP="00190D8B">
      <w:pPr>
        <w:rPr>
          <w:rFonts w:ascii="Arial" w:hAnsi="Arial" w:cs="Arial"/>
          <w:lang w:val="es-ES"/>
        </w:rPr>
      </w:pPr>
    </w:p>
    <w:sectPr w:rsidR="00B11DC2" w:rsidRPr="00190D8B" w:rsidSect="007B53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FB42" w14:textId="77777777" w:rsidR="00683DC7" w:rsidRDefault="00683DC7" w:rsidP="00190D8B">
      <w:pPr>
        <w:spacing w:after="0" w:line="240" w:lineRule="auto"/>
      </w:pPr>
      <w:r>
        <w:separator/>
      </w:r>
    </w:p>
  </w:endnote>
  <w:endnote w:type="continuationSeparator" w:id="0">
    <w:p w14:paraId="4B062C54" w14:textId="77777777" w:rsidR="00683DC7" w:rsidRDefault="00683DC7" w:rsidP="0019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D7056" w14:textId="77777777" w:rsidR="00683DC7" w:rsidRDefault="00683DC7" w:rsidP="00190D8B">
      <w:pPr>
        <w:spacing w:after="0" w:line="240" w:lineRule="auto"/>
      </w:pPr>
      <w:r>
        <w:separator/>
      </w:r>
    </w:p>
  </w:footnote>
  <w:footnote w:type="continuationSeparator" w:id="0">
    <w:p w14:paraId="456780BA" w14:textId="77777777" w:rsidR="00683DC7" w:rsidRDefault="00683DC7" w:rsidP="0019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FFAD" w14:textId="1499DC6C" w:rsidR="00190D8B" w:rsidRPr="00190D8B" w:rsidRDefault="00190D8B">
    <w:pPr>
      <w:pStyle w:val="Header"/>
      <w:rPr>
        <w:lang w:val="es-ES"/>
      </w:rPr>
    </w:pPr>
    <w:r>
      <w:rPr>
        <w:lang w:val="es-ES"/>
      </w:rPr>
      <w:t>Anexo I. Medidas y Recomendaciones finales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D9"/>
    <w:rsid w:val="00154760"/>
    <w:rsid w:val="00190D8B"/>
    <w:rsid w:val="003A4C55"/>
    <w:rsid w:val="004720D9"/>
    <w:rsid w:val="00683DC7"/>
    <w:rsid w:val="007B534C"/>
    <w:rsid w:val="00B11DC2"/>
    <w:rsid w:val="00D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DA74"/>
  <w15:chartTrackingRefBased/>
  <w15:docId w15:val="{B399599A-80A1-4B70-89D8-76AA08DB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8B"/>
  </w:style>
  <w:style w:type="paragraph" w:styleId="Footer">
    <w:name w:val="footer"/>
    <w:basedOn w:val="Normal"/>
    <w:link w:val="FooterChar"/>
    <w:uiPriority w:val="99"/>
    <w:unhideWhenUsed/>
    <w:rsid w:val="0019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2</cp:revision>
  <dcterms:created xsi:type="dcterms:W3CDTF">2019-11-17T18:52:00Z</dcterms:created>
  <dcterms:modified xsi:type="dcterms:W3CDTF">2019-11-17T20:05:00Z</dcterms:modified>
</cp:coreProperties>
</file>