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51" w:rsidRDefault="00BE1551" w:rsidP="00BE1551">
      <w:pPr>
        <w:pStyle w:val="NormalWeb"/>
        <w:spacing w:after="0" w:line="360" w:lineRule="auto"/>
        <w:jc w:val="center"/>
        <w:rPr>
          <w:b/>
          <w:lang w:val="en-US"/>
        </w:rPr>
      </w:pPr>
      <w:r>
        <w:rPr>
          <w:b/>
          <w:lang w:val="en-US"/>
        </w:rPr>
        <w:t>Supplementary Material</w:t>
      </w:r>
    </w:p>
    <w:p w:rsidR="00BE1551" w:rsidRPr="004A4EAF" w:rsidRDefault="00BE1551" w:rsidP="00BE1551">
      <w:pPr>
        <w:pStyle w:val="NormalWeb"/>
        <w:spacing w:after="0" w:line="360" w:lineRule="auto"/>
        <w:jc w:val="both"/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</w:pPr>
      <w:r w:rsidRPr="004A4EAF">
        <w:rPr>
          <w:b/>
          <w:lang w:val="en-US"/>
        </w:rPr>
        <w:t>Supplementary Table S1</w:t>
      </w:r>
      <w:r>
        <w:rPr>
          <w:b/>
          <w:lang w:val="en-US"/>
        </w:rPr>
        <w:t xml:space="preserve"> - </w:t>
      </w:r>
      <w:r w:rsidRPr="004A4EAF"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  <w:t>Pub</w:t>
      </w:r>
      <w:r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  <w:t>M</w:t>
      </w:r>
      <w:r w:rsidRPr="004A4EAF"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  <w:t>ed search strategy</w:t>
      </w:r>
      <w:r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  <w:t>.</w:t>
      </w:r>
      <w:r w:rsidRPr="004A4EAF">
        <w:rPr>
          <w:rFonts w:eastAsia="Times New Roman"/>
          <w:b/>
          <w:color w:val="000000" w:themeColor="text1"/>
          <w:shd w:val="clear" w:color="auto" w:fill="FFFFFF"/>
          <w:lang w:val="en-US" w:eastAsia="pt-BR"/>
        </w:rPr>
        <w:t xml:space="preserve">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188"/>
      </w:tblGrid>
      <w:tr w:rsidR="00BE1551" w:rsidRPr="00060B6D" w:rsidTr="003E2022">
        <w:tc>
          <w:tcPr>
            <w:tcW w:w="8188" w:type="dxa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“obesity/diet therapy” or “obesity/therapy” AND</w:t>
            </w:r>
          </w:p>
        </w:tc>
      </w:tr>
      <w:tr w:rsidR="00BE1551" w:rsidRPr="00060B6D" w:rsidTr="003E2022">
        <w:tc>
          <w:tcPr>
            <w:tcW w:w="8188" w:type="dxa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“motor activity" or "physical activity" or exercise* or "physical education" or "health education"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feeding or "nutrition therapy"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"food habits" or "dietary modification"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"diet modification"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"food consumption" or "dietary habits"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"diet habits"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"feeding behavior" or "eating behavior" or "feeding pattern"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"reducing diet"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"weight loss" or "diet therapy"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"weight reduction"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"health promotion" or "wellness"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 "campaign*" or "loss" AND</w:t>
            </w:r>
          </w:p>
        </w:tc>
      </w:tr>
      <w:tr w:rsidR="00BE1551" w:rsidRPr="004A4EAF" w:rsidTr="003E2022">
        <w:tc>
          <w:tcPr>
            <w:tcW w:w="8188" w:type="dxa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trial or random* AND</w:t>
            </w:r>
          </w:p>
        </w:tc>
      </w:tr>
      <w:tr w:rsidR="00BE1551" w:rsidRPr="00060B6D" w:rsidTr="003E2022">
        <w:tc>
          <w:tcPr>
            <w:tcW w:w="8188" w:type="dxa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A4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adolescent* or child* or preschool* or school*</w:t>
            </w:r>
          </w:p>
        </w:tc>
      </w:tr>
    </w:tbl>
    <w:p w:rsidR="00BE1551" w:rsidRPr="004A4EAF" w:rsidRDefault="00BE1551" w:rsidP="00BE155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:rsidR="00BE1551" w:rsidRPr="004A4EAF" w:rsidRDefault="00BE1551" w:rsidP="00BE15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</w:pPr>
      <w:proofErr w:type="gramStart"/>
      <w:r w:rsidRPr="004A4E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pt-BR"/>
        </w:rPr>
        <w:t>Supplementary Table S2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pt-BR"/>
        </w:rPr>
        <w:t xml:space="preserve"> - </w:t>
      </w:r>
      <w:r w:rsidRPr="004A4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 w:eastAsia="pt-BR"/>
        </w:rPr>
        <w:t>T</w:t>
      </w:r>
      <w:r w:rsidRPr="004A4E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he AMSTAR 2 tool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pt-BR"/>
        </w:rPr>
        <w:t>.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740"/>
        <w:gridCol w:w="1961"/>
        <w:gridCol w:w="740"/>
        <w:gridCol w:w="740"/>
        <w:gridCol w:w="740"/>
        <w:gridCol w:w="741"/>
        <w:gridCol w:w="741"/>
        <w:gridCol w:w="741"/>
        <w:gridCol w:w="741"/>
        <w:gridCol w:w="602"/>
        <w:gridCol w:w="741"/>
        <w:gridCol w:w="741"/>
        <w:gridCol w:w="741"/>
        <w:gridCol w:w="741"/>
        <w:gridCol w:w="741"/>
        <w:gridCol w:w="741"/>
        <w:gridCol w:w="2991"/>
      </w:tblGrid>
      <w:tr w:rsidR="00BE1551" w:rsidRPr="004A4EAF" w:rsidTr="003E2022">
        <w:trPr>
          <w:trHeight w:val="300"/>
        </w:trPr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</w:p>
        </w:tc>
        <w:tc>
          <w:tcPr>
            <w:tcW w:w="3251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Questions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Author/Data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3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6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7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9</w:t>
            </w:r>
          </w:p>
        </w:tc>
        <w:tc>
          <w:tcPr>
            <w:tcW w:w="16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10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11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12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13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14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15</w:t>
            </w:r>
          </w:p>
        </w:tc>
        <w:tc>
          <w:tcPr>
            <w:tcW w:w="19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16</w:t>
            </w: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pt-BR"/>
              </w:rPr>
              <w:t>Overall quality review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Snethen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2006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[42]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Collins et al., 2006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[26]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Young et al., 2007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[34]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McGovern et al., 2008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[40]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Kamath et al., 2008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[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20]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Katz et al., 2008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[21]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Harris et al., 2009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[36]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High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Kanekar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2008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[41]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Kesten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2011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[22]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Luckner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2012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[23]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Lavelle et al., 2012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[31]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Friedrich et al., 2012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[28]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 et al., 2012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[30]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High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Sbruzzi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2013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[24]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High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 et al., 2013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[37]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Moderate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Gow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2014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[29]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van </w:t>
            </w: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Hoek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2014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[33]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Liao et al., 2014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[38]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Martin et al., 2014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[39]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proofErr w:type="spellStart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lastRenderedPageBreak/>
              <w:t>Ruotsalainen</w:t>
            </w:r>
            <w:proofErr w:type="spellEnd"/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et al., 2015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[32]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Hung et al., 2015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[19]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Colquitt et al., 2016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[27]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High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tabs>
                <w:tab w:val="left" w:pos="2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Kim et al., 2017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[25]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Critically low quality</w:t>
            </w:r>
          </w:p>
        </w:tc>
      </w:tr>
      <w:tr w:rsidR="00BE1551" w:rsidRPr="004A4EAF" w:rsidTr="003E2022">
        <w:trPr>
          <w:trHeight w:val="300"/>
        </w:trPr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E1551" w:rsidRPr="004A4EAF" w:rsidRDefault="00BE1551" w:rsidP="003E2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Murray et al., 2017</w:t>
            </w:r>
            <w:r w:rsidRPr="006D16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pt-BR"/>
              </w:rPr>
              <w:t>[35]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PARTIAL 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YES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NO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1551" w:rsidRPr="004A4EAF" w:rsidRDefault="00BE1551" w:rsidP="003E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4A4E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Low quality</w:t>
            </w:r>
          </w:p>
        </w:tc>
      </w:tr>
    </w:tbl>
    <w:p w:rsidR="00BE1551" w:rsidRPr="004A4EAF" w:rsidRDefault="00BE1551" w:rsidP="00BE155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E1551" w:rsidRPr="004A4EAF" w:rsidRDefault="00BE1551" w:rsidP="00BE1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4A41" w:rsidRDefault="00BE1551">
      <w:bookmarkStart w:id="0" w:name="_GoBack"/>
      <w:bookmarkEnd w:id="0"/>
    </w:p>
    <w:sectPr w:rsidR="000E4A41" w:rsidSect="00532C60">
      <w:pgSz w:w="20406" w:h="12242" w:orient="landscape" w:code="123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51"/>
    <w:rsid w:val="000C0E7C"/>
    <w:rsid w:val="00BE1551"/>
    <w:rsid w:val="00F2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51"/>
    <w:pPr>
      <w:spacing w:after="160" w:line="259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1551"/>
    <w:rPr>
      <w:rFonts w:ascii="Times New Roman" w:hAnsi="Times New Roman" w:cs="Times New Roman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BE1551"/>
    <w:pPr>
      <w:spacing w:after="0" w:line="240" w:lineRule="auto"/>
    </w:pPr>
    <w:rPr>
      <w:rFonts w:eastAsia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E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51"/>
    <w:pPr>
      <w:spacing w:after="160" w:line="259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1551"/>
    <w:rPr>
      <w:rFonts w:ascii="Times New Roman" w:hAnsi="Times New Roman" w:cs="Times New Roman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BE1551"/>
    <w:pPr>
      <w:spacing w:after="0" w:line="240" w:lineRule="auto"/>
    </w:pPr>
    <w:rPr>
      <w:rFonts w:eastAsia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E1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Reed Elsevier</cp:lastModifiedBy>
  <cp:revision>1</cp:revision>
  <dcterms:created xsi:type="dcterms:W3CDTF">2018-08-03T14:32:00Z</dcterms:created>
  <dcterms:modified xsi:type="dcterms:W3CDTF">2018-08-03T14:33:00Z</dcterms:modified>
</cp:coreProperties>
</file>