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E838A" w14:textId="4AB09A58" w:rsidR="006673C9" w:rsidRPr="006673C9" w:rsidRDefault="006673C9">
      <w:pPr>
        <w:rPr>
          <w:b/>
          <w:bCs/>
        </w:rPr>
      </w:pPr>
      <w:r w:rsidRPr="006673C9">
        <w:rPr>
          <w:b/>
          <w:bCs/>
        </w:rPr>
        <w:t>JPED-D-20-00361 – Supplementary Material</w:t>
      </w:r>
    </w:p>
    <w:p w14:paraId="795C28EA" w14:textId="77777777" w:rsidR="006673C9" w:rsidRDefault="006673C9"/>
    <w:p w14:paraId="2A187484" w14:textId="073AAF18" w:rsidR="006673C9" w:rsidRDefault="006673C9"/>
    <w:p w14:paraId="6B1E6363" w14:textId="741E0E50" w:rsidR="006673C9" w:rsidRDefault="006673C9" w:rsidP="006673C9">
      <w:pPr>
        <w:spacing w:line="360" w:lineRule="auto"/>
        <w:jc w:val="both"/>
        <w:rPr>
          <w:b/>
        </w:rPr>
      </w:pPr>
      <w:r w:rsidRPr="009B1728">
        <w:rPr>
          <w:b/>
        </w:rPr>
        <w:t>Supplementary File 1 - Sample and dropouts flow chart.</w:t>
      </w:r>
    </w:p>
    <w:p w14:paraId="401805EE" w14:textId="77777777" w:rsidR="006673C9" w:rsidRPr="009B1728" w:rsidRDefault="006673C9" w:rsidP="006673C9">
      <w:pPr>
        <w:spacing w:line="360" w:lineRule="auto"/>
        <w:jc w:val="both"/>
        <w:rPr>
          <w:b/>
        </w:rPr>
      </w:pPr>
    </w:p>
    <w:p w14:paraId="07D7C348" w14:textId="77777777" w:rsidR="006673C9" w:rsidRPr="00595431" w:rsidRDefault="006673C9" w:rsidP="006673C9">
      <w:pPr>
        <w:spacing w:line="360" w:lineRule="auto"/>
        <w:jc w:val="both"/>
        <w:rPr>
          <w:b/>
        </w:rPr>
      </w:pPr>
      <w:bookmarkStart w:id="0" w:name="_Toc503723423"/>
      <w:r w:rsidRPr="00595431">
        <w:rPr>
          <w:b/>
        </w:rPr>
        <w:t>Supplementary File 2 - Table Sociodemographic and behavioral characteristics of the participants for each phase of the study (2015, 2016, 2017).</w:t>
      </w:r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60"/>
        <w:gridCol w:w="2282"/>
        <w:gridCol w:w="1682"/>
        <w:gridCol w:w="1680"/>
      </w:tblGrid>
      <w:tr w:rsidR="006673C9" w:rsidRPr="007E26B6" w14:paraId="077DA578" w14:textId="77777777" w:rsidTr="007A265A">
        <w:trPr>
          <w:trHeight w:val="283"/>
          <w:jc w:val="center"/>
        </w:trPr>
        <w:tc>
          <w:tcPr>
            <w:tcW w:w="1681" w:type="pct"/>
            <w:tcBorders>
              <w:top w:val="single" w:sz="4" w:space="0" w:color="auto"/>
            </w:tcBorders>
            <w:vAlign w:val="center"/>
          </w:tcPr>
          <w:p w14:paraId="7B6B4D70" w14:textId="77777777" w:rsidR="006673C9" w:rsidRPr="007E26B6" w:rsidRDefault="006673C9" w:rsidP="007A265A">
            <w:pPr>
              <w:contextualSpacing/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6A8F0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rPr>
                <w:b/>
              </w:rPr>
              <w:t>2015 (n :586)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BE4B6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rPr>
                <w:b/>
              </w:rPr>
              <w:t>2016 (</w:t>
            </w:r>
            <w:proofErr w:type="gramStart"/>
            <w:r w:rsidRPr="007E26B6">
              <w:rPr>
                <w:b/>
              </w:rPr>
              <w:t>n :</w:t>
            </w:r>
            <w:proofErr w:type="gramEnd"/>
            <w:r w:rsidRPr="007E26B6">
              <w:rPr>
                <w:b/>
              </w:rPr>
              <w:t xml:space="preserve"> 324)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21F0A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rPr>
                <w:b/>
              </w:rPr>
              <w:t>2017 (</w:t>
            </w:r>
            <w:proofErr w:type="gramStart"/>
            <w:r w:rsidRPr="007E26B6">
              <w:rPr>
                <w:b/>
              </w:rPr>
              <w:t>n :</w:t>
            </w:r>
            <w:proofErr w:type="gramEnd"/>
            <w:r w:rsidRPr="007E26B6">
              <w:rPr>
                <w:b/>
              </w:rPr>
              <w:t xml:space="preserve"> 263)</w:t>
            </w:r>
          </w:p>
        </w:tc>
      </w:tr>
      <w:tr w:rsidR="006673C9" w:rsidRPr="007E26B6" w14:paraId="7D0273AF" w14:textId="77777777" w:rsidTr="007A265A">
        <w:trPr>
          <w:trHeight w:val="283"/>
          <w:jc w:val="center"/>
        </w:trPr>
        <w:tc>
          <w:tcPr>
            <w:tcW w:w="1681" w:type="pct"/>
            <w:tcBorders>
              <w:bottom w:val="single" w:sz="4" w:space="0" w:color="auto"/>
            </w:tcBorders>
            <w:vAlign w:val="center"/>
          </w:tcPr>
          <w:p w14:paraId="7A41901B" w14:textId="77777777" w:rsidR="006673C9" w:rsidRPr="007E26B6" w:rsidRDefault="006673C9" w:rsidP="007A265A">
            <w:pPr>
              <w:contextualSpacing/>
            </w:pPr>
          </w:p>
        </w:tc>
        <w:tc>
          <w:tcPr>
            <w:tcW w:w="13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25FC2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rPr>
                <w:b/>
              </w:rPr>
              <w:t>n (%)</w:t>
            </w:r>
          </w:p>
        </w:tc>
        <w:tc>
          <w:tcPr>
            <w:tcW w:w="989" w:type="pct"/>
            <w:tcBorders>
              <w:top w:val="single" w:sz="4" w:space="0" w:color="auto"/>
              <w:bottom w:val="single" w:sz="4" w:space="0" w:color="auto"/>
            </w:tcBorders>
          </w:tcPr>
          <w:p w14:paraId="4D606A5F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rPr>
                <w:b/>
              </w:rPr>
              <w:t>n (%)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14:paraId="06DD90A3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rPr>
                <w:b/>
              </w:rPr>
              <w:t>n (%)</w:t>
            </w:r>
          </w:p>
        </w:tc>
      </w:tr>
      <w:tr w:rsidR="006673C9" w:rsidRPr="007E26B6" w14:paraId="43415988" w14:textId="77777777" w:rsidTr="007A265A">
        <w:trPr>
          <w:trHeight w:val="283"/>
          <w:jc w:val="center"/>
        </w:trPr>
        <w:tc>
          <w:tcPr>
            <w:tcW w:w="1681" w:type="pct"/>
            <w:tcBorders>
              <w:top w:val="single" w:sz="4" w:space="0" w:color="auto"/>
            </w:tcBorders>
            <w:vAlign w:val="center"/>
          </w:tcPr>
          <w:p w14:paraId="621D02CC" w14:textId="77777777" w:rsidR="006673C9" w:rsidRPr="007E26B6" w:rsidRDefault="006673C9" w:rsidP="007A265A">
            <w:pPr>
              <w:contextualSpacing/>
              <w:rPr>
                <w:b/>
              </w:rPr>
            </w:pPr>
            <w:r w:rsidRPr="007E26B6">
              <w:rPr>
                <w:b/>
              </w:rPr>
              <w:t>Gender</w:t>
            </w:r>
          </w:p>
        </w:tc>
        <w:tc>
          <w:tcPr>
            <w:tcW w:w="1342" w:type="pct"/>
            <w:tcBorders>
              <w:top w:val="single" w:sz="4" w:space="0" w:color="auto"/>
            </w:tcBorders>
            <w:vAlign w:val="bottom"/>
          </w:tcPr>
          <w:p w14:paraId="0E0140A0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  <w:vAlign w:val="bottom"/>
          </w:tcPr>
          <w:p w14:paraId="6118FEE8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8" w:type="pct"/>
            <w:tcBorders>
              <w:top w:val="single" w:sz="4" w:space="0" w:color="auto"/>
            </w:tcBorders>
            <w:vAlign w:val="bottom"/>
          </w:tcPr>
          <w:p w14:paraId="16F800BF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</w:tr>
      <w:tr w:rsidR="006673C9" w:rsidRPr="007E26B6" w14:paraId="34733A47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3D148E73" w14:textId="77777777" w:rsidR="006673C9" w:rsidRPr="007E26B6" w:rsidRDefault="006673C9" w:rsidP="007A265A">
            <w:pPr>
              <w:contextualSpacing/>
            </w:pPr>
            <w:r w:rsidRPr="007E26B6">
              <w:t>Boys</w:t>
            </w:r>
          </w:p>
        </w:tc>
        <w:tc>
          <w:tcPr>
            <w:tcW w:w="1342" w:type="pct"/>
            <w:vAlign w:val="bottom"/>
          </w:tcPr>
          <w:p w14:paraId="58A995A9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273 (46.6%)</w:t>
            </w:r>
          </w:p>
        </w:tc>
        <w:tc>
          <w:tcPr>
            <w:tcW w:w="989" w:type="pct"/>
            <w:vAlign w:val="bottom"/>
          </w:tcPr>
          <w:p w14:paraId="7CDF63F6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154(47.5%)</w:t>
            </w:r>
          </w:p>
        </w:tc>
        <w:tc>
          <w:tcPr>
            <w:tcW w:w="988" w:type="pct"/>
            <w:vAlign w:val="bottom"/>
          </w:tcPr>
          <w:p w14:paraId="210ABFF7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119 (45.2%)</w:t>
            </w:r>
          </w:p>
        </w:tc>
      </w:tr>
      <w:tr w:rsidR="006673C9" w:rsidRPr="007E26B6" w14:paraId="43280007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438F7D93" w14:textId="77777777" w:rsidR="006673C9" w:rsidRPr="007E26B6" w:rsidRDefault="006673C9" w:rsidP="007A265A">
            <w:pPr>
              <w:contextualSpacing/>
            </w:pPr>
            <w:r w:rsidRPr="007E26B6">
              <w:t>Girls</w:t>
            </w:r>
          </w:p>
        </w:tc>
        <w:tc>
          <w:tcPr>
            <w:tcW w:w="1342" w:type="pct"/>
            <w:vAlign w:val="bottom"/>
          </w:tcPr>
          <w:p w14:paraId="72D14AB0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313 (53.4%)</w:t>
            </w:r>
          </w:p>
        </w:tc>
        <w:tc>
          <w:tcPr>
            <w:tcW w:w="989" w:type="pct"/>
            <w:vAlign w:val="bottom"/>
          </w:tcPr>
          <w:p w14:paraId="622B3D6B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170 (52.5%)</w:t>
            </w:r>
          </w:p>
        </w:tc>
        <w:tc>
          <w:tcPr>
            <w:tcW w:w="988" w:type="pct"/>
            <w:vAlign w:val="bottom"/>
          </w:tcPr>
          <w:p w14:paraId="2FE018E6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144 (54.7%)</w:t>
            </w:r>
          </w:p>
        </w:tc>
      </w:tr>
      <w:tr w:rsidR="006673C9" w:rsidRPr="007E26B6" w14:paraId="1E0A2835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7095E987" w14:textId="77777777" w:rsidR="006673C9" w:rsidRPr="007E26B6" w:rsidRDefault="006673C9" w:rsidP="007A265A">
            <w:pPr>
              <w:contextualSpacing/>
              <w:rPr>
                <w:b/>
              </w:rPr>
            </w:pPr>
            <w:r w:rsidRPr="007E26B6">
              <w:rPr>
                <w:b/>
              </w:rPr>
              <w:t>Age</w:t>
            </w:r>
          </w:p>
        </w:tc>
        <w:tc>
          <w:tcPr>
            <w:tcW w:w="1342" w:type="pct"/>
            <w:vAlign w:val="bottom"/>
          </w:tcPr>
          <w:p w14:paraId="422CC9D8" w14:textId="77777777" w:rsidR="006673C9" w:rsidRPr="007E26B6" w:rsidRDefault="006673C9" w:rsidP="007A265A">
            <w:pPr>
              <w:contextualSpacing/>
              <w:jc w:val="center"/>
            </w:pPr>
          </w:p>
        </w:tc>
        <w:tc>
          <w:tcPr>
            <w:tcW w:w="989" w:type="pct"/>
            <w:vAlign w:val="bottom"/>
          </w:tcPr>
          <w:p w14:paraId="4B48293A" w14:textId="77777777" w:rsidR="006673C9" w:rsidRPr="007E26B6" w:rsidRDefault="006673C9" w:rsidP="007A265A">
            <w:pPr>
              <w:contextualSpacing/>
              <w:jc w:val="center"/>
            </w:pPr>
          </w:p>
        </w:tc>
        <w:tc>
          <w:tcPr>
            <w:tcW w:w="988" w:type="pct"/>
            <w:vAlign w:val="bottom"/>
          </w:tcPr>
          <w:p w14:paraId="2A627408" w14:textId="77777777" w:rsidR="006673C9" w:rsidRPr="007E26B6" w:rsidRDefault="006673C9" w:rsidP="007A265A">
            <w:pPr>
              <w:contextualSpacing/>
              <w:jc w:val="center"/>
            </w:pPr>
          </w:p>
        </w:tc>
      </w:tr>
      <w:tr w:rsidR="006673C9" w:rsidRPr="007E26B6" w14:paraId="0BE54E3D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06B52FCE" w14:textId="77777777" w:rsidR="006673C9" w:rsidRPr="007E26B6" w:rsidRDefault="006673C9" w:rsidP="007A265A">
            <w:pPr>
              <w:contextualSpacing/>
            </w:pPr>
            <w:r w:rsidRPr="007E26B6">
              <w:t>&lt;14 years old</w:t>
            </w:r>
          </w:p>
        </w:tc>
        <w:tc>
          <w:tcPr>
            <w:tcW w:w="1342" w:type="pct"/>
            <w:vAlign w:val="bottom"/>
          </w:tcPr>
          <w:p w14:paraId="6FF7AE4D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310 (52.9%)</w:t>
            </w:r>
          </w:p>
        </w:tc>
        <w:tc>
          <w:tcPr>
            <w:tcW w:w="989" w:type="pct"/>
            <w:vAlign w:val="bottom"/>
          </w:tcPr>
          <w:p w14:paraId="0BE6B038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202 (62.5%)</w:t>
            </w:r>
          </w:p>
        </w:tc>
        <w:tc>
          <w:tcPr>
            <w:tcW w:w="988" w:type="pct"/>
            <w:vAlign w:val="bottom"/>
          </w:tcPr>
          <w:p w14:paraId="2C030BB8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144 (54.7%)</w:t>
            </w:r>
          </w:p>
        </w:tc>
      </w:tr>
      <w:tr w:rsidR="006673C9" w:rsidRPr="007E26B6" w14:paraId="56CA73C9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76F73D11" w14:textId="77777777" w:rsidR="006673C9" w:rsidRPr="007E26B6" w:rsidRDefault="006673C9" w:rsidP="007A265A">
            <w:pPr>
              <w:contextualSpacing/>
            </w:pPr>
            <w:r w:rsidRPr="007E26B6">
              <w:t>&gt;:14 years old</w:t>
            </w:r>
          </w:p>
        </w:tc>
        <w:tc>
          <w:tcPr>
            <w:tcW w:w="1342" w:type="pct"/>
            <w:vAlign w:val="bottom"/>
          </w:tcPr>
          <w:p w14:paraId="05EEBD40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276 (47.1%)</w:t>
            </w:r>
          </w:p>
        </w:tc>
        <w:tc>
          <w:tcPr>
            <w:tcW w:w="989" w:type="pct"/>
            <w:vAlign w:val="bottom"/>
          </w:tcPr>
          <w:p w14:paraId="32DEEE55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122 (37.5%)</w:t>
            </w:r>
          </w:p>
        </w:tc>
        <w:tc>
          <w:tcPr>
            <w:tcW w:w="988" w:type="pct"/>
            <w:vAlign w:val="bottom"/>
          </w:tcPr>
          <w:p w14:paraId="2D6A018E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119 (45.3%)</w:t>
            </w:r>
          </w:p>
        </w:tc>
      </w:tr>
      <w:tr w:rsidR="006673C9" w:rsidRPr="007E26B6" w14:paraId="5E07EF33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2FC8BFA3" w14:textId="77777777" w:rsidR="006673C9" w:rsidRPr="007E26B6" w:rsidRDefault="006673C9" w:rsidP="007A265A">
            <w:pPr>
              <w:contextualSpacing/>
              <w:rPr>
                <w:b/>
              </w:rPr>
            </w:pPr>
            <w:r w:rsidRPr="007E26B6">
              <w:rPr>
                <w:b/>
              </w:rPr>
              <w:t>Weight Status</w:t>
            </w:r>
          </w:p>
        </w:tc>
        <w:tc>
          <w:tcPr>
            <w:tcW w:w="1342" w:type="pct"/>
            <w:vAlign w:val="bottom"/>
          </w:tcPr>
          <w:p w14:paraId="436C8CFB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pct"/>
            <w:vAlign w:val="bottom"/>
          </w:tcPr>
          <w:p w14:paraId="36695EF0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8" w:type="pct"/>
            <w:vAlign w:val="bottom"/>
          </w:tcPr>
          <w:p w14:paraId="036BEA4B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</w:tr>
      <w:tr w:rsidR="006673C9" w:rsidRPr="007E26B6" w14:paraId="457EF153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71705AF4" w14:textId="77777777" w:rsidR="006673C9" w:rsidRPr="007E26B6" w:rsidRDefault="006673C9" w:rsidP="007A265A">
            <w:pPr>
              <w:contextualSpacing/>
            </w:pPr>
            <w:r w:rsidRPr="007E26B6">
              <w:t>Normal weight</w:t>
            </w:r>
          </w:p>
        </w:tc>
        <w:tc>
          <w:tcPr>
            <w:tcW w:w="1342" w:type="pct"/>
          </w:tcPr>
          <w:p w14:paraId="7E5E4443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348 (59,4%)</w:t>
            </w:r>
          </w:p>
        </w:tc>
        <w:tc>
          <w:tcPr>
            <w:tcW w:w="989" w:type="pct"/>
          </w:tcPr>
          <w:p w14:paraId="016DC7D6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191 (58,9%)</w:t>
            </w:r>
          </w:p>
        </w:tc>
        <w:tc>
          <w:tcPr>
            <w:tcW w:w="988" w:type="pct"/>
          </w:tcPr>
          <w:p w14:paraId="6B981C34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156 (59.3%)</w:t>
            </w:r>
          </w:p>
        </w:tc>
      </w:tr>
      <w:tr w:rsidR="006673C9" w:rsidRPr="007E26B6" w14:paraId="31ABC541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31FCDAE4" w14:textId="77777777" w:rsidR="006673C9" w:rsidRPr="007E26B6" w:rsidRDefault="006673C9" w:rsidP="007A265A">
            <w:pPr>
              <w:contextualSpacing/>
            </w:pPr>
            <w:r w:rsidRPr="007E26B6">
              <w:t>Overweight + Obesity</w:t>
            </w:r>
          </w:p>
        </w:tc>
        <w:tc>
          <w:tcPr>
            <w:tcW w:w="1342" w:type="pct"/>
          </w:tcPr>
          <w:p w14:paraId="4C661938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238 (40,6%)</w:t>
            </w:r>
          </w:p>
        </w:tc>
        <w:tc>
          <w:tcPr>
            <w:tcW w:w="989" w:type="pct"/>
          </w:tcPr>
          <w:p w14:paraId="03E2629F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133 (41,1%)</w:t>
            </w:r>
          </w:p>
        </w:tc>
        <w:tc>
          <w:tcPr>
            <w:tcW w:w="988" w:type="pct"/>
          </w:tcPr>
          <w:p w14:paraId="1EEE291B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107 (40,7%)</w:t>
            </w:r>
          </w:p>
        </w:tc>
      </w:tr>
      <w:tr w:rsidR="006673C9" w:rsidRPr="007E26B6" w14:paraId="0849A76D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25BB1D4A" w14:textId="77777777" w:rsidR="006673C9" w:rsidRPr="007E26B6" w:rsidRDefault="006673C9" w:rsidP="007A265A">
            <w:pPr>
              <w:contextualSpacing/>
              <w:rPr>
                <w:b/>
              </w:rPr>
            </w:pPr>
            <w:r w:rsidRPr="007E26B6">
              <w:rPr>
                <w:b/>
              </w:rPr>
              <w:t>Income Status</w:t>
            </w:r>
          </w:p>
        </w:tc>
        <w:tc>
          <w:tcPr>
            <w:tcW w:w="1342" w:type="pct"/>
            <w:vAlign w:val="bottom"/>
          </w:tcPr>
          <w:p w14:paraId="165F6F16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9" w:type="pct"/>
            <w:vAlign w:val="bottom"/>
          </w:tcPr>
          <w:p w14:paraId="6635523E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8" w:type="pct"/>
            <w:vAlign w:val="bottom"/>
          </w:tcPr>
          <w:p w14:paraId="26A0F7A8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</w:tr>
      <w:tr w:rsidR="006673C9" w:rsidRPr="007E26B6" w14:paraId="4393F27B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0CA8A757" w14:textId="77777777" w:rsidR="006673C9" w:rsidRPr="007E26B6" w:rsidRDefault="006673C9" w:rsidP="007A265A">
            <w:pPr>
              <w:contextualSpacing/>
            </w:pPr>
            <w:r w:rsidRPr="007E26B6">
              <w:t>Low (C1, C2, D and E)</w:t>
            </w:r>
          </w:p>
        </w:tc>
        <w:tc>
          <w:tcPr>
            <w:tcW w:w="1342" w:type="pct"/>
          </w:tcPr>
          <w:p w14:paraId="3D28648F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294 (50.2%)</w:t>
            </w:r>
          </w:p>
        </w:tc>
        <w:tc>
          <w:tcPr>
            <w:tcW w:w="989" w:type="pct"/>
          </w:tcPr>
          <w:p w14:paraId="51A6A561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166 (51.2%)</w:t>
            </w:r>
          </w:p>
        </w:tc>
        <w:tc>
          <w:tcPr>
            <w:tcW w:w="988" w:type="pct"/>
          </w:tcPr>
          <w:p w14:paraId="01235581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119 (45.2%)</w:t>
            </w:r>
          </w:p>
        </w:tc>
      </w:tr>
      <w:tr w:rsidR="006673C9" w:rsidRPr="007E26B6" w14:paraId="36239007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1DCA3081" w14:textId="77777777" w:rsidR="006673C9" w:rsidRPr="007E26B6" w:rsidRDefault="006673C9" w:rsidP="007A265A">
            <w:pPr>
              <w:contextualSpacing/>
            </w:pPr>
            <w:r w:rsidRPr="007E26B6">
              <w:t>High (A, B1 and B2)</w:t>
            </w:r>
          </w:p>
        </w:tc>
        <w:tc>
          <w:tcPr>
            <w:tcW w:w="1342" w:type="pct"/>
          </w:tcPr>
          <w:p w14:paraId="70B37F4E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 xml:space="preserve">292 (49.8%) </w:t>
            </w:r>
          </w:p>
        </w:tc>
        <w:tc>
          <w:tcPr>
            <w:tcW w:w="989" w:type="pct"/>
          </w:tcPr>
          <w:p w14:paraId="3127C740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 xml:space="preserve">158 (48,8%) </w:t>
            </w:r>
          </w:p>
        </w:tc>
        <w:tc>
          <w:tcPr>
            <w:tcW w:w="988" w:type="pct"/>
          </w:tcPr>
          <w:p w14:paraId="5E13BC16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144 (54,7%)</w:t>
            </w:r>
          </w:p>
        </w:tc>
      </w:tr>
      <w:tr w:rsidR="006673C9" w:rsidRPr="007E26B6" w14:paraId="2263FA4D" w14:textId="77777777" w:rsidTr="007A265A">
        <w:trPr>
          <w:trHeight w:val="283"/>
          <w:jc w:val="center"/>
        </w:trPr>
        <w:tc>
          <w:tcPr>
            <w:tcW w:w="3023" w:type="pct"/>
            <w:gridSpan w:val="2"/>
            <w:vAlign w:val="center"/>
          </w:tcPr>
          <w:p w14:paraId="0D5935F0" w14:textId="77777777" w:rsidR="006673C9" w:rsidRPr="007E26B6" w:rsidRDefault="006673C9" w:rsidP="007A265A">
            <w:pPr>
              <w:contextualSpacing/>
              <w:rPr>
                <w:b/>
              </w:rPr>
            </w:pPr>
            <w:r w:rsidRPr="007E26B6">
              <w:rPr>
                <w:b/>
                <w:szCs w:val="20"/>
              </w:rPr>
              <w:t>Parent educational level</w:t>
            </w:r>
          </w:p>
        </w:tc>
        <w:tc>
          <w:tcPr>
            <w:tcW w:w="989" w:type="pct"/>
            <w:vAlign w:val="bottom"/>
          </w:tcPr>
          <w:p w14:paraId="3276E00D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8" w:type="pct"/>
            <w:vAlign w:val="bottom"/>
          </w:tcPr>
          <w:p w14:paraId="157E1E7A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</w:p>
        </w:tc>
      </w:tr>
      <w:tr w:rsidR="006673C9" w:rsidRPr="007E26B6" w14:paraId="4CED456B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7086167D" w14:textId="77777777" w:rsidR="006673C9" w:rsidRPr="007E26B6" w:rsidRDefault="006673C9" w:rsidP="007A265A">
            <w:pPr>
              <w:contextualSpacing/>
            </w:pPr>
            <w:r w:rsidRPr="007E26B6">
              <w:t>Low</w:t>
            </w:r>
          </w:p>
        </w:tc>
        <w:tc>
          <w:tcPr>
            <w:tcW w:w="1342" w:type="pct"/>
          </w:tcPr>
          <w:p w14:paraId="6319B44A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305 (52,0%)</w:t>
            </w:r>
          </w:p>
        </w:tc>
        <w:tc>
          <w:tcPr>
            <w:tcW w:w="989" w:type="pct"/>
          </w:tcPr>
          <w:p w14:paraId="6C2676E3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172 (53.1%)</w:t>
            </w:r>
          </w:p>
        </w:tc>
        <w:tc>
          <w:tcPr>
            <w:tcW w:w="988" w:type="pct"/>
          </w:tcPr>
          <w:p w14:paraId="1AABD3E9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142 (54.0%)</w:t>
            </w:r>
          </w:p>
        </w:tc>
      </w:tr>
      <w:tr w:rsidR="006673C9" w:rsidRPr="007E26B6" w14:paraId="4F72C254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458D076B" w14:textId="77777777" w:rsidR="006673C9" w:rsidRPr="007E26B6" w:rsidRDefault="006673C9" w:rsidP="007A265A">
            <w:pPr>
              <w:contextualSpacing/>
            </w:pPr>
            <w:r w:rsidRPr="007E26B6">
              <w:t>Medium</w:t>
            </w:r>
          </w:p>
        </w:tc>
        <w:tc>
          <w:tcPr>
            <w:tcW w:w="1342" w:type="pct"/>
          </w:tcPr>
          <w:p w14:paraId="4E625CC7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164 (28.0%)</w:t>
            </w:r>
          </w:p>
        </w:tc>
        <w:tc>
          <w:tcPr>
            <w:tcW w:w="989" w:type="pct"/>
          </w:tcPr>
          <w:p w14:paraId="2E8E0E05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95 (29.3%)</w:t>
            </w:r>
          </w:p>
        </w:tc>
        <w:tc>
          <w:tcPr>
            <w:tcW w:w="988" w:type="pct"/>
          </w:tcPr>
          <w:p w14:paraId="1ABC937C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75 (28,5%)</w:t>
            </w:r>
          </w:p>
        </w:tc>
      </w:tr>
      <w:tr w:rsidR="006673C9" w:rsidRPr="007E26B6" w14:paraId="747FB1B9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0095F8E5" w14:textId="77777777" w:rsidR="006673C9" w:rsidRPr="007E26B6" w:rsidRDefault="006673C9" w:rsidP="007A265A">
            <w:pPr>
              <w:contextualSpacing/>
            </w:pPr>
            <w:r w:rsidRPr="007E26B6">
              <w:t>High</w:t>
            </w:r>
          </w:p>
        </w:tc>
        <w:tc>
          <w:tcPr>
            <w:tcW w:w="1342" w:type="pct"/>
          </w:tcPr>
          <w:p w14:paraId="147A1DA5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>117 (20.0%)</w:t>
            </w:r>
          </w:p>
        </w:tc>
        <w:tc>
          <w:tcPr>
            <w:tcW w:w="989" w:type="pct"/>
          </w:tcPr>
          <w:p w14:paraId="2BCFFC1D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 xml:space="preserve">57 (17.6%) </w:t>
            </w:r>
          </w:p>
        </w:tc>
        <w:tc>
          <w:tcPr>
            <w:tcW w:w="988" w:type="pct"/>
          </w:tcPr>
          <w:p w14:paraId="6507BA37" w14:textId="77777777" w:rsidR="006673C9" w:rsidRPr="007E26B6" w:rsidRDefault="006673C9" w:rsidP="007A265A">
            <w:pPr>
              <w:contextualSpacing/>
              <w:jc w:val="center"/>
              <w:rPr>
                <w:b/>
              </w:rPr>
            </w:pPr>
            <w:r w:rsidRPr="007E26B6">
              <w:t xml:space="preserve">46 (17.5%) </w:t>
            </w:r>
          </w:p>
        </w:tc>
      </w:tr>
      <w:tr w:rsidR="006673C9" w:rsidRPr="007E26B6" w14:paraId="170C0337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61D1F15A" w14:textId="77777777" w:rsidR="006673C9" w:rsidRPr="007E26B6" w:rsidRDefault="006673C9" w:rsidP="007A265A">
            <w:pPr>
              <w:contextualSpacing/>
              <w:rPr>
                <w:b/>
              </w:rPr>
            </w:pPr>
            <w:r w:rsidRPr="007E26B6">
              <w:rPr>
                <w:b/>
              </w:rPr>
              <w:t>PA participation</w:t>
            </w:r>
          </w:p>
        </w:tc>
        <w:tc>
          <w:tcPr>
            <w:tcW w:w="1342" w:type="pct"/>
          </w:tcPr>
          <w:p w14:paraId="4E25004E" w14:textId="77777777" w:rsidR="006673C9" w:rsidRPr="007E26B6" w:rsidRDefault="006673C9" w:rsidP="007A265A">
            <w:pPr>
              <w:contextualSpacing/>
              <w:jc w:val="center"/>
            </w:pPr>
          </w:p>
        </w:tc>
        <w:tc>
          <w:tcPr>
            <w:tcW w:w="989" w:type="pct"/>
          </w:tcPr>
          <w:p w14:paraId="7C899EC7" w14:textId="77777777" w:rsidR="006673C9" w:rsidRPr="007E26B6" w:rsidRDefault="006673C9" w:rsidP="007A265A">
            <w:pPr>
              <w:contextualSpacing/>
              <w:jc w:val="center"/>
            </w:pPr>
          </w:p>
        </w:tc>
        <w:tc>
          <w:tcPr>
            <w:tcW w:w="988" w:type="pct"/>
          </w:tcPr>
          <w:p w14:paraId="469D2E74" w14:textId="77777777" w:rsidR="006673C9" w:rsidRPr="007E26B6" w:rsidRDefault="006673C9" w:rsidP="007A265A">
            <w:pPr>
              <w:contextualSpacing/>
              <w:jc w:val="center"/>
            </w:pPr>
          </w:p>
        </w:tc>
      </w:tr>
      <w:tr w:rsidR="006673C9" w:rsidRPr="007E26B6" w14:paraId="38996ADC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42E41E1C" w14:textId="77777777" w:rsidR="006673C9" w:rsidRPr="007E26B6" w:rsidRDefault="006673C9" w:rsidP="007A265A">
            <w:pPr>
              <w:contextualSpacing/>
            </w:pPr>
            <w:r w:rsidRPr="007E26B6">
              <w:t>Low</w:t>
            </w:r>
          </w:p>
        </w:tc>
        <w:tc>
          <w:tcPr>
            <w:tcW w:w="1342" w:type="pct"/>
          </w:tcPr>
          <w:p w14:paraId="4463FCCD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171 (29.2%)</w:t>
            </w:r>
          </w:p>
        </w:tc>
        <w:tc>
          <w:tcPr>
            <w:tcW w:w="989" w:type="pct"/>
          </w:tcPr>
          <w:p w14:paraId="4AE61C23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112 (34.6%)</w:t>
            </w:r>
          </w:p>
        </w:tc>
        <w:tc>
          <w:tcPr>
            <w:tcW w:w="988" w:type="pct"/>
          </w:tcPr>
          <w:p w14:paraId="78D2587B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93 (35.3%)</w:t>
            </w:r>
          </w:p>
        </w:tc>
      </w:tr>
      <w:tr w:rsidR="006673C9" w:rsidRPr="007E26B6" w14:paraId="55F196FB" w14:textId="77777777" w:rsidTr="007A265A">
        <w:trPr>
          <w:trHeight w:val="283"/>
          <w:jc w:val="center"/>
        </w:trPr>
        <w:tc>
          <w:tcPr>
            <w:tcW w:w="1681" w:type="pct"/>
            <w:vAlign w:val="center"/>
          </w:tcPr>
          <w:p w14:paraId="70A53D48" w14:textId="77777777" w:rsidR="006673C9" w:rsidRPr="007E26B6" w:rsidRDefault="006673C9" w:rsidP="007A265A">
            <w:pPr>
              <w:contextualSpacing/>
            </w:pPr>
            <w:r w:rsidRPr="007E26B6">
              <w:t>Moderate</w:t>
            </w:r>
          </w:p>
        </w:tc>
        <w:tc>
          <w:tcPr>
            <w:tcW w:w="1342" w:type="pct"/>
          </w:tcPr>
          <w:p w14:paraId="0E2CD850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231 (39.4%)</w:t>
            </w:r>
          </w:p>
        </w:tc>
        <w:tc>
          <w:tcPr>
            <w:tcW w:w="989" w:type="pct"/>
          </w:tcPr>
          <w:p w14:paraId="697330EE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113 (34.9%)</w:t>
            </w:r>
          </w:p>
        </w:tc>
        <w:tc>
          <w:tcPr>
            <w:tcW w:w="988" w:type="pct"/>
          </w:tcPr>
          <w:p w14:paraId="0328F953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103 (39.1%)</w:t>
            </w:r>
          </w:p>
        </w:tc>
      </w:tr>
      <w:tr w:rsidR="006673C9" w:rsidRPr="007E26B6" w14:paraId="3444EC5D" w14:textId="77777777" w:rsidTr="007A265A">
        <w:trPr>
          <w:trHeight w:val="283"/>
          <w:jc w:val="center"/>
        </w:trPr>
        <w:tc>
          <w:tcPr>
            <w:tcW w:w="1681" w:type="pct"/>
            <w:tcBorders>
              <w:bottom w:val="single" w:sz="4" w:space="0" w:color="auto"/>
            </w:tcBorders>
            <w:vAlign w:val="center"/>
          </w:tcPr>
          <w:p w14:paraId="3039ED02" w14:textId="77777777" w:rsidR="006673C9" w:rsidRPr="007E26B6" w:rsidRDefault="006673C9" w:rsidP="007A265A">
            <w:pPr>
              <w:contextualSpacing/>
            </w:pPr>
            <w:r w:rsidRPr="007E26B6">
              <w:t>High</w:t>
            </w: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14:paraId="39463DB1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184 (31.4%)</w:t>
            </w:r>
          </w:p>
        </w:tc>
        <w:tc>
          <w:tcPr>
            <w:tcW w:w="989" w:type="pct"/>
            <w:tcBorders>
              <w:bottom w:val="single" w:sz="4" w:space="0" w:color="auto"/>
            </w:tcBorders>
          </w:tcPr>
          <w:p w14:paraId="56B99294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99 (30.5%)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14:paraId="28392B75" w14:textId="77777777" w:rsidR="006673C9" w:rsidRPr="007E26B6" w:rsidRDefault="006673C9" w:rsidP="007A265A">
            <w:pPr>
              <w:contextualSpacing/>
              <w:jc w:val="center"/>
            </w:pPr>
            <w:r w:rsidRPr="007E26B6">
              <w:t>67 (25.4%)</w:t>
            </w:r>
          </w:p>
        </w:tc>
      </w:tr>
    </w:tbl>
    <w:p w14:paraId="532C82DA" w14:textId="77777777" w:rsidR="006673C9" w:rsidRDefault="006673C9" w:rsidP="006673C9">
      <w:pPr>
        <w:spacing w:line="360" w:lineRule="auto"/>
        <w:jc w:val="both"/>
        <w:rPr>
          <w:bCs/>
        </w:rPr>
      </w:pPr>
      <w:r w:rsidRPr="00595431">
        <w:rPr>
          <w:bCs/>
        </w:rPr>
        <w:t xml:space="preserve">PA, </w:t>
      </w:r>
      <w:r>
        <w:rPr>
          <w:bCs/>
        </w:rPr>
        <w:t>p</w:t>
      </w:r>
      <w:r w:rsidRPr="00595431">
        <w:rPr>
          <w:bCs/>
        </w:rPr>
        <w:t>hysical activity.</w:t>
      </w:r>
    </w:p>
    <w:p w14:paraId="6DA4C194" w14:textId="77777777" w:rsidR="006673C9" w:rsidRDefault="006673C9" w:rsidP="006673C9">
      <w:pPr>
        <w:spacing w:line="360" w:lineRule="auto"/>
        <w:jc w:val="both"/>
        <w:rPr>
          <w:bCs/>
        </w:rPr>
      </w:pPr>
    </w:p>
    <w:p w14:paraId="64A3498B" w14:textId="77777777" w:rsidR="006673C9" w:rsidRPr="00E30866" w:rsidRDefault="006673C9" w:rsidP="006673C9">
      <w:pPr>
        <w:spacing w:line="360" w:lineRule="auto"/>
        <w:jc w:val="both"/>
        <w:rPr>
          <w:b/>
        </w:rPr>
      </w:pPr>
      <w:r w:rsidRPr="009B1728">
        <w:rPr>
          <w:b/>
        </w:rPr>
        <w:t>Supplementary File 3 - Time changes in sedentary activities between 2015 and 2017.</w:t>
      </w:r>
    </w:p>
    <w:p w14:paraId="715BD59A" w14:textId="77777777" w:rsidR="006673C9" w:rsidRPr="006673C9" w:rsidRDefault="006673C9">
      <w:pPr>
        <w:rPr>
          <w:b/>
          <w:bCs/>
        </w:rPr>
      </w:pPr>
    </w:p>
    <w:sectPr w:rsidR="006673C9" w:rsidRPr="00667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A9404" w14:textId="77777777" w:rsidR="006673C9" w:rsidRDefault="006673C9" w:rsidP="006673C9">
      <w:r>
        <w:separator/>
      </w:r>
    </w:p>
  </w:endnote>
  <w:endnote w:type="continuationSeparator" w:id="0">
    <w:p w14:paraId="227FD15B" w14:textId="77777777" w:rsidR="006673C9" w:rsidRDefault="006673C9" w:rsidP="0066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CECD9" w14:textId="77777777" w:rsidR="006673C9" w:rsidRDefault="006673C9" w:rsidP="006673C9">
      <w:r>
        <w:separator/>
      </w:r>
    </w:p>
  </w:footnote>
  <w:footnote w:type="continuationSeparator" w:id="0">
    <w:p w14:paraId="170A2342" w14:textId="77777777" w:rsidR="006673C9" w:rsidRDefault="006673C9" w:rsidP="00667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C9"/>
    <w:rsid w:val="0066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99A4B"/>
  <w15:chartTrackingRefBased/>
  <w15:docId w15:val="{B57DA156-DEC6-4DDD-8334-8699694F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R. (ELS-RIO)</dc:creator>
  <cp:keywords/>
  <dc:description/>
  <cp:lastModifiedBy>Ribeiro, Tayana R. (ELS-RIO)</cp:lastModifiedBy>
  <cp:revision>1</cp:revision>
  <dcterms:created xsi:type="dcterms:W3CDTF">2021-05-19T11:01:00Z</dcterms:created>
  <dcterms:modified xsi:type="dcterms:W3CDTF">2021-05-19T11:02:00Z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2021-05-19T11:01:03Z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371b6204-a9c7-406f-9501-e69e416854f1</vt:lpwstr>
  </property>
  <property fmtid="{D5CDD505-2E9C-101B-9397-08002B2CF9AE}" pid="8" name="MSIP_Label_549ac42a-3eb4-4074-b885-aea26bd6241e_ContentBits">
    <vt:lpwstr>0</vt:lpwstr>
  </property>
</Properties>
</file>