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E7FA" w14:textId="30984DD5" w:rsidR="00D54D8F" w:rsidRDefault="00D54D8F">
      <w:r>
        <w:t>JPED-D-21-00192 – Supplementary Material</w:t>
      </w:r>
    </w:p>
    <w:p w14:paraId="11B15FF4" w14:textId="5CBADB0C" w:rsidR="00D54D8F" w:rsidRDefault="00D54D8F"/>
    <w:p w14:paraId="44081058" w14:textId="77777777" w:rsidR="00D54D8F" w:rsidRPr="00D54D8F" w:rsidRDefault="00D54D8F" w:rsidP="00D54D8F">
      <w:pPr>
        <w:rPr>
          <w:b/>
          <w:bCs/>
          <w:lang w:val="en-US"/>
        </w:rPr>
      </w:pPr>
      <w:r w:rsidRPr="00D54D8F">
        <w:rPr>
          <w:b/>
          <w:bCs/>
          <w:lang w:val="en-US"/>
        </w:rPr>
        <w:t>Supplement</w:t>
      </w:r>
      <w:r w:rsidRPr="00D54D8F">
        <w:rPr>
          <w:rFonts w:hint="eastAsia"/>
          <w:b/>
          <w:bCs/>
          <w:lang w:val="en-US"/>
        </w:rPr>
        <w:t>ary</w:t>
      </w:r>
      <w:r w:rsidRPr="00D54D8F">
        <w:rPr>
          <w:b/>
          <w:bCs/>
          <w:lang w:val="en-US"/>
        </w:rPr>
        <w:t xml:space="preserve"> Table 1 - </w:t>
      </w:r>
      <w:r w:rsidRPr="00D54D8F">
        <w:rPr>
          <w:rFonts w:hint="eastAsia"/>
          <w:b/>
          <w:bCs/>
          <w:lang w:val="en-US"/>
        </w:rPr>
        <w:t>Diagnostic performance after removing the two</w:t>
      </w:r>
      <w:r w:rsidRPr="00D54D8F">
        <w:rPr>
          <w:b/>
          <w:bCs/>
          <w:lang w:val="en-US"/>
        </w:rPr>
        <w:t>-</w:t>
      </w:r>
      <w:r w:rsidRPr="00D54D8F">
        <w:rPr>
          <w:rFonts w:hint="eastAsia"/>
          <w:b/>
          <w:bCs/>
          <w:lang w:val="en-US"/>
        </w:rPr>
        <w:t xml:space="preserve">weight </w:t>
      </w:r>
      <w:r w:rsidRPr="00D54D8F">
        <w:rPr>
          <w:b/>
          <w:bCs/>
          <w:lang w:val="en-US"/>
        </w:rPr>
        <w:t>types of research.</w:t>
      </w:r>
    </w:p>
    <w:p w14:paraId="0467E520" w14:textId="77777777" w:rsidR="00D54D8F" w:rsidRPr="00D54D8F" w:rsidRDefault="00D54D8F" w:rsidP="00D54D8F">
      <w:pPr>
        <w:autoSpaceDE w:val="0"/>
        <w:autoSpaceDN w:val="0"/>
        <w:adjustRightInd w:val="0"/>
        <w:spacing w:line="480" w:lineRule="auto"/>
        <w:rPr>
          <w:lang w:val="en-US"/>
        </w:rPr>
      </w:pPr>
    </w:p>
    <w:tbl>
      <w:tblPr>
        <w:tblpPr w:leftFromText="180" w:rightFromText="180" w:vertAnchor="page" w:horzAnchor="margin" w:tblpY="2821"/>
        <w:tblW w:w="12519" w:type="dxa"/>
        <w:tblLayout w:type="fixed"/>
        <w:tblLook w:val="0000" w:firstRow="0" w:lastRow="0" w:firstColumn="0" w:lastColumn="0" w:noHBand="0" w:noVBand="0"/>
      </w:tblPr>
      <w:tblGrid>
        <w:gridCol w:w="2943"/>
        <w:gridCol w:w="3761"/>
        <w:gridCol w:w="5815"/>
      </w:tblGrid>
      <w:tr w:rsidR="00D54D8F" w:rsidRPr="00D54D8F" w14:paraId="73FE7269" w14:textId="77777777" w:rsidTr="00431597">
        <w:trPr>
          <w:trHeight w:val="211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DB858" w14:textId="77777777" w:rsidR="00D54D8F" w:rsidRPr="0086261A" w:rsidRDefault="00D54D8F" w:rsidP="004315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261A">
              <w:rPr>
                <w:b/>
                <w:bCs/>
                <w:color w:val="000000"/>
                <w:sz w:val="24"/>
                <w:szCs w:val="24"/>
              </w:rPr>
              <w:t>Diagnostic performance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5D8E5" w14:textId="77777777" w:rsidR="00D54D8F" w:rsidRPr="0086261A" w:rsidRDefault="00D54D8F" w:rsidP="004315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261A">
              <w:rPr>
                <w:b/>
                <w:bCs/>
                <w:color w:val="000000"/>
                <w:sz w:val="24"/>
                <w:szCs w:val="24"/>
              </w:rPr>
              <w:t>Pooled</w:t>
            </w:r>
            <w:r w:rsidRPr="0086261A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E8343" w14:textId="77777777" w:rsidR="00D54D8F" w:rsidRPr="00D54D8F" w:rsidRDefault="00D54D8F" w:rsidP="00431597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4D8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Removed </w:t>
            </w:r>
            <w:r w:rsidRPr="00D54D8F">
              <w:rPr>
                <w:b/>
                <w:bCs/>
                <w:sz w:val="24"/>
                <w:szCs w:val="24"/>
                <w:lang w:val="en-US"/>
              </w:rPr>
              <w:t>Elmas</w:t>
            </w:r>
            <w:r w:rsidRPr="00D54D8F">
              <w:rPr>
                <w:rFonts w:hint="eastAsia"/>
                <w:b/>
                <w:bCs/>
                <w:sz w:val="24"/>
                <w:szCs w:val="24"/>
                <w:highlight w:val="lightGray"/>
                <w:lang w:val="en-US"/>
              </w:rPr>
              <w:t>[17]</w:t>
            </w:r>
            <w:r w:rsidRPr="00D54D8F">
              <w:rPr>
                <w:b/>
                <w:bCs/>
                <w:sz w:val="24"/>
                <w:szCs w:val="24"/>
                <w:lang w:val="en-US"/>
              </w:rPr>
              <w:t xml:space="preserve"> and Zhang BB a</w:t>
            </w:r>
            <w:r w:rsidRPr="00D54D8F">
              <w:rPr>
                <w:rFonts w:hint="eastAsia"/>
                <w:b/>
                <w:bCs/>
                <w:sz w:val="24"/>
                <w:szCs w:val="24"/>
                <w:highlight w:val="lightGray"/>
                <w:lang w:val="en-US"/>
              </w:rPr>
              <w:t>[24]</w:t>
            </w:r>
          </w:p>
        </w:tc>
      </w:tr>
      <w:tr w:rsidR="00D54D8F" w:rsidRPr="0086261A" w14:paraId="6A2A5CF8" w14:textId="77777777" w:rsidTr="00431597">
        <w:trPr>
          <w:trHeight w:val="211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03781485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SEN</w:t>
            </w:r>
          </w:p>
        </w:tc>
        <w:tc>
          <w:tcPr>
            <w:tcW w:w="3761" w:type="dxa"/>
            <w:tcBorders>
              <w:top w:val="single" w:sz="4" w:space="0" w:color="auto"/>
            </w:tcBorders>
            <w:vAlign w:val="center"/>
          </w:tcPr>
          <w:p w14:paraId="30B7D4DC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0.84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(95%CI:0.74-0.91)</w:t>
            </w:r>
          </w:p>
        </w:tc>
        <w:tc>
          <w:tcPr>
            <w:tcW w:w="5815" w:type="dxa"/>
            <w:tcBorders>
              <w:top w:val="single" w:sz="4" w:space="0" w:color="auto"/>
            </w:tcBorders>
            <w:vAlign w:val="center"/>
          </w:tcPr>
          <w:p w14:paraId="176DCBA6" w14:textId="77777777" w:rsidR="00D54D8F" w:rsidRPr="0086261A" w:rsidRDefault="00D54D8F" w:rsidP="00431597">
            <w:pPr>
              <w:rPr>
                <w:rFonts w:eastAsia="Times New Roman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0.84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(95%CI:0.76-0.90)</w:t>
            </w:r>
          </w:p>
        </w:tc>
      </w:tr>
      <w:tr w:rsidR="00D54D8F" w:rsidRPr="0086261A" w14:paraId="56A5A608" w14:textId="77777777" w:rsidTr="00431597">
        <w:trPr>
          <w:trHeight w:val="211"/>
        </w:trPr>
        <w:tc>
          <w:tcPr>
            <w:tcW w:w="2943" w:type="dxa"/>
            <w:vAlign w:val="center"/>
          </w:tcPr>
          <w:p w14:paraId="763D82BD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SPE</w:t>
            </w:r>
          </w:p>
        </w:tc>
        <w:tc>
          <w:tcPr>
            <w:tcW w:w="3761" w:type="dxa"/>
            <w:vAlign w:val="center"/>
          </w:tcPr>
          <w:p w14:paraId="30CD7509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0.81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(95%CI:0.75-0.86)</w:t>
            </w:r>
          </w:p>
        </w:tc>
        <w:tc>
          <w:tcPr>
            <w:tcW w:w="5815" w:type="dxa"/>
            <w:vAlign w:val="center"/>
          </w:tcPr>
          <w:p w14:paraId="550FB528" w14:textId="77777777" w:rsidR="00D54D8F" w:rsidRPr="0086261A" w:rsidRDefault="00D54D8F" w:rsidP="00431597">
            <w:pPr>
              <w:rPr>
                <w:rFonts w:eastAsia="Times New Roman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0.82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(95%CI:0.75-0.87)</w:t>
            </w:r>
          </w:p>
        </w:tc>
      </w:tr>
      <w:tr w:rsidR="00D54D8F" w:rsidRPr="0086261A" w14:paraId="21C9EB9E" w14:textId="77777777" w:rsidTr="00431597">
        <w:trPr>
          <w:trHeight w:val="211"/>
        </w:trPr>
        <w:tc>
          <w:tcPr>
            <w:tcW w:w="2943" w:type="dxa"/>
            <w:vAlign w:val="center"/>
          </w:tcPr>
          <w:p w14:paraId="2BDF6D54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PLR</w:t>
            </w:r>
          </w:p>
        </w:tc>
        <w:tc>
          <w:tcPr>
            <w:tcW w:w="3761" w:type="dxa"/>
            <w:vAlign w:val="center"/>
          </w:tcPr>
          <w:p w14:paraId="357202FD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4.39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(95%CI:3.23-5.97)</w:t>
            </w:r>
          </w:p>
        </w:tc>
        <w:tc>
          <w:tcPr>
            <w:tcW w:w="5815" w:type="dxa"/>
            <w:vAlign w:val="center"/>
          </w:tcPr>
          <w:p w14:paraId="71E964B8" w14:textId="77777777" w:rsidR="00D54D8F" w:rsidRPr="0086261A" w:rsidRDefault="00D54D8F" w:rsidP="00431597">
            <w:pPr>
              <w:rPr>
                <w:rFonts w:eastAsia="Times New Roman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4.6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(95%CI:3.2-6.7)</w:t>
            </w:r>
          </w:p>
        </w:tc>
      </w:tr>
      <w:tr w:rsidR="00D54D8F" w:rsidRPr="0086261A" w14:paraId="0DF31502" w14:textId="77777777" w:rsidTr="00431597">
        <w:trPr>
          <w:trHeight w:val="211"/>
        </w:trPr>
        <w:tc>
          <w:tcPr>
            <w:tcW w:w="2943" w:type="dxa"/>
            <w:vAlign w:val="center"/>
          </w:tcPr>
          <w:p w14:paraId="5A60E124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NLR</w:t>
            </w:r>
          </w:p>
        </w:tc>
        <w:tc>
          <w:tcPr>
            <w:tcW w:w="3761" w:type="dxa"/>
            <w:vAlign w:val="center"/>
          </w:tcPr>
          <w:p w14:paraId="51AA0CA0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0.19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(95%CI:0.11-0.34)</w:t>
            </w:r>
          </w:p>
        </w:tc>
        <w:tc>
          <w:tcPr>
            <w:tcW w:w="5815" w:type="dxa"/>
            <w:vAlign w:val="center"/>
          </w:tcPr>
          <w:p w14:paraId="03B33B35" w14:textId="77777777" w:rsidR="00D54D8F" w:rsidRPr="0086261A" w:rsidRDefault="00D54D8F" w:rsidP="00431597">
            <w:pPr>
              <w:rPr>
                <w:rFonts w:eastAsia="Times New Roman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0.19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(95%CI:0.12-0.30)</w:t>
            </w:r>
          </w:p>
        </w:tc>
      </w:tr>
      <w:tr w:rsidR="00D54D8F" w:rsidRPr="0086261A" w14:paraId="1E45F4B7" w14:textId="77777777" w:rsidTr="00431597">
        <w:trPr>
          <w:trHeight w:val="211"/>
        </w:trPr>
        <w:tc>
          <w:tcPr>
            <w:tcW w:w="2943" w:type="dxa"/>
            <w:vAlign w:val="center"/>
          </w:tcPr>
          <w:p w14:paraId="41799C68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DOR</w:t>
            </w:r>
          </w:p>
        </w:tc>
        <w:tc>
          <w:tcPr>
            <w:tcW w:w="3761" w:type="dxa"/>
            <w:vAlign w:val="center"/>
          </w:tcPr>
          <w:p w14:paraId="717221D6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22.58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(95%CI:10.44-48.83)</w:t>
            </w:r>
          </w:p>
        </w:tc>
        <w:tc>
          <w:tcPr>
            <w:tcW w:w="5815" w:type="dxa"/>
            <w:vAlign w:val="center"/>
          </w:tcPr>
          <w:p w14:paraId="428909B3" w14:textId="77777777" w:rsidR="00D54D8F" w:rsidRPr="0086261A" w:rsidRDefault="00D54D8F" w:rsidP="00431597">
            <w:pPr>
              <w:rPr>
                <w:rFonts w:eastAsia="Times New Roman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(95%CI:11-51)</w:t>
            </w:r>
          </w:p>
        </w:tc>
      </w:tr>
      <w:tr w:rsidR="00D54D8F" w:rsidRPr="0086261A" w14:paraId="7261EED4" w14:textId="77777777" w:rsidTr="00431597">
        <w:trPr>
          <w:trHeight w:val="211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CC9DE67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AUC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67661206" w14:textId="77777777" w:rsidR="00D54D8F" w:rsidRPr="0086261A" w:rsidRDefault="00D54D8F" w:rsidP="00431597">
            <w:pPr>
              <w:rPr>
                <w:color w:val="000000"/>
                <w:sz w:val="24"/>
                <w:szCs w:val="24"/>
              </w:rPr>
            </w:pPr>
            <w:r w:rsidRPr="0086261A">
              <w:rPr>
                <w:color w:val="000000"/>
                <w:sz w:val="24"/>
                <w:szCs w:val="24"/>
              </w:rPr>
              <w:t>0.88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261A">
              <w:rPr>
                <w:color w:val="000000"/>
                <w:sz w:val="24"/>
                <w:szCs w:val="24"/>
              </w:rPr>
              <w:t>(95%CI:0.85-0.90)</w:t>
            </w:r>
          </w:p>
        </w:tc>
        <w:tc>
          <w:tcPr>
            <w:tcW w:w="5815" w:type="dxa"/>
            <w:tcBorders>
              <w:bottom w:val="single" w:sz="4" w:space="0" w:color="auto"/>
            </w:tcBorders>
            <w:vAlign w:val="center"/>
          </w:tcPr>
          <w:p w14:paraId="51CE4CB7" w14:textId="77777777" w:rsidR="00D54D8F" w:rsidRPr="0086261A" w:rsidRDefault="00D54D8F" w:rsidP="00431597">
            <w:pPr>
              <w:rPr>
                <w:rFonts w:eastAsia="Times New Roman"/>
                <w:sz w:val="24"/>
                <w:szCs w:val="24"/>
              </w:rPr>
            </w:pPr>
            <w:r w:rsidRPr="0086261A">
              <w:rPr>
                <w:color w:val="231F20"/>
                <w:sz w:val="24"/>
                <w:szCs w:val="24"/>
              </w:rPr>
              <w:t>0.90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86261A">
              <w:rPr>
                <w:color w:val="231F20"/>
                <w:sz w:val="24"/>
                <w:szCs w:val="24"/>
              </w:rPr>
              <w:t>(95%CI:0.87-0.92)</w:t>
            </w:r>
          </w:p>
        </w:tc>
      </w:tr>
    </w:tbl>
    <w:p w14:paraId="32143FDD" w14:textId="77777777" w:rsidR="00D54D8F" w:rsidRDefault="00D54D8F" w:rsidP="00D54D8F">
      <w:pPr>
        <w:autoSpaceDE w:val="0"/>
        <w:autoSpaceDN w:val="0"/>
        <w:adjustRightInd w:val="0"/>
        <w:spacing w:line="480" w:lineRule="auto"/>
      </w:pPr>
    </w:p>
    <w:p w14:paraId="4DE2DD12" w14:textId="77777777" w:rsidR="00D54D8F" w:rsidRDefault="00D54D8F" w:rsidP="00D54D8F">
      <w:pPr>
        <w:autoSpaceDE w:val="0"/>
        <w:autoSpaceDN w:val="0"/>
        <w:adjustRightInd w:val="0"/>
        <w:spacing w:line="480" w:lineRule="auto"/>
      </w:pPr>
    </w:p>
    <w:p w14:paraId="1347E8F0" w14:textId="77777777" w:rsidR="00D54D8F" w:rsidRDefault="00D54D8F" w:rsidP="00D54D8F">
      <w:pPr>
        <w:autoSpaceDE w:val="0"/>
        <w:autoSpaceDN w:val="0"/>
        <w:adjustRightInd w:val="0"/>
        <w:spacing w:line="480" w:lineRule="auto"/>
      </w:pPr>
    </w:p>
    <w:p w14:paraId="48BFFA28" w14:textId="77777777" w:rsidR="00D54D8F" w:rsidRDefault="00D54D8F" w:rsidP="00D54D8F">
      <w:pPr>
        <w:autoSpaceDE w:val="0"/>
        <w:autoSpaceDN w:val="0"/>
        <w:adjustRightInd w:val="0"/>
        <w:spacing w:line="480" w:lineRule="auto"/>
      </w:pPr>
    </w:p>
    <w:p w14:paraId="07ECA880" w14:textId="77777777" w:rsidR="00D54D8F" w:rsidRPr="00D54D8F" w:rsidRDefault="00D54D8F" w:rsidP="00D54D8F">
      <w:pPr>
        <w:spacing w:line="360" w:lineRule="auto"/>
        <w:rPr>
          <w:sz w:val="24"/>
          <w:szCs w:val="24"/>
          <w:lang w:val="en-US"/>
        </w:rPr>
      </w:pPr>
      <w:r w:rsidRPr="00D54D8F">
        <w:rPr>
          <w:sz w:val="24"/>
          <w:szCs w:val="24"/>
          <w:lang w:val="en-US"/>
        </w:rPr>
        <w:t>SEN, sensitivity; SPE, specificity; PLR, positive likelihood ratio; NLR, negative likelihood ratio; DOR, diagnostic odds ratio</w:t>
      </w:r>
      <w:r w:rsidRPr="00D54D8F">
        <w:rPr>
          <w:rFonts w:hint="eastAsia"/>
          <w:sz w:val="24"/>
          <w:szCs w:val="24"/>
          <w:lang w:val="en-US"/>
        </w:rPr>
        <w:t xml:space="preserve">; </w:t>
      </w:r>
      <w:r w:rsidRPr="00D54D8F">
        <w:rPr>
          <w:sz w:val="24"/>
          <w:szCs w:val="24"/>
          <w:lang w:val="en-US"/>
        </w:rPr>
        <w:t>AUC, area under the curve.</w:t>
      </w:r>
    </w:p>
    <w:p w14:paraId="0772392C" w14:textId="77777777" w:rsidR="00D54D8F" w:rsidRPr="00D54D8F" w:rsidRDefault="00D54D8F">
      <w:pPr>
        <w:rPr>
          <w:lang w:val="en-US"/>
        </w:rPr>
      </w:pPr>
    </w:p>
    <w:sectPr w:rsidR="00D54D8F" w:rsidRPr="00D54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45AA" w14:textId="77777777" w:rsidR="00D54D8F" w:rsidRDefault="00D54D8F" w:rsidP="00D54D8F">
      <w:pPr>
        <w:spacing w:after="0" w:line="240" w:lineRule="auto"/>
      </w:pPr>
      <w:r>
        <w:separator/>
      </w:r>
    </w:p>
  </w:endnote>
  <w:endnote w:type="continuationSeparator" w:id="0">
    <w:p w14:paraId="59F60AB3" w14:textId="77777777" w:rsidR="00D54D8F" w:rsidRDefault="00D54D8F" w:rsidP="00D5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F112" w14:textId="77777777" w:rsidR="00D54D8F" w:rsidRDefault="00D54D8F" w:rsidP="00D54D8F">
      <w:pPr>
        <w:spacing w:after="0" w:line="240" w:lineRule="auto"/>
      </w:pPr>
      <w:r>
        <w:separator/>
      </w:r>
    </w:p>
  </w:footnote>
  <w:footnote w:type="continuationSeparator" w:id="0">
    <w:p w14:paraId="14B8FFF9" w14:textId="77777777" w:rsidR="00D54D8F" w:rsidRDefault="00D54D8F" w:rsidP="00D54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8F"/>
    <w:rsid w:val="00D5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F245"/>
  <w15:chartTrackingRefBased/>
  <w15:docId w15:val="{8A0762E8-26BA-4CCD-8A10-3F0D5A87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2021-09-28T01:48:00Z</dcterms:created>
  <dcterms:modified xsi:type="dcterms:W3CDTF">2021-09-28T01:50:00Z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2021-09-28T01:48:29Z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51a5e608-39de-4116-91a6-9481b4838639</vt:lpwstr>
  </property>
  <property fmtid="{D5CDD505-2E9C-101B-9397-08002B2CF9AE}" pid="8" name="MSIP_Label_549ac42a-3eb4-4074-b885-aea26bd6241e_ContentBits">
    <vt:lpwstr>0</vt:lpwstr>
  </property>
</Properties>
</file>