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4538" w14:textId="7D5BD7EB" w:rsidR="00F91ED5" w:rsidRPr="00D54A72" w:rsidRDefault="00F91ED5" w:rsidP="00F91ED5">
      <w:pPr>
        <w:keepNext/>
        <w:widowControl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D54A72">
        <w:rPr>
          <w:rFonts w:ascii="Times New Roman" w:hAnsi="Times New Roman" w:cs="Times New Roman"/>
          <w:b/>
          <w:bCs/>
          <w:sz w:val="24"/>
        </w:rPr>
        <w:t xml:space="preserve">JPED-D-22-00015 </w:t>
      </w:r>
      <w:r>
        <w:rPr>
          <w:rFonts w:ascii="Times New Roman" w:hAnsi="Times New Roman" w:cs="Times New Roman"/>
          <w:b/>
          <w:bCs/>
          <w:sz w:val="24"/>
        </w:rPr>
        <w:t>–</w:t>
      </w:r>
      <w:r w:rsidRPr="00D54A72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Supplementary Material</w:t>
      </w:r>
    </w:p>
    <w:p w14:paraId="6388D845" w14:textId="621E52E5" w:rsidR="00F91ED5" w:rsidRDefault="00F91ED5"/>
    <w:p w14:paraId="405EF69B" w14:textId="162762DD" w:rsidR="00F91ED5" w:rsidRDefault="00F91ED5"/>
    <w:p w14:paraId="52A23CFB" w14:textId="77777777" w:rsidR="00F91ED5" w:rsidRPr="00F91ED5" w:rsidRDefault="00F91ED5" w:rsidP="00F91ED5">
      <w:pPr>
        <w:jc w:val="left"/>
        <w:rPr>
          <w:rFonts w:ascii="Times New Roman" w:hAnsi="Times New Roman" w:cs="Times New Roman"/>
          <w:sz w:val="24"/>
        </w:rPr>
      </w:pPr>
      <w:r w:rsidRPr="00DF0D88">
        <w:rPr>
          <w:rFonts w:ascii="Times New Roman" w:hAnsi="Times New Roman" w:cs="Times New Roman"/>
          <w:b/>
          <w:bCs/>
          <w:sz w:val="24"/>
        </w:rPr>
        <w:t xml:space="preserve">Supplemental material 1. </w:t>
      </w:r>
      <w:r w:rsidRPr="00F91ED5">
        <w:rPr>
          <w:rFonts w:ascii="Times New Roman" w:hAnsi="Times New Roman" w:cs="Times New Roman"/>
          <w:sz w:val="24"/>
        </w:rPr>
        <w:t>Comparison of clinical baseline data [n (%)].</w:t>
      </w:r>
    </w:p>
    <w:tbl>
      <w:tblPr>
        <w:tblStyle w:val="PlainTable22"/>
        <w:tblW w:w="10054" w:type="dxa"/>
        <w:tblLook w:val="04A0" w:firstRow="1" w:lastRow="0" w:firstColumn="1" w:lastColumn="0" w:noHBand="0" w:noVBand="1"/>
      </w:tblPr>
      <w:tblGrid>
        <w:gridCol w:w="2783"/>
        <w:gridCol w:w="2270"/>
        <w:gridCol w:w="1706"/>
        <w:gridCol w:w="1647"/>
        <w:gridCol w:w="1648"/>
      </w:tblGrid>
      <w:tr w:rsidR="00F91ED5" w:rsidRPr="00DF0D88" w14:paraId="4AD64138" w14:textId="77777777" w:rsidTr="00282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350A3816" w14:textId="77777777" w:rsidR="00F91ED5" w:rsidRPr="00DF0D88" w:rsidRDefault="00F91ED5" w:rsidP="00282E1C">
            <w:pPr>
              <w:jc w:val="center"/>
              <w:rPr>
                <w:rFonts w:ascii="Times New Roman" w:hAnsi="Times New Roman" w:cs="Times New Roman"/>
                <w:bCs w:val="0"/>
                <w:sz w:val="24"/>
              </w:rPr>
            </w:pPr>
          </w:p>
        </w:tc>
        <w:tc>
          <w:tcPr>
            <w:tcW w:w="2310" w:type="dxa"/>
          </w:tcPr>
          <w:p w14:paraId="641661BB" w14:textId="77777777" w:rsidR="00F91ED5" w:rsidRPr="00DF0D88" w:rsidRDefault="00F91ED5" w:rsidP="00282E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</w:rPr>
            </w:pPr>
            <w:r w:rsidRPr="00DF0D88">
              <w:rPr>
                <w:rFonts w:ascii="Times New Roman" w:hAnsi="Times New Roman" w:cs="Times New Roman"/>
                <w:sz w:val="24"/>
              </w:rPr>
              <w:t>Observation group</w:t>
            </w:r>
          </w:p>
        </w:tc>
        <w:tc>
          <w:tcPr>
            <w:tcW w:w="1741" w:type="dxa"/>
          </w:tcPr>
          <w:p w14:paraId="49B0368C" w14:textId="77777777" w:rsidR="00F91ED5" w:rsidRPr="00DF0D88" w:rsidRDefault="00F91ED5" w:rsidP="00282E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</w:rPr>
            </w:pPr>
            <w:r w:rsidRPr="00DF0D88">
              <w:rPr>
                <w:rFonts w:ascii="Times New Roman" w:hAnsi="Times New Roman" w:cs="Times New Roman"/>
                <w:sz w:val="24"/>
              </w:rPr>
              <w:t>Control group</w:t>
            </w:r>
          </w:p>
        </w:tc>
        <w:tc>
          <w:tcPr>
            <w:tcW w:w="1692" w:type="dxa"/>
          </w:tcPr>
          <w:p w14:paraId="08297D1E" w14:textId="77777777" w:rsidR="00F91ED5" w:rsidRPr="00DF0D88" w:rsidRDefault="00F91ED5" w:rsidP="00282E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</w:rPr>
            </w:pPr>
            <w:r w:rsidRPr="00DF0D88">
              <w:rPr>
                <w:rFonts w:ascii="Times New Roman" w:hAnsi="Times New Roman" w:cs="Times New Roman"/>
                <w:sz w:val="24"/>
              </w:rPr>
              <w:t xml:space="preserve">t or </w:t>
            </w:r>
            <w:r w:rsidRPr="00DF0D88">
              <w:rPr>
                <w:rFonts w:ascii="Times New Roman" w:hAnsi="Times New Roman" w:cs="Times New Roman"/>
                <w:sz w:val="24"/>
              </w:rPr>
              <w:sym w:font="Symbol" w:char="0063"/>
            </w:r>
            <w:r w:rsidRPr="00DF0D88">
              <w:rPr>
                <w:rFonts w:ascii="Times New Roman" w:hAnsi="Times New Roman" w:cs="Times New Roman"/>
                <w:bCs w:val="0"/>
                <w:sz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3AB19CB9" w14:textId="77777777" w:rsidR="00F91ED5" w:rsidRPr="00DF0D88" w:rsidRDefault="00F91ED5" w:rsidP="00282E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</w:rPr>
            </w:pPr>
            <w:r w:rsidRPr="00DF0D88">
              <w:rPr>
                <w:rFonts w:ascii="Times New Roman" w:hAnsi="Times New Roman" w:cs="Times New Roman"/>
                <w:bCs w:val="0"/>
                <w:i/>
                <w:iCs/>
                <w:sz w:val="24"/>
              </w:rPr>
              <w:t>P</w:t>
            </w:r>
          </w:p>
        </w:tc>
      </w:tr>
      <w:tr w:rsidR="00F91ED5" w:rsidRPr="00DF0D88" w14:paraId="508EB4E5" w14:textId="77777777" w:rsidTr="00282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1890DD49" w14:textId="77777777" w:rsidR="00F91ED5" w:rsidRPr="00DF0D88" w:rsidRDefault="00F91ED5" w:rsidP="00282E1C">
            <w:pPr>
              <w:jc w:val="center"/>
              <w:rPr>
                <w:rFonts w:ascii="Times New Roman" w:hAnsi="Times New Roman" w:cs="Times New Roman"/>
                <w:bCs w:val="0"/>
                <w:sz w:val="24"/>
              </w:rPr>
            </w:pPr>
            <w:r w:rsidRPr="00DF0D88">
              <w:rPr>
                <w:rFonts w:ascii="Times New Roman" w:hAnsi="Times New Roman" w:cs="Times New Roman"/>
                <w:sz w:val="24"/>
              </w:rPr>
              <w:t>Age</w:t>
            </w:r>
          </w:p>
        </w:tc>
        <w:tc>
          <w:tcPr>
            <w:tcW w:w="2310" w:type="dxa"/>
          </w:tcPr>
          <w:p w14:paraId="0885E821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2.2</w:t>
            </w: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±1.4</w:t>
            </w:r>
          </w:p>
        </w:tc>
        <w:tc>
          <w:tcPr>
            <w:tcW w:w="1741" w:type="dxa"/>
          </w:tcPr>
          <w:p w14:paraId="1426ECB8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2.1</w:t>
            </w: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±1.2</w:t>
            </w:r>
          </w:p>
        </w:tc>
        <w:tc>
          <w:tcPr>
            <w:tcW w:w="1692" w:type="dxa"/>
          </w:tcPr>
          <w:p w14:paraId="34540132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0.476</w:t>
            </w:r>
          </w:p>
        </w:tc>
        <w:tc>
          <w:tcPr>
            <w:tcW w:w="1693" w:type="dxa"/>
          </w:tcPr>
          <w:p w14:paraId="15BEB767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0.635</w:t>
            </w:r>
          </w:p>
        </w:tc>
      </w:tr>
      <w:tr w:rsidR="00F91ED5" w:rsidRPr="00DF0D88" w14:paraId="07E5F308" w14:textId="77777777" w:rsidTr="00282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0DBEA42A" w14:textId="77777777" w:rsidR="00F91ED5" w:rsidRPr="00DF0D88" w:rsidRDefault="00F91ED5" w:rsidP="00282E1C">
            <w:pPr>
              <w:tabs>
                <w:tab w:val="left" w:pos="7261"/>
              </w:tabs>
              <w:ind w:right="-433"/>
              <w:jc w:val="left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Family history of illness</w:t>
            </w:r>
          </w:p>
        </w:tc>
        <w:tc>
          <w:tcPr>
            <w:tcW w:w="2310" w:type="dxa"/>
          </w:tcPr>
          <w:p w14:paraId="65AC931B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741" w:type="dxa"/>
          </w:tcPr>
          <w:p w14:paraId="28946753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2" w:type="dxa"/>
          </w:tcPr>
          <w:p w14:paraId="604C9FEF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1.364</w:t>
            </w:r>
          </w:p>
        </w:tc>
        <w:tc>
          <w:tcPr>
            <w:tcW w:w="1693" w:type="dxa"/>
          </w:tcPr>
          <w:p w14:paraId="76A08A48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0.243</w:t>
            </w:r>
          </w:p>
        </w:tc>
      </w:tr>
      <w:tr w:rsidR="00F91ED5" w:rsidRPr="00DF0D88" w14:paraId="2754AAFA" w14:textId="77777777" w:rsidTr="00282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1BA92B96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Yes</w:t>
            </w:r>
          </w:p>
        </w:tc>
        <w:tc>
          <w:tcPr>
            <w:tcW w:w="2310" w:type="dxa"/>
          </w:tcPr>
          <w:p w14:paraId="43F9DD61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20 (27.79)</w:t>
            </w:r>
          </w:p>
        </w:tc>
        <w:tc>
          <w:tcPr>
            <w:tcW w:w="1741" w:type="dxa"/>
          </w:tcPr>
          <w:p w14:paraId="63AE9B71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16 (19.75)</w:t>
            </w:r>
          </w:p>
        </w:tc>
        <w:tc>
          <w:tcPr>
            <w:tcW w:w="1692" w:type="dxa"/>
          </w:tcPr>
          <w:p w14:paraId="3C8E29A6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3" w:type="dxa"/>
          </w:tcPr>
          <w:p w14:paraId="34E098DA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5FDAA8A4" w14:textId="77777777" w:rsidTr="00282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7630131B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No</w:t>
            </w:r>
          </w:p>
        </w:tc>
        <w:tc>
          <w:tcPr>
            <w:tcW w:w="2310" w:type="dxa"/>
          </w:tcPr>
          <w:p w14:paraId="2D59EE4B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52 (72.22)</w:t>
            </w:r>
          </w:p>
        </w:tc>
        <w:tc>
          <w:tcPr>
            <w:tcW w:w="1741" w:type="dxa"/>
          </w:tcPr>
          <w:p w14:paraId="6E1773E8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65 (80.25)</w:t>
            </w:r>
          </w:p>
        </w:tc>
        <w:tc>
          <w:tcPr>
            <w:tcW w:w="1692" w:type="dxa"/>
          </w:tcPr>
          <w:p w14:paraId="14C6821F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3" w:type="dxa"/>
          </w:tcPr>
          <w:p w14:paraId="1E7A9609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37784287" w14:textId="77777777" w:rsidTr="00282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62847F75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Gender</w:t>
            </w:r>
          </w:p>
        </w:tc>
        <w:tc>
          <w:tcPr>
            <w:tcW w:w="2310" w:type="dxa"/>
          </w:tcPr>
          <w:p w14:paraId="101A8A37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741" w:type="dxa"/>
          </w:tcPr>
          <w:p w14:paraId="65352A3C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2" w:type="dxa"/>
          </w:tcPr>
          <w:p w14:paraId="43A219DC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0.327</w:t>
            </w:r>
          </w:p>
        </w:tc>
        <w:tc>
          <w:tcPr>
            <w:tcW w:w="1693" w:type="dxa"/>
          </w:tcPr>
          <w:p w14:paraId="3CC6F380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0.568</w:t>
            </w:r>
          </w:p>
        </w:tc>
      </w:tr>
      <w:tr w:rsidR="00F91ED5" w:rsidRPr="00DF0D88" w14:paraId="1AA68739" w14:textId="77777777" w:rsidTr="00282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1B9D0465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boy</w:t>
            </w:r>
          </w:p>
        </w:tc>
        <w:tc>
          <w:tcPr>
            <w:tcW w:w="2310" w:type="dxa"/>
          </w:tcPr>
          <w:p w14:paraId="71BE57E0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38 (52.78)</w:t>
            </w:r>
          </w:p>
        </w:tc>
        <w:tc>
          <w:tcPr>
            <w:tcW w:w="1741" w:type="dxa"/>
          </w:tcPr>
          <w:p w14:paraId="2E3E2DA1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39 (48.15</w:t>
            </w: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)</w:t>
            </w:r>
          </w:p>
        </w:tc>
        <w:tc>
          <w:tcPr>
            <w:tcW w:w="1692" w:type="dxa"/>
          </w:tcPr>
          <w:p w14:paraId="226939B4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3" w:type="dxa"/>
          </w:tcPr>
          <w:p w14:paraId="39D77B6B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27E9FB8D" w14:textId="77777777" w:rsidTr="00282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019E56E6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girl</w:t>
            </w:r>
          </w:p>
        </w:tc>
        <w:tc>
          <w:tcPr>
            <w:tcW w:w="2310" w:type="dxa"/>
          </w:tcPr>
          <w:p w14:paraId="32786A15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34 (47.22)</w:t>
            </w:r>
          </w:p>
        </w:tc>
        <w:tc>
          <w:tcPr>
            <w:tcW w:w="1741" w:type="dxa"/>
          </w:tcPr>
          <w:p w14:paraId="508A67C5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42 (51.85</w:t>
            </w: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)</w:t>
            </w:r>
          </w:p>
        </w:tc>
        <w:tc>
          <w:tcPr>
            <w:tcW w:w="1692" w:type="dxa"/>
          </w:tcPr>
          <w:p w14:paraId="68BBC220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3" w:type="dxa"/>
          </w:tcPr>
          <w:p w14:paraId="061327C9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16865581" w14:textId="77777777" w:rsidTr="00282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5664062C" w14:textId="77777777" w:rsidR="00F91ED5" w:rsidRPr="00DF0D88" w:rsidRDefault="00F91ED5" w:rsidP="00282E1C">
            <w:pPr>
              <w:tabs>
                <w:tab w:val="left" w:pos="7261"/>
              </w:tabs>
              <w:jc w:val="left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The way of childbirth</w:t>
            </w:r>
          </w:p>
        </w:tc>
        <w:tc>
          <w:tcPr>
            <w:tcW w:w="2310" w:type="dxa"/>
          </w:tcPr>
          <w:p w14:paraId="564D976E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741" w:type="dxa"/>
          </w:tcPr>
          <w:p w14:paraId="79B741CE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2" w:type="dxa"/>
          </w:tcPr>
          <w:p w14:paraId="06647CCB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0.425</w:t>
            </w:r>
          </w:p>
        </w:tc>
        <w:tc>
          <w:tcPr>
            <w:tcW w:w="1693" w:type="dxa"/>
          </w:tcPr>
          <w:p w14:paraId="58141C16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0.515</w:t>
            </w:r>
          </w:p>
        </w:tc>
      </w:tr>
      <w:tr w:rsidR="00F91ED5" w:rsidRPr="00DF0D88" w14:paraId="53825610" w14:textId="77777777" w:rsidTr="00282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3A8B03B7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cesarean section</w:t>
            </w:r>
          </w:p>
        </w:tc>
        <w:tc>
          <w:tcPr>
            <w:tcW w:w="2310" w:type="dxa"/>
          </w:tcPr>
          <w:p w14:paraId="021A52C2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30 (41.67)</w:t>
            </w:r>
          </w:p>
        </w:tc>
        <w:tc>
          <w:tcPr>
            <w:tcW w:w="1741" w:type="dxa"/>
          </w:tcPr>
          <w:p w14:paraId="46E596B2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38 (46.91</w:t>
            </w: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)</w:t>
            </w:r>
          </w:p>
        </w:tc>
        <w:tc>
          <w:tcPr>
            <w:tcW w:w="1692" w:type="dxa"/>
          </w:tcPr>
          <w:p w14:paraId="70D309AC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3" w:type="dxa"/>
          </w:tcPr>
          <w:p w14:paraId="6B27089D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71CC8435" w14:textId="77777777" w:rsidTr="00282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4A2C745C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vaginal delivery</w:t>
            </w:r>
          </w:p>
        </w:tc>
        <w:tc>
          <w:tcPr>
            <w:tcW w:w="2310" w:type="dxa"/>
          </w:tcPr>
          <w:p w14:paraId="2678D161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42 (58.33)</w:t>
            </w:r>
          </w:p>
        </w:tc>
        <w:tc>
          <w:tcPr>
            <w:tcW w:w="1741" w:type="dxa"/>
          </w:tcPr>
          <w:p w14:paraId="0405358F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43 (53.09)</w:t>
            </w:r>
          </w:p>
        </w:tc>
        <w:tc>
          <w:tcPr>
            <w:tcW w:w="1692" w:type="dxa"/>
          </w:tcPr>
          <w:p w14:paraId="56E44EB8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3" w:type="dxa"/>
          </w:tcPr>
          <w:p w14:paraId="0FACC349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30CE6584" w14:textId="77777777" w:rsidTr="00282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4DF8EA67" w14:textId="77777777" w:rsidR="00F91ED5" w:rsidRPr="00DF0D88" w:rsidRDefault="00F91ED5" w:rsidP="00282E1C">
            <w:pPr>
              <w:tabs>
                <w:tab w:val="left" w:pos="7261"/>
              </w:tabs>
              <w:jc w:val="left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Only child</w:t>
            </w:r>
          </w:p>
        </w:tc>
        <w:tc>
          <w:tcPr>
            <w:tcW w:w="2310" w:type="dxa"/>
          </w:tcPr>
          <w:p w14:paraId="614542B7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741" w:type="dxa"/>
          </w:tcPr>
          <w:p w14:paraId="391D4364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2" w:type="dxa"/>
          </w:tcPr>
          <w:p w14:paraId="32AF3629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0.229</w:t>
            </w:r>
          </w:p>
        </w:tc>
        <w:tc>
          <w:tcPr>
            <w:tcW w:w="1693" w:type="dxa"/>
          </w:tcPr>
          <w:p w14:paraId="06BD8CC7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0.632</w:t>
            </w:r>
          </w:p>
        </w:tc>
      </w:tr>
      <w:tr w:rsidR="00F91ED5" w:rsidRPr="00DF0D88" w14:paraId="74233C26" w14:textId="77777777" w:rsidTr="00282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79194DC5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yes</w:t>
            </w:r>
          </w:p>
        </w:tc>
        <w:tc>
          <w:tcPr>
            <w:tcW w:w="2310" w:type="dxa"/>
          </w:tcPr>
          <w:p w14:paraId="5AC97015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24 (33.33)</w:t>
            </w:r>
          </w:p>
        </w:tc>
        <w:tc>
          <w:tcPr>
            <w:tcW w:w="1741" w:type="dxa"/>
          </w:tcPr>
          <w:p w14:paraId="7CDDB6A8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30 (37.04</w:t>
            </w: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)</w:t>
            </w:r>
          </w:p>
        </w:tc>
        <w:tc>
          <w:tcPr>
            <w:tcW w:w="1692" w:type="dxa"/>
          </w:tcPr>
          <w:p w14:paraId="60B553D9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3" w:type="dxa"/>
          </w:tcPr>
          <w:p w14:paraId="275E9FBF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31E400FF" w14:textId="77777777" w:rsidTr="00282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06C76EE0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no</w:t>
            </w:r>
          </w:p>
        </w:tc>
        <w:tc>
          <w:tcPr>
            <w:tcW w:w="2310" w:type="dxa"/>
          </w:tcPr>
          <w:p w14:paraId="2BF53E99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48 (66.67)</w:t>
            </w:r>
          </w:p>
        </w:tc>
        <w:tc>
          <w:tcPr>
            <w:tcW w:w="1741" w:type="dxa"/>
          </w:tcPr>
          <w:p w14:paraId="7A6F4866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51 (62.96</w:t>
            </w: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)</w:t>
            </w:r>
          </w:p>
        </w:tc>
        <w:tc>
          <w:tcPr>
            <w:tcW w:w="1692" w:type="dxa"/>
          </w:tcPr>
          <w:p w14:paraId="1A396293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3" w:type="dxa"/>
          </w:tcPr>
          <w:p w14:paraId="26875C13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659C6B7B" w14:textId="77777777" w:rsidTr="00282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1307040A" w14:textId="77777777" w:rsidR="00F91ED5" w:rsidRPr="00DF0D88" w:rsidRDefault="00F91ED5" w:rsidP="00282E1C">
            <w:pPr>
              <w:tabs>
                <w:tab w:val="left" w:pos="7261"/>
              </w:tabs>
              <w:jc w:val="left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Living environment</w:t>
            </w:r>
          </w:p>
        </w:tc>
        <w:tc>
          <w:tcPr>
            <w:tcW w:w="2310" w:type="dxa"/>
          </w:tcPr>
          <w:p w14:paraId="0F32BF77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741" w:type="dxa"/>
          </w:tcPr>
          <w:p w14:paraId="28E7E4D1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2" w:type="dxa"/>
          </w:tcPr>
          <w:p w14:paraId="6341DC52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0.363</w:t>
            </w:r>
          </w:p>
        </w:tc>
        <w:tc>
          <w:tcPr>
            <w:tcW w:w="1693" w:type="dxa"/>
          </w:tcPr>
          <w:p w14:paraId="70AE310B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0.547</w:t>
            </w:r>
          </w:p>
        </w:tc>
      </w:tr>
      <w:tr w:rsidR="00F91ED5" w:rsidRPr="00DF0D88" w14:paraId="2DD96852" w14:textId="77777777" w:rsidTr="00282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3CD42A85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city</w:t>
            </w:r>
          </w:p>
        </w:tc>
        <w:tc>
          <w:tcPr>
            <w:tcW w:w="2310" w:type="dxa"/>
          </w:tcPr>
          <w:p w14:paraId="32700C2E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58 (80.56)</w:t>
            </w:r>
          </w:p>
        </w:tc>
        <w:tc>
          <w:tcPr>
            <w:tcW w:w="1741" w:type="dxa"/>
          </w:tcPr>
          <w:p w14:paraId="0F900EB7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62 (76.54</w:t>
            </w: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)</w:t>
            </w:r>
          </w:p>
        </w:tc>
        <w:tc>
          <w:tcPr>
            <w:tcW w:w="1692" w:type="dxa"/>
          </w:tcPr>
          <w:p w14:paraId="24913954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3" w:type="dxa"/>
          </w:tcPr>
          <w:p w14:paraId="725123DA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39325639" w14:textId="77777777" w:rsidTr="00282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0883CAAA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countryside</w:t>
            </w:r>
          </w:p>
        </w:tc>
        <w:tc>
          <w:tcPr>
            <w:tcW w:w="2310" w:type="dxa"/>
          </w:tcPr>
          <w:p w14:paraId="43028A10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14 (19.44)</w:t>
            </w:r>
          </w:p>
        </w:tc>
        <w:tc>
          <w:tcPr>
            <w:tcW w:w="1741" w:type="dxa"/>
          </w:tcPr>
          <w:p w14:paraId="53776B64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19 (23.46</w:t>
            </w: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)</w:t>
            </w:r>
          </w:p>
        </w:tc>
        <w:tc>
          <w:tcPr>
            <w:tcW w:w="1692" w:type="dxa"/>
          </w:tcPr>
          <w:p w14:paraId="275FC487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3" w:type="dxa"/>
          </w:tcPr>
          <w:p w14:paraId="200349C9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256F0106" w14:textId="77777777" w:rsidTr="00282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5B229701" w14:textId="77777777" w:rsidR="00F91ED5" w:rsidRPr="00DF0D88" w:rsidRDefault="00F91ED5" w:rsidP="00282E1C">
            <w:pPr>
              <w:tabs>
                <w:tab w:val="left" w:pos="7261"/>
              </w:tabs>
              <w:jc w:val="left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Nationality</w:t>
            </w:r>
          </w:p>
        </w:tc>
        <w:tc>
          <w:tcPr>
            <w:tcW w:w="2310" w:type="dxa"/>
          </w:tcPr>
          <w:p w14:paraId="5907FA72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741" w:type="dxa"/>
          </w:tcPr>
          <w:p w14:paraId="221FD5A3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2" w:type="dxa"/>
          </w:tcPr>
          <w:p w14:paraId="3A53891C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1.006</w:t>
            </w:r>
          </w:p>
        </w:tc>
        <w:tc>
          <w:tcPr>
            <w:tcW w:w="1693" w:type="dxa"/>
          </w:tcPr>
          <w:p w14:paraId="31BFC82C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0.316</w:t>
            </w:r>
          </w:p>
        </w:tc>
      </w:tr>
      <w:tr w:rsidR="00F91ED5" w:rsidRPr="00DF0D88" w14:paraId="03728ABB" w14:textId="77777777" w:rsidTr="00282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2E871022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Han</w:t>
            </w:r>
          </w:p>
        </w:tc>
        <w:tc>
          <w:tcPr>
            <w:tcW w:w="2310" w:type="dxa"/>
          </w:tcPr>
          <w:p w14:paraId="0E82B0BC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70 (97.22)</w:t>
            </w:r>
          </w:p>
        </w:tc>
        <w:tc>
          <w:tcPr>
            <w:tcW w:w="1741" w:type="dxa"/>
          </w:tcPr>
          <w:p w14:paraId="46C2E19B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76 (93.83</w:t>
            </w: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)</w:t>
            </w:r>
          </w:p>
        </w:tc>
        <w:tc>
          <w:tcPr>
            <w:tcW w:w="1692" w:type="dxa"/>
          </w:tcPr>
          <w:p w14:paraId="3D55D1D3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3" w:type="dxa"/>
          </w:tcPr>
          <w:p w14:paraId="205F4F51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14F57182" w14:textId="77777777" w:rsidTr="00282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5C40D32A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minority</w:t>
            </w:r>
          </w:p>
        </w:tc>
        <w:tc>
          <w:tcPr>
            <w:tcW w:w="2310" w:type="dxa"/>
          </w:tcPr>
          <w:p w14:paraId="3DF1EB0B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2 (2.78)</w:t>
            </w:r>
          </w:p>
        </w:tc>
        <w:tc>
          <w:tcPr>
            <w:tcW w:w="1741" w:type="dxa"/>
          </w:tcPr>
          <w:p w14:paraId="04D2D759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5 (6.17</w:t>
            </w: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)</w:t>
            </w:r>
          </w:p>
        </w:tc>
        <w:tc>
          <w:tcPr>
            <w:tcW w:w="1692" w:type="dxa"/>
          </w:tcPr>
          <w:p w14:paraId="279C1659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3" w:type="dxa"/>
          </w:tcPr>
          <w:p w14:paraId="2A1223D5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153A53A1" w14:textId="77777777" w:rsidTr="00282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27103483" w14:textId="77777777" w:rsidR="00F91ED5" w:rsidRPr="00DF0D88" w:rsidRDefault="00F91ED5" w:rsidP="00282E1C">
            <w:pPr>
              <w:tabs>
                <w:tab w:val="left" w:pos="7261"/>
              </w:tabs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Course of disease (day)</w:t>
            </w:r>
          </w:p>
        </w:tc>
        <w:tc>
          <w:tcPr>
            <w:tcW w:w="2310" w:type="dxa"/>
          </w:tcPr>
          <w:p w14:paraId="33BB467B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741" w:type="dxa"/>
          </w:tcPr>
          <w:p w14:paraId="328B9BB3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2" w:type="dxa"/>
          </w:tcPr>
          <w:p w14:paraId="30E0F2A7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3" w:type="dxa"/>
          </w:tcPr>
          <w:p w14:paraId="40C9B53A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3D9811E9" w14:textId="77777777" w:rsidTr="00282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79A70DFE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≤7</w:t>
            </w:r>
          </w:p>
        </w:tc>
        <w:tc>
          <w:tcPr>
            <w:tcW w:w="2310" w:type="dxa"/>
          </w:tcPr>
          <w:p w14:paraId="18D0C68E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42 (58.33)</w:t>
            </w:r>
          </w:p>
        </w:tc>
        <w:tc>
          <w:tcPr>
            <w:tcW w:w="1741" w:type="dxa"/>
          </w:tcPr>
          <w:p w14:paraId="1C5E040A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1692" w:type="dxa"/>
          </w:tcPr>
          <w:p w14:paraId="5DCDADED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93" w:type="dxa"/>
          </w:tcPr>
          <w:p w14:paraId="36964313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17222CA4" w14:textId="77777777" w:rsidTr="00282E1C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F3E19A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＞</w:t>
            </w: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7</w:t>
            </w:r>
          </w:p>
        </w:tc>
        <w:tc>
          <w:tcPr>
            <w:tcW w:w="2310" w:type="dxa"/>
          </w:tcPr>
          <w:p w14:paraId="60228F22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30 (41.67)</w:t>
            </w:r>
          </w:p>
        </w:tc>
        <w:tc>
          <w:tcPr>
            <w:tcW w:w="0" w:type="auto"/>
          </w:tcPr>
          <w:p w14:paraId="28DA026A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0" w:type="auto"/>
          </w:tcPr>
          <w:p w14:paraId="4E9B6809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0" w:type="auto"/>
          </w:tcPr>
          <w:p w14:paraId="3AF2FEB5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484CD703" w14:textId="77777777" w:rsidTr="00282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173C9D" w14:textId="77777777" w:rsidR="00F91ED5" w:rsidRPr="00DF0D88" w:rsidRDefault="00F91ED5" w:rsidP="00282E1C">
            <w:pPr>
              <w:tabs>
                <w:tab w:val="left" w:pos="7261"/>
              </w:tabs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Pathogen</w:t>
            </w:r>
          </w:p>
        </w:tc>
        <w:tc>
          <w:tcPr>
            <w:tcW w:w="2310" w:type="dxa"/>
          </w:tcPr>
          <w:p w14:paraId="377D0CE1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363F645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0" w:type="auto"/>
          </w:tcPr>
          <w:p w14:paraId="3CEB8970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0" w:type="auto"/>
          </w:tcPr>
          <w:p w14:paraId="33045565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52EDDD17" w14:textId="77777777" w:rsidTr="00282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E16754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Bacterial</w:t>
            </w:r>
          </w:p>
        </w:tc>
        <w:tc>
          <w:tcPr>
            <w:tcW w:w="2310" w:type="dxa"/>
          </w:tcPr>
          <w:p w14:paraId="5045E82B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23 (31.94)</w:t>
            </w:r>
          </w:p>
        </w:tc>
        <w:tc>
          <w:tcPr>
            <w:tcW w:w="0" w:type="auto"/>
          </w:tcPr>
          <w:p w14:paraId="24E88D9E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0" w:type="auto"/>
          </w:tcPr>
          <w:p w14:paraId="088DB1A1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0" w:type="auto"/>
          </w:tcPr>
          <w:p w14:paraId="3EE42F0D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011C821B" w14:textId="77777777" w:rsidTr="00282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478D41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Virus</w:t>
            </w:r>
          </w:p>
        </w:tc>
        <w:tc>
          <w:tcPr>
            <w:tcW w:w="2310" w:type="dxa"/>
          </w:tcPr>
          <w:p w14:paraId="7602BE8B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42 (58.33)</w:t>
            </w:r>
          </w:p>
        </w:tc>
        <w:tc>
          <w:tcPr>
            <w:tcW w:w="0" w:type="auto"/>
          </w:tcPr>
          <w:p w14:paraId="6254C2B8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0" w:type="auto"/>
          </w:tcPr>
          <w:p w14:paraId="68BF0028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0" w:type="auto"/>
          </w:tcPr>
          <w:p w14:paraId="0275ED48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31368E74" w14:textId="77777777" w:rsidTr="00282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B7F9F6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Mycoplasma pneumoniae</w:t>
            </w:r>
          </w:p>
        </w:tc>
        <w:tc>
          <w:tcPr>
            <w:tcW w:w="2310" w:type="dxa"/>
          </w:tcPr>
          <w:p w14:paraId="55FD2D06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7 (9.72)</w:t>
            </w:r>
          </w:p>
        </w:tc>
        <w:tc>
          <w:tcPr>
            <w:tcW w:w="0" w:type="auto"/>
          </w:tcPr>
          <w:p w14:paraId="6CB52408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0" w:type="auto"/>
          </w:tcPr>
          <w:p w14:paraId="7C343379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0" w:type="auto"/>
          </w:tcPr>
          <w:p w14:paraId="79A7B0CD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631E9DFC" w14:textId="77777777" w:rsidTr="00282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03B3DD" w14:textId="77777777" w:rsidR="00F91ED5" w:rsidRPr="00DF0D88" w:rsidRDefault="00F91ED5" w:rsidP="00282E1C">
            <w:pPr>
              <w:tabs>
                <w:tab w:val="left" w:pos="7261"/>
              </w:tabs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X-ray classification</w:t>
            </w:r>
          </w:p>
        </w:tc>
        <w:tc>
          <w:tcPr>
            <w:tcW w:w="2310" w:type="dxa"/>
          </w:tcPr>
          <w:p w14:paraId="4A17CFD8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E8D71E8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0" w:type="auto"/>
          </w:tcPr>
          <w:p w14:paraId="63577BFD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0" w:type="auto"/>
          </w:tcPr>
          <w:p w14:paraId="2E3C8748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43160317" w14:textId="77777777" w:rsidTr="00282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9FBBAB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Type I</w:t>
            </w:r>
          </w:p>
        </w:tc>
        <w:tc>
          <w:tcPr>
            <w:tcW w:w="2310" w:type="dxa"/>
          </w:tcPr>
          <w:p w14:paraId="12EF50E9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15 (20.83)</w:t>
            </w:r>
          </w:p>
        </w:tc>
        <w:tc>
          <w:tcPr>
            <w:tcW w:w="0" w:type="auto"/>
          </w:tcPr>
          <w:p w14:paraId="01FFC08F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0" w:type="auto"/>
          </w:tcPr>
          <w:p w14:paraId="4B8ACD1E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0" w:type="auto"/>
          </w:tcPr>
          <w:p w14:paraId="26EBE752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00098E0F" w14:textId="77777777" w:rsidTr="00282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815C14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Type II</w:t>
            </w:r>
          </w:p>
        </w:tc>
        <w:tc>
          <w:tcPr>
            <w:tcW w:w="2310" w:type="dxa"/>
          </w:tcPr>
          <w:p w14:paraId="03B63320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26 (36.11)</w:t>
            </w:r>
          </w:p>
        </w:tc>
        <w:tc>
          <w:tcPr>
            <w:tcW w:w="0" w:type="auto"/>
          </w:tcPr>
          <w:p w14:paraId="7FD40D84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0" w:type="auto"/>
          </w:tcPr>
          <w:p w14:paraId="05177851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0" w:type="auto"/>
          </w:tcPr>
          <w:p w14:paraId="706F7C89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2377DDB7" w14:textId="77777777" w:rsidTr="00282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9B7359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Type III</w:t>
            </w:r>
          </w:p>
        </w:tc>
        <w:tc>
          <w:tcPr>
            <w:tcW w:w="2310" w:type="dxa"/>
          </w:tcPr>
          <w:p w14:paraId="2BA4E305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22 (30.56)</w:t>
            </w:r>
          </w:p>
        </w:tc>
        <w:tc>
          <w:tcPr>
            <w:tcW w:w="0" w:type="auto"/>
          </w:tcPr>
          <w:p w14:paraId="6FA5F519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0" w:type="auto"/>
          </w:tcPr>
          <w:p w14:paraId="4CB8B63E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0" w:type="auto"/>
          </w:tcPr>
          <w:p w14:paraId="65345398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4B49AE59" w14:textId="77777777" w:rsidTr="00282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8173BF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Type IV</w:t>
            </w:r>
          </w:p>
        </w:tc>
        <w:tc>
          <w:tcPr>
            <w:tcW w:w="2310" w:type="dxa"/>
          </w:tcPr>
          <w:p w14:paraId="29423E0E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9 (12.50)</w:t>
            </w:r>
          </w:p>
        </w:tc>
        <w:tc>
          <w:tcPr>
            <w:tcW w:w="0" w:type="auto"/>
          </w:tcPr>
          <w:p w14:paraId="6D53667D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0" w:type="auto"/>
          </w:tcPr>
          <w:p w14:paraId="338FCD96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0" w:type="auto"/>
          </w:tcPr>
          <w:p w14:paraId="2ECEB6DB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53659B72" w14:textId="77777777" w:rsidTr="00282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B26E69" w14:textId="77777777" w:rsidR="00F91ED5" w:rsidRPr="00DF0D88" w:rsidRDefault="00F91ED5" w:rsidP="00282E1C">
            <w:pPr>
              <w:tabs>
                <w:tab w:val="left" w:pos="7261"/>
              </w:tabs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Complications</w:t>
            </w:r>
          </w:p>
        </w:tc>
        <w:tc>
          <w:tcPr>
            <w:tcW w:w="2310" w:type="dxa"/>
          </w:tcPr>
          <w:p w14:paraId="2C42A96F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46AC166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0" w:type="auto"/>
          </w:tcPr>
          <w:p w14:paraId="5E8A10C3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0" w:type="auto"/>
          </w:tcPr>
          <w:p w14:paraId="71B1F735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24DB2D18" w14:textId="77777777" w:rsidTr="00282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095388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Yes</w:t>
            </w:r>
          </w:p>
        </w:tc>
        <w:tc>
          <w:tcPr>
            <w:tcW w:w="2310" w:type="dxa"/>
          </w:tcPr>
          <w:p w14:paraId="0CD6708F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22 (30.56)</w:t>
            </w:r>
          </w:p>
        </w:tc>
        <w:tc>
          <w:tcPr>
            <w:tcW w:w="0" w:type="auto"/>
          </w:tcPr>
          <w:p w14:paraId="19A8E403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0" w:type="auto"/>
          </w:tcPr>
          <w:p w14:paraId="7F3FF431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0" w:type="auto"/>
          </w:tcPr>
          <w:p w14:paraId="53880957" w14:textId="77777777" w:rsidR="00F91ED5" w:rsidRPr="00DF0D88" w:rsidRDefault="00F91ED5" w:rsidP="00282E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1ED5" w:rsidRPr="00DF0D88" w14:paraId="005724F5" w14:textId="77777777" w:rsidTr="00282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5DA712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No</w:t>
            </w:r>
          </w:p>
        </w:tc>
        <w:tc>
          <w:tcPr>
            <w:tcW w:w="2310" w:type="dxa"/>
          </w:tcPr>
          <w:p w14:paraId="2EDF1D9B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</w:pPr>
            <w:r w:rsidRPr="00DF0D88">
              <w:rPr>
                <w:rFonts w:ascii="Times New Roman" w:eastAsia="Microsoft YaHei" w:hAnsi="Times New Roman" w:cs="Times New Roman"/>
                <w:sz w:val="24"/>
                <w:shd w:val="clear" w:color="auto" w:fill="FFFFFF"/>
              </w:rPr>
              <w:t>50 (69.44)</w:t>
            </w:r>
          </w:p>
        </w:tc>
        <w:tc>
          <w:tcPr>
            <w:tcW w:w="0" w:type="auto"/>
          </w:tcPr>
          <w:p w14:paraId="407F8266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DF0D88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0" w:type="auto"/>
          </w:tcPr>
          <w:p w14:paraId="76BA5AA5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0" w:type="auto"/>
          </w:tcPr>
          <w:p w14:paraId="663452BE" w14:textId="77777777" w:rsidR="00F91ED5" w:rsidRPr="00DF0D88" w:rsidRDefault="00F91ED5" w:rsidP="00282E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2A318DFE" w14:textId="77777777" w:rsidR="00F91ED5" w:rsidRPr="00DF0D88" w:rsidRDefault="00F91ED5" w:rsidP="00F91ED5">
      <w:pPr>
        <w:keepNext/>
        <w:widowControl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BR"/>
        </w:rPr>
      </w:pPr>
      <w:r w:rsidRPr="00DF0D88">
        <w:rPr>
          <w:rFonts w:ascii="Calibri" w:eastAsia="Times New Roman" w:hAnsi="Calibri" w:cs="Calibri"/>
          <w:kern w:val="0"/>
          <w:lang w:eastAsia="pt-BR"/>
        </w:rPr>
        <w:t> </w:t>
      </w:r>
    </w:p>
    <w:p w14:paraId="4A210B96" w14:textId="77777777" w:rsidR="00F91ED5" w:rsidRPr="00DF0D88" w:rsidRDefault="00F91ED5" w:rsidP="00F91ED5">
      <w:pPr>
        <w:keepNext/>
        <w:widowControl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lang w:eastAsia="pt-BR"/>
        </w:rPr>
        <w:sectPr w:rsidR="00F91ED5" w:rsidRPr="00DF0D88" w:rsidSect="00414F8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851" w:footer="992" w:gutter="0"/>
          <w:cols w:space="425"/>
          <w:docGrid w:type="lines" w:linePitch="312"/>
        </w:sectPr>
      </w:pPr>
    </w:p>
    <w:p w14:paraId="70C65833" w14:textId="77777777" w:rsidR="00F91ED5" w:rsidRPr="00F91ED5" w:rsidRDefault="00F91ED5" w:rsidP="00F91ED5">
      <w:pPr>
        <w:tabs>
          <w:tab w:val="left" w:pos="7261"/>
        </w:tabs>
        <w:spacing w:after="240" w:line="360" w:lineRule="auto"/>
        <w:rPr>
          <w:rFonts w:ascii="Times New Roman" w:hAnsi="Times New Roman" w:cs="Times New Roman"/>
          <w:sz w:val="24"/>
          <w:shd w:val="clear" w:color="auto" w:fill="FFFFFF"/>
        </w:rPr>
      </w:pPr>
      <w:r w:rsidRPr="00DF0D88">
        <w:rPr>
          <w:rFonts w:ascii="Times New Roman" w:hAnsi="Times New Roman" w:cs="Times New Roman"/>
          <w:b/>
          <w:bCs/>
          <w:sz w:val="24"/>
        </w:rPr>
        <w:lastRenderedPageBreak/>
        <w:t>Supplemental material 2</w:t>
      </w:r>
      <w:r w:rsidRPr="00DF0D88">
        <w:rPr>
          <w:rFonts w:ascii="Times New Roman" w:hAnsi="Times New Roman" w:cs="Times New Roman"/>
          <w:b/>
          <w:bCs/>
          <w:sz w:val="24"/>
          <w:shd w:val="clear" w:color="auto" w:fill="FFFFFF"/>
        </w:rPr>
        <w:t xml:space="preserve">. </w:t>
      </w:r>
      <w:r w:rsidRPr="00F91ED5">
        <w:rPr>
          <w:rFonts w:ascii="Times New Roman" w:hAnsi="Times New Roman" w:cs="Times New Roman"/>
          <w:sz w:val="24"/>
          <w:shd w:val="clear" w:color="auto" w:fill="FFFFFF"/>
        </w:rPr>
        <w:t>Correlation of GP73 and G-CSF with the pathology of pediatric BP.</w:t>
      </w: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1798"/>
        <w:gridCol w:w="1579"/>
        <w:gridCol w:w="1798"/>
        <w:gridCol w:w="1650"/>
        <w:gridCol w:w="2055"/>
        <w:gridCol w:w="1650"/>
      </w:tblGrid>
      <w:tr w:rsidR="00F91ED5" w:rsidRPr="00DF0D88" w14:paraId="5B13D32D" w14:textId="77777777" w:rsidTr="00282E1C">
        <w:trPr>
          <w:trHeight w:val="292"/>
        </w:trPr>
        <w:tc>
          <w:tcPr>
            <w:tcW w:w="17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4328D26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57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25D9E95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n</w:t>
            </w:r>
          </w:p>
        </w:tc>
        <w:tc>
          <w:tcPr>
            <w:tcW w:w="17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C99814F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GP73(ng/mL)</w:t>
            </w:r>
          </w:p>
        </w:tc>
        <w:tc>
          <w:tcPr>
            <w:tcW w:w="16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802A2F8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t or F/</w:t>
            </w:r>
            <w:r w:rsidRPr="00DF0D88">
              <w:rPr>
                <w:rFonts w:eastAsia="Microsoft YaHei"/>
                <w:i/>
                <w:iCs/>
                <w:sz w:val="24"/>
                <w:shd w:val="clear" w:color="auto" w:fill="FFFFFF"/>
              </w:rPr>
              <w:t>P</w:t>
            </w:r>
          </w:p>
        </w:tc>
        <w:tc>
          <w:tcPr>
            <w:tcW w:w="20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832D3E5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G-CSF (pg/mL)</w:t>
            </w:r>
          </w:p>
        </w:tc>
        <w:tc>
          <w:tcPr>
            <w:tcW w:w="16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0F7BCD4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t or F/</w:t>
            </w:r>
            <w:r w:rsidRPr="00DF0D88">
              <w:rPr>
                <w:rFonts w:eastAsia="Microsoft YaHei"/>
                <w:i/>
                <w:iCs/>
                <w:sz w:val="24"/>
                <w:shd w:val="clear" w:color="auto" w:fill="FFFFFF"/>
              </w:rPr>
              <w:t>P</w:t>
            </w:r>
          </w:p>
        </w:tc>
      </w:tr>
      <w:tr w:rsidR="00F91ED5" w:rsidRPr="00DF0D88" w14:paraId="3F78FC90" w14:textId="77777777" w:rsidTr="00282E1C">
        <w:trPr>
          <w:trHeight w:val="292"/>
        </w:trPr>
        <w:tc>
          <w:tcPr>
            <w:tcW w:w="179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2994E19" w14:textId="77777777" w:rsidR="00F91ED5" w:rsidRPr="00DF0D88" w:rsidRDefault="00F91ED5" w:rsidP="00282E1C">
            <w:pPr>
              <w:tabs>
                <w:tab w:val="left" w:pos="7261"/>
              </w:tabs>
              <w:rPr>
                <w:rFonts w:eastAsia="Microsoft YaHei"/>
                <w:b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b/>
                <w:sz w:val="24"/>
                <w:shd w:val="clear" w:color="auto" w:fill="FFFFFF"/>
              </w:rPr>
              <w:t>Age</w:t>
            </w:r>
          </w:p>
        </w:tc>
        <w:tc>
          <w:tcPr>
            <w:tcW w:w="157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E55EC5F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79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159E9CD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16B4FE4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0.294/0.770</w:t>
            </w:r>
          </w:p>
        </w:tc>
        <w:tc>
          <w:tcPr>
            <w:tcW w:w="205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CE49F64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9C396B1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0.003/0.997</w:t>
            </w:r>
          </w:p>
        </w:tc>
      </w:tr>
      <w:tr w:rsidR="00F91ED5" w:rsidRPr="00DF0D88" w14:paraId="3C43C124" w14:textId="77777777" w:rsidTr="00282E1C">
        <w:trPr>
          <w:trHeight w:val="292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DE83F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≤2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37AC0" w14:textId="77777777" w:rsidR="00F91ED5" w:rsidRPr="00DF0D88" w:rsidRDefault="00F91ED5" w:rsidP="00282E1C">
            <w:pPr>
              <w:tabs>
                <w:tab w:val="center" w:pos="803"/>
                <w:tab w:val="right" w:pos="1487"/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47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E4A1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74.14±10.15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7B5E6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A2859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114.87±24.91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AB878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</w:tr>
      <w:tr w:rsidR="00F91ED5" w:rsidRPr="00DF0D88" w14:paraId="3B300962" w14:textId="77777777" w:rsidTr="00282E1C">
        <w:trPr>
          <w:trHeight w:val="292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54AFD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&gt;2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A7544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25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1BC18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73.42±9.36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9D171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4A51B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114.89±21.66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EDA77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</w:tr>
      <w:tr w:rsidR="00F91ED5" w:rsidRPr="00DF0D88" w14:paraId="205871AA" w14:textId="77777777" w:rsidTr="00282E1C">
        <w:trPr>
          <w:trHeight w:val="58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4BBB6" w14:textId="77777777" w:rsidR="00F91ED5" w:rsidRPr="00DF0D88" w:rsidRDefault="00F91ED5" w:rsidP="00282E1C">
            <w:pPr>
              <w:tabs>
                <w:tab w:val="left" w:pos="7261"/>
              </w:tabs>
              <w:jc w:val="left"/>
              <w:rPr>
                <w:rFonts w:eastAsia="Microsoft YaHei"/>
                <w:b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b/>
                <w:sz w:val="24"/>
                <w:shd w:val="clear" w:color="auto" w:fill="FFFFFF"/>
              </w:rPr>
              <w:t>Family history of illness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1F70E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FA7EF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A391F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0.578/0.565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DFDB5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AB903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0.562/0.576</w:t>
            </w:r>
          </w:p>
        </w:tc>
      </w:tr>
      <w:tr w:rsidR="00F91ED5" w:rsidRPr="00DF0D88" w14:paraId="25F678F2" w14:textId="77777777" w:rsidTr="00282E1C">
        <w:trPr>
          <w:trHeight w:val="292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D3938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Yes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91337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20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2FC92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72.76±10.08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53D6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D410A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116.03±23.76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4DFB2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</w:tr>
      <w:tr w:rsidR="00F91ED5" w:rsidRPr="00DF0D88" w14:paraId="288FFBFC" w14:textId="77777777" w:rsidTr="00282E1C">
        <w:trPr>
          <w:trHeight w:val="28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AA81D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No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05653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52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C764F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74.29±9.80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38B78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A3B1B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112.44±23.83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A63B6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</w:tr>
      <w:tr w:rsidR="00F91ED5" w:rsidRPr="00DF0D88" w14:paraId="3C92E814" w14:textId="77777777" w:rsidTr="00282E1C">
        <w:trPr>
          <w:trHeight w:val="58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2B53C" w14:textId="77777777" w:rsidR="00F91ED5" w:rsidRPr="00DF0D88" w:rsidRDefault="00F91ED5" w:rsidP="00282E1C">
            <w:pPr>
              <w:tabs>
                <w:tab w:val="left" w:pos="7261"/>
              </w:tabs>
              <w:jc w:val="left"/>
              <w:rPr>
                <w:rFonts w:eastAsia="Microsoft YaHei"/>
                <w:b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b/>
                <w:sz w:val="24"/>
                <w:shd w:val="clear" w:color="auto" w:fill="FFFFFF"/>
              </w:rPr>
              <w:t>Course of disease(day)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F8B99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B4D63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C2E1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1.319/0.192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50B94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9FE70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2.905/0.005</w:t>
            </w:r>
          </w:p>
        </w:tc>
      </w:tr>
      <w:tr w:rsidR="00F91ED5" w:rsidRPr="00DF0D88" w14:paraId="4E81B34F" w14:textId="77777777" w:rsidTr="00282E1C">
        <w:trPr>
          <w:trHeight w:val="292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E157D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≤7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B4E86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42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05D19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72.61±9.60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04993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3366F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108.34±22.29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C3CB4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</w:tr>
      <w:tr w:rsidR="00F91ED5" w:rsidRPr="00DF0D88" w14:paraId="6AB339CA" w14:textId="77777777" w:rsidTr="00282E1C">
        <w:trPr>
          <w:trHeight w:val="433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8C985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＞</w:t>
            </w:r>
            <w:r w:rsidRPr="00DF0D88">
              <w:rPr>
                <w:rFonts w:eastAsia="Microsoft YaHei"/>
                <w:sz w:val="24"/>
                <w:shd w:val="clear" w:color="auto" w:fill="FFFFFF"/>
              </w:rPr>
              <w:t>7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7DBC5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30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6CFFD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75.69±10.01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5D1F5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494EC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124.04±22.83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1F150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</w:tr>
      <w:tr w:rsidR="00F91ED5" w:rsidRPr="00DF0D88" w14:paraId="53ED2735" w14:textId="77777777" w:rsidTr="00282E1C">
        <w:trPr>
          <w:trHeight w:val="292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CEF45" w14:textId="77777777" w:rsidR="00F91ED5" w:rsidRPr="00DF0D88" w:rsidRDefault="00F91ED5" w:rsidP="00282E1C">
            <w:pPr>
              <w:tabs>
                <w:tab w:val="left" w:pos="7261"/>
              </w:tabs>
              <w:rPr>
                <w:rFonts w:eastAsia="Microsoft YaHei"/>
                <w:b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b/>
                <w:sz w:val="24"/>
                <w:shd w:val="clear" w:color="auto" w:fill="FFFFFF"/>
              </w:rPr>
              <w:t>Pathogen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411B2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7953A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4E1C8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0.347/1.074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6B568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A4B72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0.796/0.229</w:t>
            </w:r>
          </w:p>
        </w:tc>
      </w:tr>
      <w:tr w:rsidR="00F91ED5" w:rsidRPr="00DF0D88" w14:paraId="676988F7" w14:textId="77777777" w:rsidTr="00282E1C">
        <w:trPr>
          <w:trHeight w:val="292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61171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Bacterial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7F930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23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F77CF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74.12±9.97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42415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8F1FA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114.05±23.96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7CE13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</w:tr>
      <w:tr w:rsidR="00F91ED5" w:rsidRPr="00DF0D88" w14:paraId="068CC7DC" w14:textId="77777777" w:rsidTr="00282E1C">
        <w:trPr>
          <w:trHeight w:val="292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8524E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Virus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A6DB9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42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047EB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77.02±9.84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3E9FF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4BD92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116.17±24.55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94D06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</w:tr>
      <w:tr w:rsidR="00F91ED5" w:rsidRPr="00DF0D88" w14:paraId="2E33A498" w14:textId="77777777" w:rsidTr="00282E1C">
        <w:trPr>
          <w:trHeight w:val="58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BECE1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Mycoplasma pneumoniae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B6927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7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DC8D9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72.52±9.72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EF1D7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0AA1C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109.86±19.15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AC850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</w:tr>
      <w:tr w:rsidR="00F91ED5" w:rsidRPr="00DF0D88" w14:paraId="7015742F" w14:textId="77777777" w:rsidTr="00282E1C">
        <w:trPr>
          <w:trHeight w:val="58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E14B1" w14:textId="77777777" w:rsidR="00F91ED5" w:rsidRPr="00DF0D88" w:rsidRDefault="00F91ED5" w:rsidP="00282E1C">
            <w:pPr>
              <w:tabs>
                <w:tab w:val="left" w:pos="7261"/>
              </w:tabs>
              <w:rPr>
                <w:rFonts w:eastAsia="Microsoft YaHei"/>
                <w:b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b/>
                <w:sz w:val="24"/>
                <w:shd w:val="clear" w:color="auto" w:fill="FFFFFF"/>
              </w:rPr>
              <w:t>X-ray classification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C89FD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697E3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DA560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81.100/&lt;0.001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E1969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19A33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12.770/&lt;0.001</w:t>
            </w:r>
          </w:p>
        </w:tc>
      </w:tr>
      <w:tr w:rsidR="00F91ED5" w:rsidRPr="00DF0D88" w14:paraId="73F61F21" w14:textId="77777777" w:rsidTr="00282E1C">
        <w:trPr>
          <w:trHeight w:val="292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7313B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Type I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8452D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15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2B7A6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63.44±4.44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C4628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C20E9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94.80±25.94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73CD9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</w:tr>
      <w:tr w:rsidR="00F91ED5" w:rsidRPr="00DF0D88" w14:paraId="15775BC4" w14:textId="77777777" w:rsidTr="00282E1C">
        <w:trPr>
          <w:trHeight w:val="292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52E13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Type II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556C1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26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E31BC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69.63±3.70</w:t>
            </w:r>
            <w:r w:rsidRPr="00DF0D88">
              <w:rPr>
                <w:rFonts w:eastAsia="Microsoft YaHei"/>
                <w:sz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6CA72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14664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115.69±16.31</w:t>
            </w:r>
            <w:r w:rsidRPr="00DF0D88">
              <w:rPr>
                <w:rFonts w:eastAsia="Microsoft YaHei"/>
                <w:sz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62F0A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</w:tr>
      <w:tr w:rsidR="00F91ED5" w:rsidRPr="00DF0D88" w14:paraId="320DC87B" w14:textId="77777777" w:rsidTr="00282E1C">
        <w:trPr>
          <w:trHeight w:val="28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82C79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Type III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ECF43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22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204BF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79.01±5.05</w:t>
            </w:r>
            <w:r w:rsidRPr="00DF0D88">
              <w:rPr>
                <w:rFonts w:eastAsia="Microsoft YaHei"/>
                <w:sz w:val="24"/>
                <w:shd w:val="clear" w:color="auto" w:fill="FFFFFF"/>
                <w:vertAlign w:val="superscript"/>
              </w:rPr>
              <w:t>*#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CF133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DF4E3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115.21±19.82</w:t>
            </w:r>
            <w:r w:rsidRPr="00DF0D88">
              <w:rPr>
                <w:rFonts w:eastAsia="Microsoft YaHei"/>
                <w:sz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88D9E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</w:tr>
      <w:tr w:rsidR="00F91ED5" w:rsidRPr="00DF0D88" w14:paraId="57A012F3" w14:textId="77777777" w:rsidTr="00282E1C">
        <w:trPr>
          <w:trHeight w:val="292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0E79B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Type IV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205BE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9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31B19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91.10±6.54</w:t>
            </w:r>
            <w:r w:rsidRPr="00DF0D88">
              <w:rPr>
                <w:rFonts w:eastAsia="Microsoft YaHei"/>
                <w:sz w:val="24"/>
                <w:shd w:val="clear" w:color="auto" w:fill="FFFFFF"/>
                <w:vertAlign w:val="superscript"/>
              </w:rPr>
              <w:t>*#@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35617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A7930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145.19±11.90</w:t>
            </w:r>
            <w:r w:rsidRPr="00DF0D88">
              <w:rPr>
                <w:rFonts w:eastAsia="Microsoft YaHei"/>
                <w:sz w:val="24"/>
                <w:shd w:val="clear" w:color="auto" w:fill="FFFFFF"/>
                <w:vertAlign w:val="superscript"/>
              </w:rPr>
              <w:t>*#@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7EF32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</w:tr>
      <w:tr w:rsidR="00F91ED5" w:rsidRPr="00DF0D88" w14:paraId="02312F2D" w14:textId="77777777" w:rsidTr="00282E1C">
        <w:trPr>
          <w:trHeight w:val="292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3E08D" w14:textId="77777777" w:rsidR="00F91ED5" w:rsidRPr="00DF0D88" w:rsidRDefault="00F91ED5" w:rsidP="00282E1C">
            <w:pPr>
              <w:tabs>
                <w:tab w:val="left" w:pos="7261"/>
              </w:tabs>
              <w:rPr>
                <w:rFonts w:eastAsia="Microsoft YaHei"/>
                <w:b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b/>
                <w:sz w:val="24"/>
                <w:shd w:val="clear" w:color="auto" w:fill="FFFFFF"/>
              </w:rPr>
              <w:t>Complications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A46C2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94989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6C411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6.477/&lt;0.001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C9BF6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819C4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3.461/0.009</w:t>
            </w:r>
          </w:p>
        </w:tc>
      </w:tr>
      <w:tr w:rsidR="00F91ED5" w:rsidRPr="00DF0D88" w14:paraId="1ECBAD5E" w14:textId="77777777" w:rsidTr="00282E1C">
        <w:trPr>
          <w:trHeight w:val="292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B82F4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Yes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B878F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22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C5D47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82.89±8.14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34F06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B781E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129.09±24.97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BCFB3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</w:tr>
      <w:tr w:rsidR="00F91ED5" w:rsidRPr="00DF0D88" w14:paraId="16C03057" w14:textId="77777777" w:rsidTr="00282E1C">
        <w:trPr>
          <w:trHeight w:val="292"/>
        </w:trPr>
        <w:tc>
          <w:tcPr>
            <w:tcW w:w="179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6C6B07D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No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F6D6DE0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41CE245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69.93±7.68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3215E3D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22916AB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  <w:r w:rsidRPr="00DF0D88">
              <w:rPr>
                <w:rFonts w:eastAsia="Microsoft YaHei"/>
                <w:sz w:val="24"/>
                <w:shd w:val="clear" w:color="auto" w:fill="FFFFFF"/>
              </w:rPr>
              <w:t>109.41±20.94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D573CB0" w14:textId="77777777" w:rsidR="00F91ED5" w:rsidRPr="00DF0D88" w:rsidRDefault="00F91ED5" w:rsidP="00282E1C">
            <w:pPr>
              <w:tabs>
                <w:tab w:val="left" w:pos="7261"/>
              </w:tabs>
              <w:jc w:val="center"/>
              <w:rPr>
                <w:rFonts w:eastAsia="Microsoft YaHei"/>
                <w:sz w:val="24"/>
                <w:shd w:val="clear" w:color="auto" w:fill="FFFFFF"/>
              </w:rPr>
            </w:pPr>
          </w:p>
        </w:tc>
      </w:tr>
    </w:tbl>
    <w:p w14:paraId="660B4282" w14:textId="77777777" w:rsidR="00F91ED5" w:rsidRPr="00DF0D88" w:rsidRDefault="00F91ED5" w:rsidP="00F91ED5">
      <w:pPr>
        <w:rPr>
          <w:rFonts w:ascii="Times New Roman" w:hAnsi="Times New Roman" w:cs="Times New Roman"/>
          <w:sz w:val="24"/>
          <w:shd w:val="clear" w:color="auto" w:fill="FFFFFF"/>
        </w:rPr>
      </w:pPr>
    </w:p>
    <w:p w14:paraId="59036B50" w14:textId="3256038E" w:rsidR="00F91ED5" w:rsidRPr="00DF0D88" w:rsidRDefault="00F91ED5" w:rsidP="00F91ED5">
      <w:pPr>
        <w:rPr>
          <w:rFonts w:ascii="Times New Roman" w:hAnsi="Times New Roman" w:cs="Times New Roman"/>
          <w:sz w:val="24"/>
          <w:shd w:val="clear" w:color="auto" w:fill="FFFFFF"/>
        </w:rPr>
      </w:pPr>
      <w:r w:rsidRPr="00DF0D88">
        <w:rPr>
          <w:rFonts w:ascii="Times New Roman" w:hAnsi="Times New Roman" w:cs="Times New Roman"/>
          <w:sz w:val="24"/>
          <w:shd w:val="clear" w:color="auto" w:fill="FFFFFF"/>
        </w:rPr>
        <w:t xml:space="preserve">Note: * </w:t>
      </w:r>
      <w:r w:rsidRPr="00DF0D88">
        <w:rPr>
          <w:rFonts w:ascii="Times New Roman" w:hAnsi="Times New Roman" w:cs="Times New Roman"/>
          <w:i/>
          <w:iCs/>
          <w:sz w:val="24"/>
          <w:shd w:val="clear" w:color="auto" w:fill="FFFFFF"/>
        </w:rPr>
        <w:t>vs.</w:t>
      </w:r>
      <w:r w:rsidRPr="00DF0D88">
        <w:rPr>
          <w:rFonts w:ascii="Times New Roman" w:hAnsi="Times New Roman" w:cs="Times New Roman"/>
          <w:sz w:val="24"/>
          <w:shd w:val="clear" w:color="auto" w:fill="FFFFFF"/>
        </w:rPr>
        <w:t xml:space="preserve"> Type </w:t>
      </w:r>
      <w:r w:rsidRPr="00DF0D88">
        <w:rPr>
          <w:rFonts w:ascii="Times New Roman" w:hAnsi="Times New Roman" w:cs="Times New Roman"/>
          <w:sz w:val="24"/>
        </w:rPr>
        <w:t>Ⅰ</w:t>
      </w:r>
      <w:r w:rsidRPr="00DF0D88">
        <w:rPr>
          <w:rFonts w:ascii="Times New Roman" w:hAnsi="Times New Roman" w:cs="Times New Roman"/>
          <w:sz w:val="24"/>
          <w:shd w:val="clear" w:color="auto" w:fill="FFFFFF"/>
        </w:rPr>
        <w:t xml:space="preserve">, # </w:t>
      </w:r>
      <w:r w:rsidRPr="00DF0D88">
        <w:rPr>
          <w:rFonts w:ascii="Times New Roman" w:hAnsi="Times New Roman" w:cs="Times New Roman"/>
          <w:i/>
          <w:iCs/>
          <w:sz w:val="24"/>
          <w:shd w:val="clear" w:color="auto" w:fill="FFFFFF"/>
        </w:rPr>
        <w:t>vs.</w:t>
      </w:r>
      <w:r w:rsidRPr="00DF0D88">
        <w:rPr>
          <w:rFonts w:ascii="Times New Roman" w:hAnsi="Times New Roman" w:cs="Times New Roman"/>
          <w:sz w:val="24"/>
          <w:shd w:val="clear" w:color="auto" w:fill="FFFFFF"/>
        </w:rPr>
        <w:t xml:space="preserve"> Type </w:t>
      </w:r>
      <w:r w:rsidRPr="00DF0D88">
        <w:rPr>
          <w:rFonts w:ascii="Times New Roman" w:hAnsi="Times New Roman" w:cs="Times New Roman"/>
          <w:sz w:val="24"/>
        </w:rPr>
        <w:t>Ⅱ</w:t>
      </w:r>
      <w:r w:rsidRPr="00DF0D88">
        <w:rPr>
          <w:rFonts w:ascii="Times New Roman" w:hAnsi="Times New Roman" w:cs="Times New Roman"/>
          <w:sz w:val="24"/>
          <w:shd w:val="clear" w:color="auto" w:fill="FFFFFF"/>
        </w:rPr>
        <w:t xml:space="preserve">, @ </w:t>
      </w:r>
      <w:r w:rsidRPr="00DF0D88">
        <w:rPr>
          <w:rFonts w:ascii="Times New Roman" w:hAnsi="Times New Roman" w:cs="Times New Roman"/>
          <w:i/>
          <w:iCs/>
          <w:sz w:val="24"/>
          <w:shd w:val="clear" w:color="auto" w:fill="FFFFFF"/>
        </w:rPr>
        <w:t>vs.</w:t>
      </w:r>
      <w:r w:rsidRPr="00DF0D88">
        <w:rPr>
          <w:rFonts w:ascii="Times New Roman" w:hAnsi="Times New Roman" w:cs="Times New Roman"/>
          <w:sz w:val="24"/>
          <w:shd w:val="clear" w:color="auto" w:fill="FFFFFF"/>
        </w:rPr>
        <w:t xml:space="preserve"> Type </w:t>
      </w:r>
      <w:r w:rsidRPr="00DF0D88">
        <w:rPr>
          <w:rFonts w:ascii="Times New Roman" w:hAnsi="Times New Roman" w:cs="Times New Roman"/>
          <w:sz w:val="24"/>
        </w:rPr>
        <w:t xml:space="preserve">Ⅲ, </w:t>
      </w:r>
      <w:r>
        <w:rPr>
          <w:rFonts w:ascii="Times New Roman" w:hAnsi="Times New Roman" w:cs="Times New Roman"/>
          <w:i/>
          <w:iCs/>
          <w:sz w:val="24"/>
        </w:rPr>
        <w:t>p</w:t>
      </w:r>
      <w:r w:rsidRPr="00DF0D88">
        <w:rPr>
          <w:rFonts w:ascii="Times New Roman" w:hAnsi="Times New Roman" w:cs="Times New Roman"/>
          <w:i/>
          <w:iCs/>
          <w:sz w:val="24"/>
        </w:rPr>
        <w:t xml:space="preserve"> &lt; </w:t>
      </w:r>
      <w:r w:rsidRPr="00DF0D88">
        <w:rPr>
          <w:rFonts w:ascii="Times New Roman" w:hAnsi="Times New Roman" w:cs="Times New Roman"/>
          <w:sz w:val="24"/>
        </w:rPr>
        <w:t>0.05</w:t>
      </w:r>
      <w:r w:rsidRPr="00DF0D88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</w:p>
    <w:p w14:paraId="7338C017" w14:textId="77777777" w:rsidR="00F91ED5" w:rsidRPr="00DF0D88" w:rsidRDefault="00F91ED5" w:rsidP="00F91ED5">
      <w:pPr>
        <w:keepNext/>
        <w:widowControl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BR"/>
        </w:rPr>
      </w:pPr>
      <w:r w:rsidRPr="00DF0D88">
        <w:rPr>
          <w:rFonts w:ascii="Times New Roman" w:eastAsia="Times New Roman" w:hAnsi="Times New Roman" w:cs="Times New Roman"/>
          <w:kern w:val="0"/>
          <w:sz w:val="24"/>
          <w:lang w:eastAsia="pt-BR"/>
        </w:rPr>
        <w:t> </w:t>
      </w:r>
    </w:p>
    <w:p w14:paraId="632E1F00" w14:textId="77777777" w:rsidR="00F91ED5" w:rsidRPr="00DF0D88" w:rsidRDefault="00F91ED5" w:rsidP="00F91ED5">
      <w:pPr>
        <w:keepNext/>
        <w:widowControl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BR"/>
        </w:rPr>
      </w:pPr>
      <w:r w:rsidRPr="00DF0D88">
        <w:rPr>
          <w:rFonts w:ascii="Calibri" w:eastAsia="Times New Roman" w:hAnsi="Calibri" w:cs="Calibri"/>
          <w:kern w:val="0"/>
          <w:lang w:eastAsia="pt-BR"/>
        </w:rPr>
        <w:t> </w:t>
      </w:r>
    </w:p>
    <w:p w14:paraId="7B682B86" w14:textId="77777777" w:rsidR="00F91ED5" w:rsidRPr="00DF0D88" w:rsidRDefault="00F91ED5" w:rsidP="00F91ED5">
      <w:pPr>
        <w:keepNext/>
        <w:widowControl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BR"/>
        </w:rPr>
      </w:pPr>
      <w:r w:rsidRPr="00DF0D88">
        <w:rPr>
          <w:rFonts w:ascii="Times New Roman" w:eastAsia="Times New Roman" w:hAnsi="Times New Roman" w:cs="Times New Roman"/>
          <w:kern w:val="0"/>
          <w:sz w:val="24"/>
          <w:lang w:eastAsia="pt-BR"/>
        </w:rPr>
        <w:t> </w:t>
      </w:r>
    </w:p>
    <w:p w14:paraId="665A9C6D" w14:textId="77777777" w:rsidR="00F91ED5" w:rsidRPr="00DF0D88" w:rsidRDefault="00F91ED5" w:rsidP="00F91ED5">
      <w:pPr>
        <w:keepNext/>
        <w:widowControl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BR"/>
        </w:rPr>
      </w:pPr>
      <w:r w:rsidRPr="00DF0D88">
        <w:rPr>
          <w:rFonts w:ascii="Times New Roman" w:eastAsia="Times New Roman" w:hAnsi="Times New Roman" w:cs="Times New Roman"/>
          <w:kern w:val="0"/>
          <w:sz w:val="24"/>
          <w:lang w:eastAsia="pt-BR"/>
        </w:rPr>
        <w:t> </w:t>
      </w:r>
    </w:p>
    <w:p w14:paraId="3D2FFF67" w14:textId="77777777" w:rsidR="00F91ED5" w:rsidRPr="00DF0D88" w:rsidRDefault="00F91ED5" w:rsidP="00F91ED5">
      <w:pPr>
        <w:keepNext/>
        <w:widowControl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pt-BR"/>
        </w:rPr>
        <w:sectPr w:rsidR="00F91ED5" w:rsidRPr="00DF0D88" w:rsidSect="00414F82">
          <w:pgSz w:w="12240" w:h="15840"/>
          <w:pgMar w:top="1440" w:right="1440" w:bottom="1440" w:left="1440" w:header="851" w:footer="992" w:gutter="0"/>
          <w:cols w:space="425"/>
          <w:docGrid w:type="lines" w:linePitch="312"/>
        </w:sectPr>
      </w:pPr>
    </w:p>
    <w:p w14:paraId="7565EB48" w14:textId="77777777" w:rsidR="00F91ED5" w:rsidRPr="00DF0D88" w:rsidRDefault="00F91ED5" w:rsidP="00F91ED5">
      <w:pPr>
        <w:spacing w:after="240" w:line="360" w:lineRule="auto"/>
        <w:rPr>
          <w:rFonts w:ascii="Times New Roman" w:hAnsi="Times New Roman" w:cs="Times New Roman"/>
          <w:b/>
          <w:bCs/>
          <w:sz w:val="24"/>
        </w:rPr>
      </w:pPr>
      <w:r w:rsidRPr="00DF0D88">
        <w:rPr>
          <w:noProof/>
          <w:lang w:val="pt-BR" w:eastAsia="pt-BR"/>
        </w:rPr>
        <w:lastRenderedPageBreak/>
        <w:drawing>
          <wp:inline distT="0" distB="0" distL="0" distR="0" wp14:anchorId="6947361F" wp14:editId="6BF438AC">
            <wp:extent cx="5943600" cy="2016760"/>
            <wp:effectExtent l="0" t="0" r="0" b="0"/>
            <wp:docPr id="9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01354" w14:textId="2C452E20" w:rsidR="00F91ED5" w:rsidRPr="00F91ED5" w:rsidRDefault="00F91ED5" w:rsidP="00F91ED5">
      <w:pPr>
        <w:spacing w:after="240" w:line="360" w:lineRule="auto"/>
        <w:rPr>
          <w:rFonts w:ascii="Times New Roman" w:hAnsi="Times New Roman" w:cs="Times New Roman"/>
          <w:sz w:val="24"/>
          <w:szCs w:val="21"/>
        </w:rPr>
      </w:pPr>
      <w:r w:rsidRPr="00F91ED5">
        <w:rPr>
          <w:rFonts w:ascii="Times New Roman" w:hAnsi="Times New Roman" w:cs="Times New Roman"/>
          <w:b/>
          <w:bCs/>
          <w:sz w:val="24"/>
        </w:rPr>
        <w:t xml:space="preserve">Supplemental material 3. </w:t>
      </w:r>
      <w:r w:rsidRPr="00F91ED5">
        <w:rPr>
          <w:rFonts w:ascii="Times New Roman" w:hAnsi="Times New Roman" w:cs="Times New Roman"/>
          <w:b/>
          <w:bCs/>
          <w:sz w:val="24"/>
          <w:szCs w:val="21"/>
        </w:rPr>
        <w:t xml:space="preserve">Changes </w:t>
      </w:r>
      <w:r w:rsidRPr="00F91ED5">
        <w:rPr>
          <w:rFonts w:ascii="Times New Roman" w:eastAsia="SimSun" w:hAnsi="Times New Roman" w:cs="Times New Roman"/>
          <w:b/>
          <w:bCs/>
          <w:sz w:val="24"/>
          <w:szCs w:val="21"/>
        </w:rPr>
        <w:t>in</w:t>
      </w:r>
      <w:r w:rsidRPr="00F91ED5">
        <w:rPr>
          <w:rFonts w:ascii="Times New Roman" w:hAnsi="Times New Roman" w:cs="Times New Roman"/>
          <w:b/>
          <w:bCs/>
          <w:sz w:val="24"/>
          <w:szCs w:val="21"/>
        </w:rPr>
        <w:t xml:space="preserve"> GP73 and G-CSF before and after treatment.</w:t>
      </w:r>
      <w:r w:rsidRPr="00F91ED5">
        <w:rPr>
          <w:rFonts w:ascii="Times New Roman" w:hAnsi="Times New Roman" w:cs="Times New Roman"/>
          <w:sz w:val="24"/>
          <w:szCs w:val="21"/>
        </w:rPr>
        <w:t xml:space="preserve"> (A) The levels of GP73 in the observation group before and after treatment; * indicates </w:t>
      </w:r>
      <w:r>
        <w:rPr>
          <w:rFonts w:ascii="Times New Roman" w:hAnsi="Times New Roman" w:cs="Times New Roman"/>
          <w:sz w:val="24"/>
          <w:szCs w:val="21"/>
        </w:rPr>
        <w:t xml:space="preserve">p </w:t>
      </w:r>
      <w:r w:rsidRPr="00F91ED5">
        <w:rPr>
          <w:rFonts w:ascii="Times New Roman" w:hAnsi="Times New Roman" w:cs="Times New Roman"/>
          <w:sz w:val="24"/>
          <w:szCs w:val="21"/>
        </w:rPr>
        <w:t>&lt;</w:t>
      </w:r>
      <w:r>
        <w:rPr>
          <w:rFonts w:ascii="Times New Roman" w:hAnsi="Times New Roman" w:cs="Times New Roman"/>
          <w:sz w:val="24"/>
          <w:szCs w:val="21"/>
        </w:rPr>
        <w:t xml:space="preserve"> </w:t>
      </w:r>
      <w:r w:rsidRPr="00F91ED5">
        <w:rPr>
          <w:rFonts w:ascii="Times New Roman" w:hAnsi="Times New Roman" w:cs="Times New Roman"/>
          <w:sz w:val="24"/>
          <w:szCs w:val="21"/>
        </w:rPr>
        <w:t xml:space="preserve">0.05 in comparison with before treatment. (B) The levels of G-CSF in the observation group before and after treatment; * indicates </w:t>
      </w:r>
      <w:r>
        <w:rPr>
          <w:rFonts w:ascii="Times New Roman" w:hAnsi="Times New Roman" w:cs="Times New Roman"/>
          <w:sz w:val="24"/>
          <w:szCs w:val="21"/>
        </w:rPr>
        <w:t>p</w:t>
      </w:r>
      <w:r w:rsidRPr="00F91ED5">
        <w:rPr>
          <w:rFonts w:ascii="Times New Roman" w:hAnsi="Times New Roman" w:cs="Times New Roman"/>
          <w:sz w:val="24"/>
          <w:szCs w:val="21"/>
        </w:rPr>
        <w:t xml:space="preserve"> &lt; 0.05 in comparison with before treatment.</w:t>
      </w:r>
    </w:p>
    <w:p w14:paraId="37F26631" w14:textId="77777777" w:rsidR="00F91ED5" w:rsidRPr="00DF0D88" w:rsidRDefault="00F91ED5" w:rsidP="00F91ED5">
      <w:pPr>
        <w:keepNext/>
        <w:widowControl/>
        <w:textAlignment w:val="baseline"/>
        <w:rPr>
          <w:rFonts w:ascii="Times New Roman" w:hAnsi="Times New Roman" w:cs="Times New Roman"/>
          <w:sz w:val="24"/>
          <w:szCs w:val="21"/>
          <w:shd w:val="clear" w:color="auto" w:fill="FFFFFF"/>
        </w:rPr>
      </w:pPr>
    </w:p>
    <w:p w14:paraId="000887DD" w14:textId="77777777" w:rsidR="00F91ED5" w:rsidRDefault="00F91ED5"/>
    <w:sectPr w:rsidR="00F91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6D696" w14:textId="77777777" w:rsidR="00F91ED5" w:rsidRDefault="00F91ED5" w:rsidP="00F91ED5">
      <w:r>
        <w:separator/>
      </w:r>
    </w:p>
  </w:endnote>
  <w:endnote w:type="continuationSeparator" w:id="0">
    <w:p w14:paraId="05E1B9B3" w14:textId="77777777" w:rsidR="00F91ED5" w:rsidRDefault="00F91ED5" w:rsidP="00F9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FC37" w14:textId="77777777" w:rsidR="00F91ED5" w:rsidRDefault="00F91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A423" w14:textId="77777777" w:rsidR="00F91ED5" w:rsidRDefault="00F91E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BFDD" w14:textId="77777777" w:rsidR="00F91ED5" w:rsidRDefault="00F91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0A2A" w14:textId="77777777" w:rsidR="00F91ED5" w:rsidRDefault="00F91ED5" w:rsidP="00F91ED5">
      <w:r>
        <w:separator/>
      </w:r>
    </w:p>
  </w:footnote>
  <w:footnote w:type="continuationSeparator" w:id="0">
    <w:p w14:paraId="1F036C03" w14:textId="77777777" w:rsidR="00F91ED5" w:rsidRDefault="00F91ED5" w:rsidP="00F9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E9F9" w14:textId="77777777" w:rsidR="00F91ED5" w:rsidRDefault="00F91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2D15" w14:textId="77777777" w:rsidR="00F91ED5" w:rsidRDefault="00F91E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478D" w14:textId="77777777" w:rsidR="00F91ED5" w:rsidRDefault="00F91E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D5"/>
    <w:rsid w:val="00F9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DE53"/>
  <w15:chartTrackingRefBased/>
  <w15:docId w15:val="{00E9206C-8E45-443B-B1C8-AEAC3203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ED5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F91ED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uiPriority w:val="42"/>
    <w:rsid w:val="00F91ED5"/>
    <w:pPr>
      <w:spacing w:after="0" w:line="240" w:lineRule="auto"/>
    </w:pPr>
    <w:rPr>
      <w:rFonts w:eastAsiaTheme="minorEastAsia"/>
      <w:lang w:val="en-US"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91ED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ED5"/>
    <w:rPr>
      <w:rFonts w:eastAsiaTheme="minorEastAsia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F91ED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ED5"/>
    <w:rPr>
      <w:rFonts w:eastAsiaTheme="minorEastAsia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Ribeiro, Tayana (ELS-RIO)</cp:lastModifiedBy>
  <cp:revision>1</cp:revision>
  <dcterms:created xsi:type="dcterms:W3CDTF">2022-08-05T12:23:00Z</dcterms:created>
  <dcterms:modified xsi:type="dcterms:W3CDTF">2022-08-05T12:28:00Z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2022-08-05T12:23:18Z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dfb41ca9-c1df-4ed5-94ca-7f22dda75396</vt:lpwstr>
  </property>
  <property fmtid="{D5CDD505-2E9C-101B-9397-08002B2CF9AE}" pid="8" name="MSIP_Label_549ac42a-3eb4-4074-b885-aea26bd6241e_ContentBits">
    <vt:lpwstr>0</vt:lpwstr>
  </property>
</Properties>
</file>