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181D" w14:textId="38331CFB" w:rsidR="00B66BF5" w:rsidRDefault="00B66BF5" w:rsidP="00B66BF5">
      <w:pPr>
        <w:spacing w:line="480" w:lineRule="auto"/>
        <w:rPr>
          <w:rFonts w:ascii="Times New Roman" w:hAnsi="Times New Roman" w:cs="Times New Roman"/>
          <w:b/>
        </w:rPr>
      </w:pPr>
      <w:r w:rsidRPr="008B2BC1">
        <w:rPr>
          <w:rFonts w:ascii="Times New Roman" w:hAnsi="Times New Roman" w:cs="Times New Roman"/>
          <w:b/>
          <w:highlight w:val="yellow"/>
        </w:rPr>
        <w:t xml:space="preserve">Tabla S1. </w:t>
      </w:r>
      <w:r w:rsidRPr="008B2BC1">
        <w:rPr>
          <w:rFonts w:ascii="Times New Roman" w:hAnsi="Times New Roman" w:cs="Times New Roman"/>
          <w:highlight w:val="yellow"/>
        </w:rPr>
        <w:t>Características clínicas de los pacientes</w:t>
      </w:r>
      <w:r w:rsidRPr="008B2BC1">
        <w:rPr>
          <w:rFonts w:ascii="Times New Roman" w:hAnsi="Times New Roman" w:cs="Times New Roman"/>
          <w:b/>
          <w:highlight w:val="yellow"/>
        </w:rPr>
        <w:t xml:space="preserve"> </w:t>
      </w:r>
      <w:r w:rsidRPr="008B2BC1">
        <w:rPr>
          <w:rFonts w:ascii="Times New Roman" w:hAnsi="Times New Roman" w:cs="Times New Roman"/>
          <w:bCs/>
          <w:highlight w:val="yellow"/>
        </w:rPr>
        <w:t>hospitalizados por COVID-19 que recibían tratamiento con estatinas previo al ingreso, categorizados en función de si el tratamiento se suspendió o se mantuvo durante la hospitalización.</w:t>
      </w:r>
      <w:r>
        <w:rPr>
          <w:rFonts w:ascii="Times New Roman" w:hAnsi="Times New Roman" w:cs="Times New Roman"/>
          <w:bCs/>
        </w:rPr>
        <w:t xml:space="preserve"> </w:t>
      </w:r>
    </w:p>
    <w:tbl>
      <w:tblPr>
        <w:tblpPr w:leftFromText="142" w:rightFromText="142" w:vertAnchor="page" w:horzAnchor="page" w:tblpX="1192" w:tblpY="3403"/>
        <w:tblW w:w="14490" w:type="dxa"/>
        <w:tblBorders>
          <w:top w:val="single" w:sz="24" w:space="0" w:color="000001"/>
          <w:left w:val="single" w:sz="8" w:space="0" w:color="FFFFFF"/>
          <w:bottom w:val="single" w:sz="18" w:space="0" w:color="000001"/>
          <w:right w:val="single" w:sz="8" w:space="0" w:color="FFFFFF"/>
          <w:insideH w:val="single" w:sz="18" w:space="0" w:color="000001"/>
          <w:insideV w:val="single" w:sz="8" w:space="0" w:color="FFFFFF"/>
        </w:tblBorders>
        <w:tblLayout w:type="fixed"/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275"/>
        <w:gridCol w:w="373"/>
        <w:gridCol w:w="1863"/>
        <w:gridCol w:w="1911"/>
        <w:gridCol w:w="495"/>
        <w:gridCol w:w="1824"/>
        <w:gridCol w:w="1749"/>
      </w:tblGrid>
      <w:tr w:rsidR="00BB31EB" w:rsidRPr="00EA0005" w14:paraId="5F2AE2EC" w14:textId="77777777" w:rsidTr="00BB31EB">
        <w:trPr>
          <w:trHeight w:val="708"/>
        </w:trPr>
        <w:tc>
          <w:tcPr>
            <w:tcW w:w="6275" w:type="dxa"/>
            <w:tcBorders>
              <w:top w:val="single" w:sz="24" w:space="0" w:color="000001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C96BD7E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4" w:space="0" w:color="000001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4DF06403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24" w:space="0" w:color="000001"/>
              <w:left w:val="single" w:sz="8" w:space="0" w:color="FFFFFF"/>
              <w:bottom w:val="single" w:sz="18" w:space="0" w:color="000001"/>
              <w:right w:val="nil"/>
            </w:tcBorders>
            <w:shd w:val="clear" w:color="auto" w:fill="FFFFFF"/>
            <w:vAlign w:val="center"/>
          </w:tcPr>
          <w:p w14:paraId="2159248D" w14:textId="205598AC" w:rsidR="00BB31EB" w:rsidRDefault="00BB31EB" w:rsidP="00BB31E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Muestra no ponderada</w:t>
            </w:r>
          </w:p>
        </w:tc>
        <w:tc>
          <w:tcPr>
            <w:tcW w:w="495" w:type="dxa"/>
            <w:tcBorders>
              <w:top w:val="single" w:sz="24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A39ADBF" w14:textId="1C4B3144" w:rsidR="00BB31EB" w:rsidRDefault="00BB31EB" w:rsidP="00BB31E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24" w:space="0" w:color="000001"/>
              <w:left w:val="nil"/>
              <w:bottom w:val="single" w:sz="18" w:space="0" w:color="000001"/>
              <w:right w:val="single" w:sz="8" w:space="0" w:color="FFFFFF"/>
            </w:tcBorders>
            <w:shd w:val="clear" w:color="auto" w:fill="FFFFFF"/>
            <w:tcMar>
              <w:left w:w="134" w:type="dxa"/>
            </w:tcMar>
            <w:vAlign w:val="center"/>
          </w:tcPr>
          <w:p w14:paraId="13658688" w14:textId="49621761" w:rsidR="00BB31EB" w:rsidRDefault="00BB31EB" w:rsidP="00BB31E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Muestra ponderada por la IPT</w:t>
            </w:r>
          </w:p>
        </w:tc>
      </w:tr>
      <w:tr w:rsidR="00BB31EB" w:rsidRPr="00EA0005" w14:paraId="278F1636" w14:textId="77777777" w:rsidTr="00BB31EB">
        <w:trPr>
          <w:trHeight w:val="708"/>
        </w:trPr>
        <w:tc>
          <w:tcPr>
            <w:tcW w:w="627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B504F1B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22F76A58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24" w:space="0" w:color="000001"/>
              <w:left w:val="single" w:sz="8" w:space="0" w:color="FFFFFF"/>
              <w:bottom w:val="single" w:sz="18" w:space="0" w:color="000001"/>
              <w:right w:val="single" w:sz="8" w:space="0" w:color="FFFFFF"/>
            </w:tcBorders>
            <w:shd w:val="clear" w:color="auto" w:fill="FFFFFF"/>
          </w:tcPr>
          <w:p w14:paraId="08B779E7" w14:textId="4D34FBCA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Estatina se suspendió       (n=269</w:t>
            </w:r>
            <w:r w:rsidRPr="00EA00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11" w:type="dxa"/>
            <w:tcBorders>
              <w:top w:val="single" w:sz="24" w:space="0" w:color="000001"/>
              <w:left w:val="single" w:sz="8" w:space="0" w:color="FFFFFF"/>
              <w:bottom w:val="single" w:sz="18" w:space="0" w:color="000001"/>
              <w:right w:val="single" w:sz="8" w:space="0" w:color="FFFFFF"/>
            </w:tcBorders>
            <w:shd w:val="clear" w:color="auto" w:fill="FFFFFF"/>
          </w:tcPr>
          <w:p w14:paraId="01CC54C9" w14:textId="5930B3E3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Estatina se mantuvo</w:t>
            </w:r>
          </w:p>
          <w:p w14:paraId="16DD4989" w14:textId="1254BAFA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(n=182</w:t>
            </w:r>
            <w:r w:rsidRPr="00EA00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0A4C182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24" w:space="0" w:color="000001"/>
              <w:left w:val="single" w:sz="8" w:space="0" w:color="FFFFFF"/>
              <w:bottom w:val="single" w:sz="18" w:space="0" w:color="000001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B1D0CBE" w14:textId="0B1B6D1D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Estatina se suspendió</w:t>
            </w:r>
          </w:p>
          <w:p w14:paraId="3BA0694D" w14:textId="372384B2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(N=285)</w:t>
            </w:r>
          </w:p>
        </w:tc>
        <w:tc>
          <w:tcPr>
            <w:tcW w:w="1748" w:type="dxa"/>
            <w:tcBorders>
              <w:top w:val="single" w:sz="24" w:space="0" w:color="000001"/>
              <w:left w:val="single" w:sz="8" w:space="0" w:color="FFFFFF"/>
              <w:bottom w:val="single" w:sz="18" w:space="0" w:color="000001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582BADD" w14:textId="7A358BC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Estatina se mantuvo</w:t>
            </w:r>
          </w:p>
          <w:p w14:paraId="13F476FB" w14:textId="1CF54FC8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(N=154) </w:t>
            </w:r>
          </w:p>
        </w:tc>
      </w:tr>
      <w:tr w:rsidR="00BB31EB" w:rsidRPr="00EA0005" w14:paraId="00735434" w14:textId="77777777" w:rsidTr="00BB31EB">
        <w:trPr>
          <w:trHeight w:val="394"/>
        </w:trPr>
        <w:tc>
          <w:tcPr>
            <w:tcW w:w="6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753D768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005">
              <w:rPr>
                <w:rFonts w:ascii="Times New Roman" w:hAnsi="Times New Roman"/>
                <w:i/>
                <w:sz w:val="20"/>
                <w:szCs w:val="20"/>
              </w:rPr>
              <w:t>Historia clínica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previa</w:t>
            </w:r>
          </w:p>
        </w:tc>
        <w:tc>
          <w:tcPr>
            <w:tcW w:w="3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67B76B1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98529D5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4A2BFCC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14:paraId="6836AB5A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18" w:space="0" w:color="000001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4588918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39018B0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1EB" w:rsidRPr="00D44A85" w14:paraId="34B7426B" w14:textId="77777777" w:rsidTr="00BB31EB">
        <w:trPr>
          <w:trHeight w:val="283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371F5DA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Edad (</w:t>
            </w:r>
            <w:r w:rsidRPr="00EA000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ños), media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5F1976C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04AC667" w14:textId="7467E4A8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 ± 10,4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FAA31CA" w14:textId="2A9544A2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 ± 10,5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14:paraId="5F6F77AD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24F0116" w14:textId="5E0B9BF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± 13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BE98FA5" w14:textId="7EF2E821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 ± 12,1</w:t>
            </w:r>
          </w:p>
        </w:tc>
      </w:tr>
      <w:tr w:rsidR="00BB31EB" w:rsidRPr="00D44A85" w14:paraId="54E7B95B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757BC46E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Grupos de edad, n (%)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82BADB1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EB33159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B78F934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14:paraId="35FCE437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1CBF2B7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82B1D10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1EB" w:rsidRPr="00D44A85" w14:paraId="76AA6F9E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8BEB917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18 a 59 años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7CF89D0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FE6BDF6" w14:textId="35B9CEAD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(8,2%)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212788F" w14:textId="50AE9734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(9,3%)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14:paraId="0738A5F5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3435689" w14:textId="1905B4A6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(26,7%)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95B97E4" w14:textId="4C3E9C4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(22,7%)</w:t>
            </w:r>
          </w:p>
        </w:tc>
      </w:tr>
      <w:tr w:rsidR="00BB31EB" w:rsidRPr="00D44A85" w14:paraId="4635ABB5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388F4EA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60 a 69 años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82879D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3D810B8" w14:textId="0B2A4D02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(22,7%)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30618DF" w14:textId="0AB5B4B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37 (20,3%)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14:paraId="2A9EAD8A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474622C" w14:textId="4989BBE6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(21,4%)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FE70010" w14:textId="344FF101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(19,5%)</w:t>
            </w:r>
          </w:p>
        </w:tc>
      </w:tr>
      <w:tr w:rsidR="00BB31EB" w:rsidRPr="00D44A85" w14:paraId="00694F3D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4091EE4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70 a 79 años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CF2C607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8A3D308" w14:textId="5265241F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(34,9%)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FE3C79A" w14:textId="00845951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70 (38,5%)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8B54DD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E78FC37" w14:textId="78E82B9F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(24,2%)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2709729" w14:textId="65258D2E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(31,8%)</w:t>
            </w:r>
          </w:p>
        </w:tc>
      </w:tr>
      <w:tr w:rsidR="00BB31EB" w:rsidRPr="00D44A85" w14:paraId="5A9DAAE9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3118C6F" w14:textId="361B7C6E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80 años o más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3455DC9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72BB99F" w14:textId="063BEBA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(34,2%)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37CB4D2" w14:textId="09D33C43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(31,9%)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7056E97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6708CB9" w14:textId="6E229B28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(27,7%)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6D33DF8" w14:textId="6D5DF70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(26%)</w:t>
            </w:r>
          </w:p>
        </w:tc>
      </w:tr>
      <w:tr w:rsidR="00BB31EB" w:rsidRPr="00D44A85" w14:paraId="0BC56098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DB29205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Mujer, n (%)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698C0CD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D296365" w14:textId="4D58CE9C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(37,9%)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7D6FB53" w14:textId="5D787996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(42,3%)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6782F48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BBAD258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(42,7%)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924571B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(41,1%)</w:t>
            </w:r>
          </w:p>
        </w:tc>
      </w:tr>
      <w:tr w:rsidR="00BB31EB" w:rsidRPr="00D44A85" w14:paraId="3554387E" w14:textId="77777777" w:rsidTr="00BB31EB">
        <w:trPr>
          <w:trHeight w:val="18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E175F91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Hipertensión arterial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1BA07E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8CF0F86" w14:textId="076024A1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(66,9%)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A936E41" w14:textId="7EE660B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 (70,3%)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888A0B6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C8A4DAB" w14:textId="1F0D58EB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(49,8%)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0D27402" w14:textId="5104A9E0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(57,8%)</w:t>
            </w:r>
          </w:p>
        </w:tc>
      </w:tr>
      <w:tr w:rsidR="00BB31EB" w:rsidRPr="00D44A85" w14:paraId="3C64C348" w14:textId="77777777" w:rsidTr="00BB31EB">
        <w:trPr>
          <w:trHeight w:val="18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7B080D3E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Diabetes mellitus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EF0EAB2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B68B382" w14:textId="38D0EED3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(34,2%)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ABB8460" w14:textId="662CA29A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(34,6%)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B94CC58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67026C9" w14:textId="4F7BF048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(21,4%)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78CA631" w14:textId="44F50F9E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(23,5%)</w:t>
            </w:r>
          </w:p>
        </w:tc>
      </w:tr>
      <w:tr w:rsidR="00BB31EB" w:rsidRPr="00D44A85" w14:paraId="594B1D9D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0A4657F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Historia de tabaquismo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DD65F6D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417AB78" w14:textId="3863C2E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(34,9%)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B19FBD9" w14:textId="53BE80C2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(43,4%)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5B75E47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76A89DB6" w14:textId="02AC491A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(31,6%)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DB739BE" w14:textId="4DD71675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(35,3%)</w:t>
            </w:r>
          </w:p>
        </w:tc>
      </w:tr>
      <w:tr w:rsidR="00BB31EB" w:rsidRPr="00D44A85" w14:paraId="23680046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1BC07B2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Enfermedad arterial coronaria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5801494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DA22E3B" w14:textId="72796446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 (11,9%)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1D47DAE" w14:textId="36D23888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(26,4%)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D55BDE3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D628760" w14:textId="52C40792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(5,6%)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77F06CE0" w14:textId="0FB5954C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(15%)</w:t>
            </w:r>
          </w:p>
        </w:tc>
      </w:tr>
      <w:tr w:rsidR="00BB31EB" w:rsidRPr="00D44A85" w14:paraId="07D13E74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7DF4881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Insuficiencia cardiaca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BED7D36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0E98696" w14:textId="2B54E805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(17,5%)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9DD2000" w14:textId="50CE20D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(24,2%)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A6AEF77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3717F4C" w14:textId="3506FB3C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(10,9%)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42D6300" w14:textId="6C025EEB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(17,5%)</w:t>
            </w:r>
          </w:p>
        </w:tc>
      </w:tr>
      <w:tr w:rsidR="00BB31EB" w:rsidRPr="00D44A85" w14:paraId="689ABFCC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1559CBF" w14:textId="77777777" w:rsidR="00BB31EB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Fibrilación auricular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C6AEC21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CF1964A" w14:textId="6AAF94B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(16,7%)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B1F7432" w14:textId="6CE9B4A1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(16,5%)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15C4326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B88CC04" w14:textId="579F343A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(11,9%)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A078CAB" w14:textId="6874A94D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(13,1%)</w:t>
            </w:r>
          </w:p>
        </w:tc>
      </w:tr>
      <w:tr w:rsidR="00BB31EB" w:rsidRPr="00D44A85" w14:paraId="3F21A9B9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3BCF251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Enfermedad cerebrovascular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2A8D4E8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1FCAD10" w14:textId="74BE5A0E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(10,4%)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587FE0D" w14:textId="630C369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(16,5%)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3D75BD0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7E9F6E2" w14:textId="5533FF13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(7,3%)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5B0F80C" w14:textId="5EC5061C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(13,1%)</w:t>
            </w:r>
          </w:p>
        </w:tc>
      </w:tr>
      <w:tr w:rsidR="00BB31EB" w:rsidRPr="00D44A85" w14:paraId="78337325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978F08F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Arteriopatía periférica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FB142F6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E62CD3B" w14:textId="3642029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(8,2%)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681FA2" w14:textId="0B6C4542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(8,5%)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2FEAF5C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F9A422D" w14:textId="3432EDF5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(5,3%)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BE98574" w14:textId="3F023AF6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(8,4%)</w:t>
            </w:r>
          </w:p>
        </w:tc>
      </w:tr>
      <w:tr w:rsidR="00BB31EB" w:rsidRPr="00D44A85" w14:paraId="2076C6CE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8D55411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Enfermedad pulmonar obstructiva crónica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B06F34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4B0DD17" w14:textId="53B73028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(7,4%)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01E8876" w14:textId="5C4ADAD3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(12,1%)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18949B9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ADE017E" w14:textId="36789260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(6,6%)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1EC1CF6" w14:textId="401EC8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(8,5%)</w:t>
            </w:r>
          </w:p>
        </w:tc>
      </w:tr>
      <w:tr w:rsidR="00BB31EB" w:rsidRPr="00D44A85" w14:paraId="2E464FEC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7B58A6E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Asma bronquial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A8C5D46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5E332ED" w14:textId="206DF25C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(8,2%)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825888A" w14:textId="176EDAF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(7,1%)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EEBC76F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64EE4E9" w14:textId="5A25B550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(6,7%)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BB09497" w14:textId="4CE4A2B3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(6,5%)</w:t>
            </w:r>
          </w:p>
        </w:tc>
      </w:tr>
      <w:tr w:rsidR="00BB31EB" w:rsidRPr="00D44A85" w14:paraId="60BF8D07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A74CB7A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Enfermedad renal crónica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DAEF0B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B5698AB" w14:textId="25B85F21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(17,5%)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42BA452" w14:textId="02CF3EBD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(24,2%)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D009CEC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7B90E07F" w14:textId="0277A0E8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(10,5%)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0017561" w14:textId="31B33768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(19,5%)</w:t>
            </w:r>
          </w:p>
        </w:tc>
      </w:tr>
      <w:tr w:rsidR="00BB31EB" w:rsidRPr="00D44A85" w14:paraId="04B8D1D8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2F923856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Hepatopatía crónica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787F936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6704869" w14:textId="7C87E7B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(4,5%)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C96BC09" w14:textId="05A3B776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(4,9%)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A500294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A7FAC41" w14:textId="15A8BC35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(2,8%)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EFFEDD6" w14:textId="699EB8F0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(5,8%)</w:t>
            </w:r>
          </w:p>
        </w:tc>
      </w:tr>
      <w:tr w:rsidR="00BB31EB" w:rsidRPr="00D44A85" w14:paraId="13B7A2ED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156F714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000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Neoplasia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051892A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307F45D" w14:textId="5ABAC759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(23%)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336610A" w14:textId="66ACD24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(22%)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6AA41D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CADBDAA" w14:textId="39B5FFD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(22,1%)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051D856" w14:textId="15D1C108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(19%)</w:t>
            </w:r>
          </w:p>
        </w:tc>
      </w:tr>
      <w:tr w:rsidR="00BB31EB" w:rsidRPr="00D44A85" w14:paraId="4249919A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6F21ED7" w14:textId="77777777" w:rsidR="00BB31EB" w:rsidRPr="009B3869" w:rsidRDefault="00BB31EB" w:rsidP="008B25A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Otros fármacos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195CF30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B3A16F1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E8EDF5C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3FC7088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66760AF0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98E8ADA" w14:textId="77777777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1EB" w:rsidRPr="00D44A85" w14:paraId="0A5394CF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B639338" w14:textId="77777777" w:rsidR="00BB31EB" w:rsidRPr="00EA0005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Betabloqueantes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6138FC1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77EB2BC" w14:textId="014F90F1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(19%)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29BA50B" w14:textId="1257B61F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(37,9%)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B83778A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D8DA646" w14:textId="5B40E990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(10,5%)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E30ADA9" w14:textId="7D51A069" w:rsidR="00BB31EB" w:rsidRPr="00EA0005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(26%)</w:t>
            </w:r>
          </w:p>
        </w:tc>
      </w:tr>
      <w:tr w:rsidR="00BB31EB" w:rsidRPr="00D44A85" w14:paraId="79C34420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38074A8" w14:textId="77777777" w:rsidR="00BB31EB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Inhibidores de la enzima conversora de angiotensina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208385C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066E769" w14:textId="1C92DB70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(14,5%)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6C84D49" w14:textId="0443BAA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(25,3%)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EB6848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B07FFC5" w14:textId="2811F3AB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(12,9%)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CEC0DA5" w14:textId="4C75291F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(20,3%)</w:t>
            </w:r>
          </w:p>
        </w:tc>
      </w:tr>
      <w:tr w:rsidR="00BB31EB" w:rsidRPr="00D44A85" w14:paraId="4790B63F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319860C" w14:textId="77777777" w:rsidR="00BB31EB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Antagonistas del receptor de angiotensina 2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5384F1B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C3F82FF" w14:textId="10E5048C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(35,3%)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B912F5B" w14:textId="6A87CF6F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(35,3%)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2585C3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52D79695" w14:textId="2DE043EE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66 (23,2%)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33B8A6B9" w14:textId="13B5156F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(24%)</w:t>
            </w:r>
          </w:p>
        </w:tc>
      </w:tr>
      <w:tr w:rsidR="00BB31EB" w:rsidRPr="00D44A85" w14:paraId="48A92B9F" w14:textId="77777777" w:rsidTr="00BB31EB">
        <w:trPr>
          <w:trHeight w:val="286"/>
        </w:trPr>
        <w:tc>
          <w:tcPr>
            <w:tcW w:w="62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15AC6941" w14:textId="77777777" w:rsidR="00BB31EB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Antiagregantes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124E9857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6C36FE25" w14:textId="4FC3CB0F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(26%)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14C0C8A8" w14:textId="16B19AE6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(44,5%)</w:t>
            </w: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6E1C356A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4B3A0D62" w14:textId="5708F138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(14%)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left w:w="134" w:type="dxa"/>
            </w:tcMar>
          </w:tcPr>
          <w:p w14:paraId="0D203568" w14:textId="673C49E0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44 (28,6%)</w:t>
            </w:r>
          </w:p>
        </w:tc>
      </w:tr>
      <w:tr w:rsidR="00BB31EB" w:rsidRPr="00D44A85" w14:paraId="6E905F8B" w14:textId="77777777" w:rsidTr="00BB31EB">
        <w:trPr>
          <w:trHeight w:val="25"/>
        </w:trPr>
        <w:tc>
          <w:tcPr>
            <w:tcW w:w="62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left w:w="134" w:type="dxa"/>
            </w:tcMar>
          </w:tcPr>
          <w:p w14:paraId="1CFB4C87" w14:textId="77777777" w:rsidR="00BB31EB" w:rsidRDefault="00BB31EB" w:rsidP="008B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Anticoagulantes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6FB3A1BE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5950F9E5" w14:textId="1C80FBA9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(15,2%)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128FBA69" w14:textId="2FF5339E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(17,6%)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2088B4AC" w14:textId="77777777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left w:w="134" w:type="dxa"/>
            </w:tcMar>
          </w:tcPr>
          <w:p w14:paraId="3787E322" w14:textId="1D1CE84E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(10,5%)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left w:w="134" w:type="dxa"/>
            </w:tcMar>
          </w:tcPr>
          <w:p w14:paraId="73214F1D" w14:textId="008F97D9" w:rsidR="00BB31EB" w:rsidRDefault="00BB31EB" w:rsidP="008B25A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(13,6%)</w:t>
            </w:r>
          </w:p>
        </w:tc>
      </w:tr>
    </w:tbl>
    <w:p w14:paraId="2432F37F" w14:textId="77777777" w:rsidR="002F76EA" w:rsidRDefault="002F76EA">
      <w:pPr>
        <w:rPr>
          <w:rFonts w:ascii="Times New Roman" w:hAnsi="Times New Roman" w:cs="Times New Roman"/>
        </w:rPr>
      </w:pPr>
    </w:p>
    <w:p w14:paraId="112CF3CB" w14:textId="77777777" w:rsidR="002F76EA" w:rsidRDefault="002F76EA" w:rsidP="002F76EA">
      <w:pPr>
        <w:spacing w:line="480" w:lineRule="auto"/>
        <w:rPr>
          <w:rFonts w:ascii="Times New Roman" w:hAnsi="Times New Roman" w:cs="Times New Roman"/>
        </w:rPr>
      </w:pPr>
    </w:p>
    <w:p w14:paraId="1B1933A4" w14:textId="3D52CA0B" w:rsidR="002F76EA" w:rsidRPr="002F76EA" w:rsidRDefault="002F76EA" w:rsidP="002F76EA">
      <w:pPr>
        <w:spacing w:line="480" w:lineRule="auto"/>
        <w:rPr>
          <w:rFonts w:ascii="Times New Roman" w:hAnsi="Times New Roman" w:cs="Times New Roman"/>
        </w:rPr>
        <w:sectPr w:rsidR="002F76EA" w:rsidRPr="002F76EA" w:rsidSect="00B66BF5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CDDFBFE" w14:textId="77777777" w:rsidR="00B66BF5" w:rsidRDefault="00B66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56688F7B" w14:textId="7699299A" w:rsidR="00911066" w:rsidRDefault="004C21A8" w:rsidP="001021A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FIGURA S1. </w:t>
      </w:r>
      <w:r w:rsidRPr="004C21A8">
        <w:rPr>
          <w:rFonts w:ascii="Times New Roman" w:hAnsi="Times New Roman" w:cs="Times New Roman"/>
        </w:rPr>
        <w:t xml:space="preserve">Distribución de las puntuaciones de propensión en los pacientes del estudio, tanto en la </w:t>
      </w:r>
      <w:r>
        <w:rPr>
          <w:rFonts w:ascii="Times New Roman" w:hAnsi="Times New Roman" w:cs="Times New Roman"/>
        </w:rPr>
        <w:t>muestra</w:t>
      </w:r>
      <w:r w:rsidRPr="004C21A8">
        <w:rPr>
          <w:rFonts w:ascii="Times New Roman" w:hAnsi="Times New Roman" w:cs="Times New Roman"/>
        </w:rPr>
        <w:t xml:space="preserve"> no ponderada como e</w:t>
      </w:r>
      <w:r>
        <w:rPr>
          <w:rFonts w:ascii="Times New Roman" w:hAnsi="Times New Roman" w:cs="Times New Roman"/>
        </w:rPr>
        <w:t xml:space="preserve">n la muestra ponderada por la inversa de la probabilidad de recibir el tratamiento. </w:t>
      </w:r>
    </w:p>
    <w:p w14:paraId="04553455" w14:textId="77777777" w:rsidR="001021A5" w:rsidRDefault="006176AE" w:rsidP="001021A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C4C0DAC" wp14:editId="4CB5610A">
            <wp:simplePos x="0" y="0"/>
            <wp:positionH relativeFrom="column">
              <wp:posOffset>0</wp:posOffset>
            </wp:positionH>
            <wp:positionV relativeFrom="paragraph">
              <wp:posOffset>792480</wp:posOffset>
            </wp:positionV>
            <wp:extent cx="5396230" cy="6295390"/>
            <wp:effectExtent l="0" t="0" r="0" b="3810"/>
            <wp:wrapTight wrapText="bothSides">
              <wp:wrapPolygon edited="0">
                <wp:start x="0" y="0"/>
                <wp:lineTo x="0" y="21526"/>
                <wp:lineTo x="21453" y="21526"/>
                <wp:lineTo x="2145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dad_P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561C4" w14:textId="77777777" w:rsidR="001021A5" w:rsidRDefault="001021A5" w:rsidP="001021A5">
      <w:pPr>
        <w:spacing w:line="480" w:lineRule="auto"/>
        <w:rPr>
          <w:rFonts w:ascii="Times New Roman" w:hAnsi="Times New Roman" w:cs="Times New Roman"/>
          <w:b/>
        </w:rPr>
      </w:pPr>
    </w:p>
    <w:p w14:paraId="56448194" w14:textId="77777777" w:rsidR="001021A5" w:rsidRDefault="001021A5" w:rsidP="001021A5">
      <w:pPr>
        <w:spacing w:line="480" w:lineRule="auto"/>
        <w:rPr>
          <w:rFonts w:ascii="Times New Roman" w:hAnsi="Times New Roman" w:cs="Times New Roman"/>
          <w:b/>
        </w:rPr>
      </w:pPr>
    </w:p>
    <w:p w14:paraId="1D2C01C1" w14:textId="77777777" w:rsidR="001021A5" w:rsidRPr="001021A5" w:rsidRDefault="001021A5">
      <w:pPr>
        <w:rPr>
          <w:rFonts w:ascii="Times New Roman" w:hAnsi="Times New Roman" w:cs="Times New Roman"/>
          <w:b/>
        </w:rPr>
      </w:pPr>
    </w:p>
    <w:sectPr w:rsidR="001021A5" w:rsidRPr="001021A5" w:rsidSect="006123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1A5"/>
    <w:rsid w:val="001021A5"/>
    <w:rsid w:val="001155A2"/>
    <w:rsid w:val="00231184"/>
    <w:rsid w:val="002F76EA"/>
    <w:rsid w:val="004C21A8"/>
    <w:rsid w:val="006123D0"/>
    <w:rsid w:val="006176AE"/>
    <w:rsid w:val="008B2BC1"/>
    <w:rsid w:val="00911066"/>
    <w:rsid w:val="00955A7E"/>
    <w:rsid w:val="009C55B6"/>
    <w:rsid w:val="009C68ED"/>
    <w:rsid w:val="009C70AF"/>
    <w:rsid w:val="00A453E0"/>
    <w:rsid w:val="00A56EF8"/>
    <w:rsid w:val="00B66BF5"/>
    <w:rsid w:val="00BB31EB"/>
    <w:rsid w:val="00C90155"/>
    <w:rsid w:val="00CA39EB"/>
    <w:rsid w:val="00D13408"/>
    <w:rsid w:val="00F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90C8"/>
  <w14:defaultImageDpi w14:val="300"/>
  <w15:docId w15:val="{51C1D421-BCFB-B44F-A9FD-DC0CC70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Barge Caballero</dc:creator>
  <cp:keywords/>
  <dc:description/>
  <cp:lastModifiedBy>EDUARDO BARGE CABALLERO</cp:lastModifiedBy>
  <cp:revision>18</cp:revision>
  <dcterms:created xsi:type="dcterms:W3CDTF">2021-10-22T09:24:00Z</dcterms:created>
  <dcterms:modified xsi:type="dcterms:W3CDTF">2022-03-17T17:10:00Z</dcterms:modified>
</cp:coreProperties>
</file>