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91" w:rsidRPr="00744A82" w:rsidRDefault="00976F91" w:rsidP="00976F91">
      <w:pPr>
        <w:rPr>
          <w:rFonts w:cs="Tahoma"/>
          <w:b/>
          <w:szCs w:val="24"/>
        </w:rPr>
      </w:pPr>
      <w:r w:rsidRPr="00744A82">
        <w:rPr>
          <w:rFonts w:cs="Tahoma"/>
          <w:b/>
          <w:szCs w:val="24"/>
        </w:rPr>
        <w:t>Anexo I – Ítems incluidos para medir la actitud de los profesionales de la salud mental ante la capacidad y el internamiento no voluntario de pacientes con anorexia nerviosa</w:t>
      </w:r>
    </w:p>
    <w:p w:rsidR="00976F91" w:rsidRDefault="00976F91" w:rsidP="00976F91">
      <w:pPr>
        <w:rPr>
          <w:rFonts w:cs="Tahoma"/>
          <w:szCs w:val="24"/>
        </w:rPr>
      </w:pPr>
    </w:p>
    <w:tbl>
      <w:tblPr>
        <w:tblStyle w:val="TableGrid"/>
        <w:tblW w:w="9214" w:type="dxa"/>
        <w:jc w:val="center"/>
        <w:tblInd w:w="0" w:type="dxa"/>
        <w:tblLook w:val="04A0" w:firstRow="1" w:lastRow="0" w:firstColumn="1" w:lastColumn="0" w:noHBand="0" w:noVBand="1"/>
      </w:tblPr>
      <w:tblGrid>
        <w:gridCol w:w="9214"/>
      </w:tblGrid>
      <w:tr w:rsidR="00976F91" w:rsidRPr="00EE17FF" w:rsidTr="00801947">
        <w:trPr>
          <w:trHeight w:val="2432"/>
          <w:jc w:val="center"/>
        </w:trPr>
        <w:tc>
          <w:tcPr>
            <w:tcW w:w="9214" w:type="dxa"/>
            <w:tcBorders>
              <w:top w:val="single" w:sz="4" w:space="0" w:color="auto"/>
              <w:left w:val="nil"/>
              <w:bottom w:val="single" w:sz="4" w:space="0" w:color="auto"/>
              <w:right w:val="nil"/>
            </w:tcBorders>
            <w:hideMark/>
          </w:tcPr>
          <w:p w:rsidR="00976F91" w:rsidRPr="00EE17FF" w:rsidRDefault="00976F91" w:rsidP="00801947">
            <w:pPr>
              <w:rPr>
                <w:rFonts w:cs="Tahoma"/>
                <w:b/>
                <w:bCs/>
                <w:szCs w:val="24"/>
              </w:rPr>
            </w:pPr>
            <w:r w:rsidRPr="00EE17FF">
              <w:rPr>
                <w:rFonts w:cs="Tahoma"/>
                <w:b/>
                <w:bCs/>
                <w:szCs w:val="24"/>
              </w:rPr>
              <w:t>Datos sociodemográficos</w:t>
            </w:r>
          </w:p>
          <w:p w:rsidR="00976F91" w:rsidRPr="00EE17FF" w:rsidRDefault="00976F91" w:rsidP="00801947">
            <w:pPr>
              <w:rPr>
                <w:rFonts w:cs="Tahoma"/>
                <w:szCs w:val="24"/>
              </w:rPr>
            </w:pPr>
            <w:r w:rsidRPr="00EE17FF">
              <w:rPr>
                <w:rFonts w:cs="Tahoma"/>
                <w:szCs w:val="24"/>
              </w:rPr>
              <w:t>En primer lugar, le rogamos que rellene estos datos sociodemográficos.</w:t>
            </w:r>
          </w:p>
          <w:p w:rsidR="00976F91" w:rsidRPr="00EE17FF" w:rsidRDefault="00976F91" w:rsidP="00801947">
            <w:pPr>
              <w:rPr>
                <w:rFonts w:cs="Tahoma"/>
                <w:szCs w:val="24"/>
              </w:rPr>
            </w:pPr>
            <w:r w:rsidRPr="00EE17FF">
              <w:rPr>
                <w:rFonts w:cs="Tahoma"/>
                <w:b/>
                <w:bCs/>
                <w:szCs w:val="24"/>
              </w:rPr>
              <w:t>Q1</w:t>
            </w:r>
            <w:r w:rsidRPr="00EE17FF">
              <w:rPr>
                <w:rFonts w:cs="Tahoma"/>
                <w:szCs w:val="24"/>
              </w:rPr>
              <w:t xml:space="preserve">. Profesión </w:t>
            </w:r>
          </w:p>
          <w:p w:rsidR="00976F91" w:rsidRPr="00EE17FF" w:rsidRDefault="00976F91" w:rsidP="00801947">
            <w:pPr>
              <w:rPr>
                <w:rFonts w:cs="Tahoma"/>
                <w:szCs w:val="24"/>
              </w:rPr>
            </w:pPr>
            <w:r w:rsidRPr="00EE17FF">
              <w:rPr>
                <w:rFonts w:cs="Tahoma"/>
                <w:b/>
                <w:bCs/>
                <w:szCs w:val="24"/>
              </w:rPr>
              <w:t>Q2.</w:t>
            </w:r>
            <w:r w:rsidRPr="00EE17FF">
              <w:rPr>
                <w:rFonts w:cs="Tahoma"/>
                <w:szCs w:val="24"/>
              </w:rPr>
              <w:t xml:space="preserve"> Sexo</w:t>
            </w:r>
          </w:p>
          <w:p w:rsidR="00976F91" w:rsidRPr="00EE17FF" w:rsidRDefault="00976F91" w:rsidP="00801947">
            <w:pPr>
              <w:rPr>
                <w:rFonts w:cs="Tahoma"/>
                <w:szCs w:val="24"/>
              </w:rPr>
            </w:pPr>
            <w:r w:rsidRPr="00EE17FF">
              <w:rPr>
                <w:rFonts w:cs="Tahoma"/>
                <w:b/>
                <w:bCs/>
                <w:szCs w:val="24"/>
              </w:rPr>
              <w:t>Q3.</w:t>
            </w:r>
            <w:r w:rsidRPr="00EE17FF">
              <w:rPr>
                <w:rFonts w:cs="Tahoma"/>
                <w:szCs w:val="24"/>
              </w:rPr>
              <w:t xml:space="preserve"> Experiencia específica de más de tres meses en trastornos de conducta alimentaria </w:t>
            </w:r>
          </w:p>
          <w:p w:rsidR="00976F91" w:rsidRPr="00EE17FF" w:rsidRDefault="00976F91" w:rsidP="00801947">
            <w:pPr>
              <w:rPr>
                <w:rFonts w:cs="Tahoma"/>
                <w:szCs w:val="24"/>
              </w:rPr>
            </w:pPr>
            <w:r w:rsidRPr="00EE17FF">
              <w:rPr>
                <w:rFonts w:cs="Tahoma"/>
                <w:b/>
                <w:bCs/>
                <w:szCs w:val="24"/>
              </w:rPr>
              <w:t>Q4</w:t>
            </w:r>
            <w:r w:rsidRPr="00EE17FF">
              <w:rPr>
                <w:rFonts w:cs="Tahoma"/>
                <w:szCs w:val="24"/>
              </w:rPr>
              <w:t xml:space="preserve">. Número de años completos de experiencia profesional (incluyendo, en su caso, el periodo de formación como Interno/a Residente) </w:t>
            </w:r>
          </w:p>
          <w:p w:rsidR="00976F91" w:rsidRPr="00EE17FF" w:rsidRDefault="00976F91" w:rsidP="00801947">
            <w:pPr>
              <w:rPr>
                <w:rFonts w:cs="Tahoma"/>
                <w:szCs w:val="24"/>
              </w:rPr>
            </w:pPr>
            <w:r w:rsidRPr="00EE17FF">
              <w:rPr>
                <w:rFonts w:cs="Tahoma"/>
                <w:b/>
                <w:bCs/>
                <w:szCs w:val="24"/>
              </w:rPr>
              <w:t>Q5.</w:t>
            </w:r>
            <w:r w:rsidRPr="00EE17FF">
              <w:rPr>
                <w:rFonts w:cs="Tahoma"/>
                <w:szCs w:val="24"/>
              </w:rPr>
              <w:t xml:space="preserve"> Formación de más de 20 horas en Bioética o pertenencia a Comité de Bioética</w:t>
            </w:r>
          </w:p>
          <w:p w:rsidR="00976F91" w:rsidRPr="00EE17FF" w:rsidRDefault="00976F91" w:rsidP="00801947">
            <w:pPr>
              <w:rPr>
                <w:rFonts w:cs="Tahoma"/>
                <w:szCs w:val="24"/>
              </w:rPr>
            </w:pPr>
            <w:r w:rsidRPr="00EE17FF">
              <w:rPr>
                <w:rFonts w:cs="Tahoma"/>
                <w:b/>
                <w:bCs/>
                <w:szCs w:val="24"/>
              </w:rPr>
              <w:t>Q6.</w:t>
            </w:r>
            <w:r w:rsidRPr="00EE17FF">
              <w:rPr>
                <w:rFonts w:cs="Tahoma"/>
                <w:szCs w:val="24"/>
              </w:rPr>
              <w:t xml:space="preserve"> ¿Ha respaldado alguna vez una decisión o solicitud de internamiento no voluntario de un/a paciente mayor de edad por anorexia nerviosa?</w:t>
            </w:r>
          </w:p>
        </w:tc>
      </w:tr>
      <w:tr w:rsidR="00976F91" w:rsidRPr="00EE17FF" w:rsidTr="00801947">
        <w:trPr>
          <w:trHeight w:val="5841"/>
          <w:jc w:val="center"/>
        </w:trPr>
        <w:tc>
          <w:tcPr>
            <w:tcW w:w="9214" w:type="dxa"/>
            <w:tcBorders>
              <w:top w:val="single" w:sz="4" w:space="0" w:color="auto"/>
              <w:left w:val="nil"/>
              <w:bottom w:val="single" w:sz="4" w:space="0" w:color="auto"/>
              <w:right w:val="nil"/>
            </w:tcBorders>
            <w:hideMark/>
          </w:tcPr>
          <w:p w:rsidR="00976F91" w:rsidRPr="00EE17FF" w:rsidRDefault="00976F91" w:rsidP="00801947">
            <w:pPr>
              <w:rPr>
                <w:rFonts w:cs="Tahoma"/>
                <w:b/>
                <w:bCs/>
                <w:szCs w:val="24"/>
              </w:rPr>
            </w:pPr>
            <w:r w:rsidRPr="00EE17FF">
              <w:rPr>
                <w:rFonts w:cs="Tahoma"/>
                <w:b/>
                <w:bCs/>
                <w:szCs w:val="24"/>
              </w:rPr>
              <w:t>Viñeta</w:t>
            </w:r>
          </w:p>
          <w:p w:rsidR="00976F91" w:rsidRPr="00EE17FF" w:rsidRDefault="00976F91" w:rsidP="00801947">
            <w:pPr>
              <w:rPr>
                <w:rFonts w:cs="Tahoma"/>
                <w:szCs w:val="24"/>
              </w:rPr>
            </w:pPr>
            <w:r w:rsidRPr="00EE17FF">
              <w:rPr>
                <w:rFonts w:cs="Tahoma"/>
                <w:szCs w:val="24"/>
              </w:rPr>
              <w:t>Se le va a plantear una viñeta narrando un caso clínico. A continuación, se realizarán una serie de afirmaciones con respecto al caso descrito. Indique su grado de acuerdo con las mismas, según una gradación que va desde 0, totalmente en desacuerdo, hasta 10, totalmente de acuerdo.</w:t>
            </w:r>
          </w:p>
          <w:p w:rsidR="00976F91" w:rsidRPr="00EE17FF" w:rsidRDefault="00976F91" w:rsidP="00801947">
            <w:pPr>
              <w:rPr>
                <w:rFonts w:cs="Tahoma"/>
                <w:szCs w:val="24"/>
              </w:rPr>
            </w:pPr>
            <w:r>
              <w:rPr>
                <w:rFonts w:cs="Tahoma"/>
                <w:szCs w:val="24"/>
              </w:rPr>
              <w:t>«</w:t>
            </w:r>
            <w:r w:rsidRPr="00EE17FF">
              <w:rPr>
                <w:rFonts w:cs="Tahoma"/>
                <w:szCs w:val="24"/>
              </w:rPr>
              <w:t>Sandra tiene 18 años y está siendo tratada ambulatoriamente por anorexia nerviosa. Sandra se niega a subir de peso porque cree que está demasiado gorda. Entiende, al menos intelectualmente, que si continúa perdiendo peso puede poner en riesgo su salud y su vida. A pesar del tratamiento psicológico ambulatorio y el asesoramiento dietético, sigue perdiendo peso, que se sitúa en el 75% del peso esperable, con síntomas físicos asociados. Los exámenes médicos sugieren que su situación es grave desde el punto de vista médico, pero aún no es potencialmente mortal. Ella se opone a la recomendación de la facultativa de ingresar en el hospital. Su padre y su madre creen que ya no pueden cuidarla en casa y piden que la ingresen en el hospital</w:t>
            </w:r>
            <w:r>
              <w:rPr>
                <w:rFonts w:cs="Tahoma"/>
                <w:szCs w:val="24"/>
              </w:rPr>
              <w:t>.»</w:t>
            </w:r>
          </w:p>
          <w:p w:rsidR="00976F91" w:rsidRPr="00EE17FF" w:rsidRDefault="00976F91" w:rsidP="00801947">
            <w:pPr>
              <w:rPr>
                <w:rFonts w:cs="Tahoma"/>
                <w:szCs w:val="24"/>
              </w:rPr>
            </w:pPr>
            <w:r w:rsidRPr="00EE17FF">
              <w:rPr>
                <w:rFonts w:cs="Tahoma"/>
                <w:b/>
                <w:bCs/>
                <w:szCs w:val="24"/>
              </w:rPr>
              <w:lastRenderedPageBreak/>
              <w:t>Q7.</w:t>
            </w:r>
            <w:r w:rsidRPr="00EE17FF">
              <w:rPr>
                <w:rFonts w:cs="Tahoma"/>
                <w:szCs w:val="24"/>
              </w:rPr>
              <w:t xml:space="preserve"> </w:t>
            </w:r>
            <w:r>
              <w:rPr>
                <w:rFonts w:cs="Tahoma"/>
                <w:szCs w:val="24"/>
              </w:rPr>
              <w:t>«</w:t>
            </w:r>
            <w:r w:rsidRPr="00EE17FF">
              <w:rPr>
                <w:rFonts w:cs="Tahoma"/>
                <w:szCs w:val="24"/>
              </w:rPr>
              <w:t>Aunque Sandra parece intelectualmente capaz de comprender los riesgos, el hecho de que tenga anorexia nerviosa significa que su capacidad para rechazar el tratamiento puede estar comprometida</w:t>
            </w:r>
            <w:r>
              <w:rPr>
                <w:rFonts w:cs="Tahoma"/>
                <w:szCs w:val="24"/>
              </w:rPr>
              <w:t>.»</w:t>
            </w:r>
          </w:p>
          <w:p w:rsidR="00976F91" w:rsidRPr="00EE17FF" w:rsidRDefault="00976F91" w:rsidP="00801947">
            <w:pPr>
              <w:rPr>
                <w:rFonts w:cs="Tahoma"/>
                <w:szCs w:val="24"/>
                <w:vertAlign w:val="superscript"/>
              </w:rPr>
            </w:pPr>
            <w:r w:rsidRPr="00EE17FF">
              <w:rPr>
                <w:rFonts w:cs="Tahoma"/>
                <w:b/>
                <w:bCs/>
                <w:szCs w:val="24"/>
              </w:rPr>
              <w:t>Q8.</w:t>
            </w:r>
            <w:r w:rsidRPr="00EE17FF">
              <w:rPr>
                <w:rFonts w:cs="Tahoma"/>
                <w:szCs w:val="24"/>
              </w:rPr>
              <w:t xml:space="preserve"> </w:t>
            </w:r>
            <w:r>
              <w:rPr>
                <w:rFonts w:cs="Tahoma"/>
                <w:szCs w:val="24"/>
              </w:rPr>
              <w:t>«</w:t>
            </w:r>
            <w:r w:rsidRPr="00EE17FF">
              <w:rPr>
                <w:rFonts w:cs="Tahoma"/>
                <w:szCs w:val="24"/>
              </w:rPr>
              <w:t>Dado que el art. 763 de la Ley de Enjuiciamento Civil (art. 763 LEC) contempla la posibilidad de internamiento no voluntario por razón de trastorno psíquico, debería utilizarse al estar Sandra en grave peligro</w:t>
            </w:r>
            <w:r>
              <w:rPr>
                <w:rFonts w:cs="Tahoma"/>
                <w:szCs w:val="24"/>
              </w:rPr>
              <w:t>.»</w:t>
            </w:r>
            <w:r w:rsidRPr="00EE17FF">
              <w:rPr>
                <w:rFonts w:cs="Tahoma"/>
                <w:szCs w:val="24"/>
              </w:rPr>
              <w:t xml:space="preserve"> </w:t>
            </w:r>
          </w:p>
          <w:p w:rsidR="00976F91" w:rsidRPr="00EE17FF" w:rsidRDefault="00976F91" w:rsidP="00801947">
            <w:pPr>
              <w:rPr>
                <w:rFonts w:cs="Tahoma"/>
                <w:szCs w:val="24"/>
              </w:rPr>
            </w:pPr>
            <w:r w:rsidRPr="00EE17FF">
              <w:rPr>
                <w:rFonts w:cs="Tahoma"/>
                <w:b/>
                <w:bCs/>
                <w:szCs w:val="24"/>
              </w:rPr>
              <w:t>Q9.</w:t>
            </w:r>
            <w:r w:rsidRPr="00EE17FF">
              <w:rPr>
                <w:rFonts w:cs="Tahoma"/>
                <w:szCs w:val="24"/>
              </w:rPr>
              <w:t xml:space="preserve"> </w:t>
            </w:r>
            <w:r>
              <w:rPr>
                <w:rFonts w:cs="Tahoma"/>
                <w:szCs w:val="24"/>
              </w:rPr>
              <w:t>«</w:t>
            </w:r>
            <w:r w:rsidRPr="00EE17FF">
              <w:rPr>
                <w:rFonts w:cs="Tahoma"/>
                <w:szCs w:val="24"/>
              </w:rPr>
              <w:t>Dado el daño que la medida puede acarrear en la alianza terapéutica</w:t>
            </w:r>
            <w:r>
              <w:rPr>
                <w:rFonts w:cs="Tahoma"/>
                <w:szCs w:val="24"/>
              </w:rPr>
              <w:t>,</w:t>
            </w:r>
            <w:r w:rsidRPr="00EE17FF">
              <w:rPr>
                <w:rFonts w:cs="Tahoma"/>
                <w:szCs w:val="24"/>
              </w:rPr>
              <w:t xml:space="preserve"> puede ser preferible aguardar</w:t>
            </w:r>
            <w:r>
              <w:rPr>
                <w:rFonts w:cs="Tahoma"/>
                <w:szCs w:val="24"/>
              </w:rPr>
              <w:t>.»</w:t>
            </w:r>
            <w:r w:rsidRPr="00EE17FF">
              <w:rPr>
                <w:rFonts w:cs="Tahoma"/>
                <w:szCs w:val="24"/>
              </w:rPr>
              <w:t xml:space="preserve"> (I)</w:t>
            </w:r>
          </w:p>
          <w:p w:rsidR="00976F91" w:rsidRPr="00EE17FF" w:rsidRDefault="00976F91" w:rsidP="00801947">
            <w:pPr>
              <w:rPr>
                <w:rFonts w:cs="Tahoma"/>
                <w:szCs w:val="24"/>
              </w:rPr>
            </w:pPr>
            <w:r w:rsidRPr="00EE17FF">
              <w:rPr>
                <w:rFonts w:cs="Tahoma"/>
                <w:b/>
                <w:bCs/>
                <w:szCs w:val="24"/>
              </w:rPr>
              <w:t>Q11.</w:t>
            </w:r>
            <w:r w:rsidRPr="00EE17FF">
              <w:rPr>
                <w:rFonts w:cs="Tahoma"/>
                <w:szCs w:val="24"/>
              </w:rPr>
              <w:t xml:space="preserve"> </w:t>
            </w:r>
            <w:r>
              <w:rPr>
                <w:rFonts w:cs="Tahoma"/>
                <w:szCs w:val="24"/>
              </w:rPr>
              <w:t>«</w:t>
            </w:r>
            <w:r w:rsidRPr="00EE17FF">
              <w:rPr>
                <w:rFonts w:cs="Tahoma"/>
                <w:szCs w:val="24"/>
              </w:rPr>
              <w:t>Ya que Sandra parece entender los riesgos, su rechazo al tratamiento debe ser respetado en última instancia y determinar la decisión terapéutica final</w:t>
            </w:r>
            <w:r>
              <w:rPr>
                <w:rFonts w:cs="Tahoma"/>
                <w:szCs w:val="24"/>
              </w:rPr>
              <w:t xml:space="preserve">.» </w:t>
            </w:r>
            <w:r w:rsidRPr="00EE17FF">
              <w:rPr>
                <w:rFonts w:cs="Tahoma"/>
                <w:szCs w:val="24"/>
              </w:rPr>
              <w:t>(I)</w:t>
            </w:r>
          </w:p>
          <w:p w:rsidR="00976F91" w:rsidRPr="00EE17FF" w:rsidRDefault="00976F91" w:rsidP="00801947">
            <w:pPr>
              <w:rPr>
                <w:rFonts w:cs="Tahoma"/>
                <w:szCs w:val="24"/>
              </w:rPr>
            </w:pPr>
            <w:r w:rsidRPr="00EE17FF">
              <w:rPr>
                <w:rFonts w:cs="Tahoma"/>
                <w:b/>
                <w:bCs/>
                <w:szCs w:val="24"/>
              </w:rPr>
              <w:t>Q12</w:t>
            </w:r>
            <w:r w:rsidRPr="00723622">
              <w:rPr>
                <w:rFonts w:cs="Tahoma"/>
                <w:b/>
                <w:szCs w:val="24"/>
              </w:rPr>
              <w:t>.</w:t>
            </w:r>
            <w:r w:rsidRPr="00EE17FF">
              <w:rPr>
                <w:rFonts w:cs="Tahoma"/>
                <w:szCs w:val="24"/>
              </w:rPr>
              <w:t xml:space="preserve"> </w:t>
            </w:r>
            <w:r>
              <w:rPr>
                <w:rFonts w:cs="Tahoma"/>
                <w:szCs w:val="24"/>
              </w:rPr>
              <w:t>«</w:t>
            </w:r>
            <w:r w:rsidRPr="00EE17FF">
              <w:rPr>
                <w:rFonts w:cs="Tahoma"/>
                <w:szCs w:val="24"/>
              </w:rPr>
              <w:t>Dado que Sandra es joven y sin antecedentes en el trastorno, el equipo que la trata debería mostrarse más abierto a forzar un tratamiento involuntario</w:t>
            </w:r>
            <w:r>
              <w:rPr>
                <w:rFonts w:cs="Tahoma"/>
                <w:szCs w:val="24"/>
              </w:rPr>
              <w:t>.»</w:t>
            </w:r>
          </w:p>
          <w:p w:rsidR="00976F91" w:rsidRPr="00EE17FF" w:rsidRDefault="00976F91" w:rsidP="00801947">
            <w:pPr>
              <w:rPr>
                <w:rFonts w:cs="Tahoma"/>
                <w:szCs w:val="24"/>
              </w:rPr>
            </w:pPr>
            <w:r w:rsidRPr="00EE17FF">
              <w:rPr>
                <w:rFonts w:cs="Tahoma"/>
                <w:b/>
                <w:bCs/>
                <w:szCs w:val="24"/>
              </w:rPr>
              <w:t>Q13.</w:t>
            </w:r>
            <w:r w:rsidRPr="00EE17FF">
              <w:rPr>
                <w:rFonts w:cs="Tahoma"/>
                <w:szCs w:val="24"/>
              </w:rPr>
              <w:t xml:space="preserve"> </w:t>
            </w:r>
            <w:r>
              <w:rPr>
                <w:rFonts w:cs="Tahoma"/>
                <w:szCs w:val="24"/>
              </w:rPr>
              <w:t>«</w:t>
            </w:r>
            <w:r w:rsidRPr="00EE17FF">
              <w:rPr>
                <w:rFonts w:cs="Tahoma"/>
                <w:szCs w:val="24"/>
              </w:rPr>
              <w:t>Para que Sandra tome cierta conciencia de la gravedad de su situación, puede ser apropiado forzar el internamiento</w:t>
            </w:r>
            <w:r>
              <w:rPr>
                <w:rFonts w:cs="Tahoma"/>
                <w:szCs w:val="24"/>
              </w:rPr>
              <w:t>.»</w:t>
            </w:r>
          </w:p>
          <w:p w:rsidR="00976F91" w:rsidRPr="00EE17FF" w:rsidRDefault="00976F91" w:rsidP="00801947">
            <w:pPr>
              <w:rPr>
                <w:rFonts w:cs="Tahoma"/>
                <w:szCs w:val="24"/>
              </w:rPr>
            </w:pPr>
            <w:r w:rsidRPr="00EE17FF">
              <w:rPr>
                <w:rFonts w:cs="Tahoma"/>
                <w:b/>
                <w:bCs/>
                <w:szCs w:val="24"/>
              </w:rPr>
              <w:t>Q14.</w:t>
            </w:r>
            <w:r w:rsidRPr="00EE17FF">
              <w:rPr>
                <w:rFonts w:cs="Tahoma"/>
                <w:szCs w:val="24"/>
              </w:rPr>
              <w:t xml:space="preserve"> </w:t>
            </w:r>
            <w:r>
              <w:rPr>
                <w:rFonts w:cs="Tahoma"/>
                <w:szCs w:val="24"/>
              </w:rPr>
              <w:t>«</w:t>
            </w:r>
            <w:r w:rsidRPr="00EE17FF">
              <w:rPr>
                <w:rFonts w:cs="Tahoma"/>
                <w:szCs w:val="24"/>
              </w:rPr>
              <w:t>Conviene forzar el ingreso para alcanzar un estado nutricional que favorezca la mejora psicopatológica</w:t>
            </w:r>
            <w:r>
              <w:rPr>
                <w:rFonts w:cs="Tahoma"/>
                <w:szCs w:val="24"/>
              </w:rPr>
              <w:t>.»</w:t>
            </w:r>
          </w:p>
          <w:p w:rsidR="00976F91" w:rsidRPr="00EE17FF" w:rsidRDefault="00976F91" w:rsidP="00801947">
            <w:pPr>
              <w:rPr>
                <w:rFonts w:cs="Tahoma"/>
                <w:szCs w:val="24"/>
              </w:rPr>
            </w:pPr>
            <w:r w:rsidRPr="00EE17FF">
              <w:rPr>
                <w:rFonts w:cs="Tahoma"/>
                <w:b/>
                <w:bCs/>
                <w:szCs w:val="24"/>
              </w:rPr>
              <w:t>Q15.</w:t>
            </w:r>
            <w:r w:rsidRPr="00EE17FF">
              <w:rPr>
                <w:rFonts w:cs="Tahoma"/>
                <w:szCs w:val="24"/>
              </w:rPr>
              <w:t xml:space="preserve"> </w:t>
            </w:r>
            <w:r>
              <w:rPr>
                <w:rFonts w:cs="Tahoma"/>
                <w:szCs w:val="24"/>
              </w:rPr>
              <w:t>«</w:t>
            </w:r>
            <w:r w:rsidRPr="00EE17FF">
              <w:rPr>
                <w:rFonts w:cs="Tahoma"/>
                <w:szCs w:val="24"/>
              </w:rPr>
              <w:t>Si en lugar de 18 años, Sandra hubiese alcanzado ya los 40 tras un curso crónico del trastorno y un historial de sucesivos internamientos previos, el equipo que la trata debería mostrarse más favorable a forzar un nuevo tratamiento involuntario</w:t>
            </w:r>
            <w:r>
              <w:rPr>
                <w:rFonts w:cs="Tahoma"/>
                <w:szCs w:val="24"/>
              </w:rPr>
              <w:t>.»</w:t>
            </w:r>
          </w:p>
        </w:tc>
      </w:tr>
      <w:tr w:rsidR="00976F91" w:rsidRPr="00EE17FF" w:rsidTr="00801947">
        <w:trPr>
          <w:trHeight w:val="3160"/>
          <w:jc w:val="center"/>
        </w:trPr>
        <w:tc>
          <w:tcPr>
            <w:tcW w:w="9214" w:type="dxa"/>
            <w:tcBorders>
              <w:top w:val="single" w:sz="4" w:space="0" w:color="auto"/>
              <w:left w:val="nil"/>
              <w:bottom w:val="single" w:sz="4" w:space="0" w:color="auto"/>
              <w:right w:val="nil"/>
            </w:tcBorders>
            <w:hideMark/>
          </w:tcPr>
          <w:p w:rsidR="00976F91" w:rsidRPr="00EE17FF" w:rsidRDefault="00976F91" w:rsidP="00801947">
            <w:pPr>
              <w:rPr>
                <w:rFonts w:cs="Tahoma"/>
                <w:b/>
                <w:bCs/>
                <w:szCs w:val="24"/>
              </w:rPr>
            </w:pPr>
            <w:r w:rsidRPr="00EE17FF">
              <w:rPr>
                <w:rFonts w:cs="Tahoma"/>
                <w:b/>
                <w:bCs/>
                <w:szCs w:val="24"/>
              </w:rPr>
              <w:lastRenderedPageBreak/>
              <w:t>Elección y responsabilidad</w:t>
            </w:r>
          </w:p>
          <w:p w:rsidR="00976F91" w:rsidRPr="00EE17FF" w:rsidRDefault="00976F91" w:rsidP="00801947">
            <w:pPr>
              <w:rPr>
                <w:rFonts w:cs="Tahoma"/>
                <w:szCs w:val="24"/>
              </w:rPr>
            </w:pPr>
            <w:r w:rsidRPr="00EE17FF">
              <w:rPr>
                <w:rFonts w:cs="Tahoma"/>
                <w:szCs w:val="24"/>
              </w:rPr>
              <w:t xml:space="preserve">A continuación, se realizarán una serie de afirmaciones </w:t>
            </w:r>
            <w:r>
              <w:rPr>
                <w:rFonts w:cs="Tahoma"/>
                <w:szCs w:val="24"/>
              </w:rPr>
              <w:t>sobre</w:t>
            </w:r>
            <w:r w:rsidRPr="00EE17FF">
              <w:rPr>
                <w:rFonts w:cs="Tahoma"/>
                <w:szCs w:val="24"/>
              </w:rPr>
              <w:t xml:space="preserve"> aspectos relativos a la capacidad de elección y responsabilidad </w:t>
            </w:r>
            <w:r>
              <w:rPr>
                <w:rFonts w:cs="Tahoma"/>
                <w:szCs w:val="24"/>
              </w:rPr>
              <w:t>de los</w:t>
            </w:r>
            <w:r w:rsidRPr="00EE17FF">
              <w:rPr>
                <w:rFonts w:cs="Tahoma"/>
                <w:szCs w:val="24"/>
              </w:rPr>
              <w:t xml:space="preserve"> pacientes con anorexia nerviosa. Indique su grado de acuerdo con las mismas, según una gradación que va desde 0, totalmente en desacuerdo, hasta 10, totalmente de acuerdo.</w:t>
            </w:r>
          </w:p>
          <w:p w:rsidR="00976F91" w:rsidRPr="00EE17FF" w:rsidRDefault="00976F91" w:rsidP="00801947">
            <w:pPr>
              <w:rPr>
                <w:rFonts w:cs="Tahoma"/>
                <w:szCs w:val="24"/>
              </w:rPr>
            </w:pPr>
            <w:r w:rsidRPr="00EE17FF">
              <w:rPr>
                <w:rFonts w:cs="Tahoma"/>
                <w:b/>
                <w:bCs/>
                <w:szCs w:val="24"/>
              </w:rPr>
              <w:t xml:space="preserve">Q16. </w:t>
            </w:r>
            <w:r>
              <w:rPr>
                <w:rFonts w:cs="Tahoma"/>
                <w:szCs w:val="24"/>
              </w:rPr>
              <w:t>«</w:t>
            </w:r>
            <w:r w:rsidRPr="00EE17FF">
              <w:rPr>
                <w:rFonts w:cs="Tahoma"/>
                <w:szCs w:val="24"/>
              </w:rPr>
              <w:t>El rechazo de los/las pacientes con anorexia nerviosa al tratamiento puede deberse al propio estado psicopatológico y, por lo tanto, diferir de sus genuinos deseos</w:t>
            </w:r>
            <w:r>
              <w:rPr>
                <w:rFonts w:cs="Tahoma"/>
                <w:szCs w:val="24"/>
              </w:rPr>
              <w:t>.»</w:t>
            </w:r>
          </w:p>
          <w:p w:rsidR="00976F91" w:rsidRPr="00EE17FF" w:rsidRDefault="00976F91" w:rsidP="00801947">
            <w:pPr>
              <w:rPr>
                <w:rFonts w:cs="Tahoma"/>
                <w:szCs w:val="24"/>
              </w:rPr>
            </w:pPr>
            <w:r w:rsidRPr="00EE17FF">
              <w:rPr>
                <w:rFonts w:cs="Tahoma"/>
                <w:b/>
                <w:bCs/>
                <w:szCs w:val="24"/>
              </w:rPr>
              <w:t>Q17.</w:t>
            </w:r>
            <w:r w:rsidRPr="00EE17FF">
              <w:rPr>
                <w:rFonts w:cs="Tahoma"/>
                <w:szCs w:val="24"/>
              </w:rPr>
              <w:t xml:space="preserve"> </w:t>
            </w:r>
            <w:r>
              <w:rPr>
                <w:rFonts w:cs="Tahoma"/>
                <w:szCs w:val="24"/>
              </w:rPr>
              <w:t>«</w:t>
            </w:r>
            <w:r w:rsidRPr="00EE17FF">
              <w:rPr>
                <w:rFonts w:cs="Tahoma"/>
                <w:szCs w:val="24"/>
              </w:rPr>
              <w:t>Los/las pacientes con anorexia nerviosa están en condiciones de controlar su propia dieta, ejercicio y conductas de purga</w:t>
            </w:r>
            <w:r>
              <w:rPr>
                <w:rFonts w:cs="Tahoma"/>
                <w:szCs w:val="24"/>
              </w:rPr>
              <w:t>.»</w:t>
            </w:r>
            <w:r w:rsidRPr="00EE17FF">
              <w:rPr>
                <w:rFonts w:cs="Tahoma"/>
                <w:szCs w:val="24"/>
              </w:rPr>
              <w:t xml:space="preserve"> (I)</w:t>
            </w:r>
          </w:p>
          <w:p w:rsidR="00976F91" w:rsidRPr="00EE17FF" w:rsidRDefault="00976F91" w:rsidP="00801947">
            <w:pPr>
              <w:rPr>
                <w:rFonts w:cs="Tahoma"/>
                <w:szCs w:val="24"/>
              </w:rPr>
            </w:pPr>
            <w:r w:rsidRPr="00EE17FF">
              <w:rPr>
                <w:rFonts w:cs="Tahoma"/>
                <w:b/>
                <w:bCs/>
                <w:szCs w:val="24"/>
              </w:rPr>
              <w:t>Q18.</w:t>
            </w:r>
            <w:r w:rsidRPr="00EE17FF">
              <w:rPr>
                <w:rFonts w:cs="Tahoma"/>
                <w:szCs w:val="24"/>
              </w:rPr>
              <w:t xml:space="preserve"> </w:t>
            </w:r>
            <w:r>
              <w:rPr>
                <w:rFonts w:cs="Tahoma"/>
                <w:szCs w:val="24"/>
              </w:rPr>
              <w:t>«</w:t>
            </w:r>
            <w:r w:rsidRPr="00EE17FF">
              <w:rPr>
                <w:rFonts w:cs="Tahoma"/>
                <w:szCs w:val="24"/>
              </w:rPr>
              <w:t>Algunos/as pacientes con anorexia nerviosa desean ser ayudados/as aunque manifiesten rechazo</w:t>
            </w:r>
            <w:r>
              <w:rPr>
                <w:rFonts w:cs="Tahoma"/>
                <w:szCs w:val="24"/>
              </w:rPr>
              <w:t>.»</w:t>
            </w:r>
          </w:p>
          <w:p w:rsidR="00976F91" w:rsidRPr="00EE17FF" w:rsidRDefault="00976F91" w:rsidP="00801947">
            <w:pPr>
              <w:rPr>
                <w:rFonts w:cs="Tahoma"/>
                <w:szCs w:val="24"/>
              </w:rPr>
            </w:pPr>
            <w:r w:rsidRPr="00EE17FF">
              <w:rPr>
                <w:rFonts w:cs="Tahoma"/>
                <w:b/>
                <w:bCs/>
                <w:szCs w:val="24"/>
              </w:rPr>
              <w:lastRenderedPageBreak/>
              <w:t>Q19.</w:t>
            </w:r>
            <w:r w:rsidRPr="00EE17FF">
              <w:rPr>
                <w:rFonts w:cs="Tahoma"/>
                <w:szCs w:val="24"/>
              </w:rPr>
              <w:t xml:space="preserve"> </w:t>
            </w:r>
            <w:r>
              <w:rPr>
                <w:rFonts w:cs="Tahoma"/>
                <w:szCs w:val="24"/>
              </w:rPr>
              <w:t>«</w:t>
            </w:r>
            <w:r w:rsidRPr="00EE17FF">
              <w:rPr>
                <w:rFonts w:cs="Tahoma"/>
                <w:szCs w:val="24"/>
              </w:rPr>
              <w:t xml:space="preserve">Los/las pacientes con anorexia nerviosa presentan dificultades de tipo emocional, distintas </w:t>
            </w:r>
            <w:r>
              <w:rPr>
                <w:rFonts w:cs="Tahoma"/>
                <w:szCs w:val="24"/>
              </w:rPr>
              <w:t>de los</w:t>
            </w:r>
            <w:r w:rsidRPr="00EE17FF">
              <w:rPr>
                <w:rFonts w:cs="Tahoma"/>
                <w:szCs w:val="24"/>
              </w:rPr>
              <w:t xml:space="preserve"> problemas de razonamiento, que condicionan su toma de decisiones de tratamiento</w:t>
            </w:r>
            <w:r>
              <w:rPr>
                <w:rFonts w:cs="Tahoma"/>
                <w:szCs w:val="24"/>
              </w:rPr>
              <w:t>.»</w:t>
            </w:r>
          </w:p>
          <w:p w:rsidR="00976F91" w:rsidRPr="00EE17FF" w:rsidRDefault="00976F91" w:rsidP="00801947">
            <w:pPr>
              <w:rPr>
                <w:rFonts w:cs="Tahoma"/>
                <w:szCs w:val="24"/>
              </w:rPr>
            </w:pPr>
            <w:r w:rsidRPr="00EE17FF">
              <w:rPr>
                <w:rFonts w:cs="Tahoma"/>
                <w:b/>
                <w:bCs/>
                <w:szCs w:val="24"/>
              </w:rPr>
              <w:t>Q20.</w:t>
            </w:r>
            <w:r w:rsidRPr="00EE17FF">
              <w:rPr>
                <w:rFonts w:cs="Tahoma"/>
                <w:szCs w:val="24"/>
              </w:rPr>
              <w:t xml:space="preserve"> </w:t>
            </w:r>
            <w:r>
              <w:rPr>
                <w:rFonts w:cs="Tahoma"/>
                <w:szCs w:val="24"/>
              </w:rPr>
              <w:t>«</w:t>
            </w:r>
            <w:r w:rsidRPr="00EE17FF">
              <w:rPr>
                <w:rFonts w:cs="Tahoma"/>
                <w:szCs w:val="24"/>
              </w:rPr>
              <w:t>Aun en el caso de tener deseos de curación, el hecho de padecer anorexia nerviosa supone una merma de la capacidad del/de la paciente para hacerse cargo de su propio cuidado.</w:t>
            </w:r>
            <w:r>
              <w:rPr>
                <w:rFonts w:cs="Tahoma"/>
                <w:szCs w:val="24"/>
              </w:rPr>
              <w:t>»</w:t>
            </w:r>
          </w:p>
        </w:tc>
      </w:tr>
      <w:tr w:rsidR="00976F91" w:rsidRPr="00EE17FF" w:rsidTr="00801947">
        <w:trPr>
          <w:trHeight w:val="976"/>
          <w:jc w:val="center"/>
        </w:trPr>
        <w:tc>
          <w:tcPr>
            <w:tcW w:w="9214" w:type="dxa"/>
            <w:tcBorders>
              <w:top w:val="single" w:sz="4" w:space="0" w:color="auto"/>
              <w:left w:val="nil"/>
              <w:bottom w:val="single" w:sz="4" w:space="0" w:color="auto"/>
              <w:right w:val="nil"/>
            </w:tcBorders>
            <w:hideMark/>
          </w:tcPr>
          <w:p w:rsidR="00976F91" w:rsidRPr="00EE17FF" w:rsidRDefault="00976F91" w:rsidP="00801947">
            <w:pPr>
              <w:rPr>
                <w:rFonts w:cs="Tahoma"/>
                <w:b/>
                <w:bCs/>
                <w:szCs w:val="24"/>
              </w:rPr>
            </w:pPr>
            <w:r w:rsidRPr="00EE17FF">
              <w:rPr>
                <w:rFonts w:cs="Tahoma"/>
                <w:b/>
                <w:bCs/>
                <w:szCs w:val="24"/>
              </w:rPr>
              <w:lastRenderedPageBreak/>
              <w:t>Decisiones de tratamiento en anorexia nerviosa</w:t>
            </w:r>
          </w:p>
          <w:p w:rsidR="00976F91" w:rsidRPr="00EE17FF" w:rsidRDefault="00976F91" w:rsidP="00801947">
            <w:pPr>
              <w:rPr>
                <w:rFonts w:cs="Tahoma"/>
                <w:szCs w:val="24"/>
              </w:rPr>
            </w:pPr>
            <w:r w:rsidRPr="00EE17FF">
              <w:rPr>
                <w:rFonts w:cs="Tahoma"/>
                <w:szCs w:val="24"/>
              </w:rPr>
              <w:t xml:space="preserve">A continuación, se realizarán una serie de afirmaciones </w:t>
            </w:r>
            <w:r>
              <w:rPr>
                <w:rFonts w:cs="Tahoma"/>
                <w:szCs w:val="24"/>
              </w:rPr>
              <w:t xml:space="preserve">sobre </w:t>
            </w:r>
            <w:r w:rsidRPr="00EE17FF">
              <w:rPr>
                <w:rFonts w:cs="Tahoma"/>
                <w:szCs w:val="24"/>
              </w:rPr>
              <w:t>aspectos relativos a decisiones de tratamiento en anorexia nerviosa. Indique su grado de acuerdo con las mismas, según una gradación que va desde 0, totalmente en desacuerdo, hasta 10, totalmente de acuerdo.</w:t>
            </w:r>
          </w:p>
          <w:p w:rsidR="00976F91" w:rsidRPr="00EE17FF" w:rsidRDefault="00976F91" w:rsidP="00801947">
            <w:pPr>
              <w:rPr>
                <w:rFonts w:cs="Tahoma"/>
                <w:szCs w:val="24"/>
              </w:rPr>
            </w:pPr>
            <w:r w:rsidRPr="00EE17FF">
              <w:rPr>
                <w:rFonts w:cs="Tahoma"/>
                <w:b/>
                <w:bCs/>
                <w:szCs w:val="24"/>
              </w:rPr>
              <w:t>Q21.</w:t>
            </w:r>
            <w:r w:rsidRPr="00EE17FF">
              <w:rPr>
                <w:rFonts w:cs="Tahoma"/>
                <w:szCs w:val="24"/>
              </w:rPr>
              <w:t xml:space="preserve"> </w:t>
            </w:r>
            <w:r>
              <w:rPr>
                <w:rFonts w:cs="Tahoma"/>
                <w:szCs w:val="24"/>
              </w:rPr>
              <w:t>«</w:t>
            </w:r>
            <w:r w:rsidRPr="00EE17FF">
              <w:rPr>
                <w:rFonts w:cs="Tahoma"/>
                <w:szCs w:val="24"/>
              </w:rPr>
              <w:t>El internamiento involuntario puede ser oportuno aun cuando los/las pacientes con anorexia nerviosa justifiquen de forma razonada su rechazo al ingreso.</w:t>
            </w:r>
            <w:r>
              <w:rPr>
                <w:rFonts w:cs="Tahoma"/>
                <w:szCs w:val="24"/>
              </w:rPr>
              <w:t>»</w:t>
            </w:r>
          </w:p>
          <w:p w:rsidR="00976F91" w:rsidRPr="00EE17FF" w:rsidRDefault="00976F91" w:rsidP="00801947">
            <w:pPr>
              <w:rPr>
                <w:rFonts w:cs="Tahoma"/>
                <w:szCs w:val="24"/>
              </w:rPr>
            </w:pPr>
            <w:r w:rsidRPr="00EE17FF">
              <w:rPr>
                <w:rFonts w:cs="Tahoma"/>
                <w:b/>
                <w:bCs/>
                <w:szCs w:val="24"/>
              </w:rPr>
              <w:t>Q22.</w:t>
            </w:r>
            <w:r w:rsidRPr="00EE17FF">
              <w:rPr>
                <w:rFonts w:cs="Tahoma"/>
                <w:szCs w:val="24"/>
              </w:rPr>
              <w:t xml:space="preserve"> </w:t>
            </w:r>
            <w:r>
              <w:rPr>
                <w:rFonts w:cs="Tahoma"/>
                <w:szCs w:val="24"/>
              </w:rPr>
              <w:t>«</w:t>
            </w:r>
            <w:r w:rsidRPr="00EE17FF">
              <w:rPr>
                <w:rFonts w:cs="Tahoma"/>
                <w:szCs w:val="24"/>
              </w:rPr>
              <w:t>Es inapropiado el empleo de alimentación forzosa de pacientes con anorexia nerviosa</w:t>
            </w:r>
            <w:r>
              <w:rPr>
                <w:rFonts w:cs="Tahoma"/>
                <w:szCs w:val="24"/>
              </w:rPr>
              <w:t>.»</w:t>
            </w:r>
            <w:r w:rsidRPr="00EE17FF">
              <w:rPr>
                <w:rFonts w:cs="Tahoma"/>
                <w:szCs w:val="24"/>
              </w:rPr>
              <w:t xml:space="preserve"> (I)</w:t>
            </w:r>
          </w:p>
          <w:p w:rsidR="00976F91" w:rsidRPr="00EE17FF" w:rsidRDefault="00976F91" w:rsidP="00801947">
            <w:pPr>
              <w:rPr>
                <w:rFonts w:cs="Tahoma"/>
                <w:szCs w:val="24"/>
              </w:rPr>
            </w:pPr>
            <w:r w:rsidRPr="00EE17FF">
              <w:rPr>
                <w:rFonts w:cs="Tahoma"/>
                <w:b/>
                <w:bCs/>
                <w:szCs w:val="24"/>
              </w:rPr>
              <w:t>Q23.</w:t>
            </w:r>
            <w:r w:rsidRPr="00EE17FF">
              <w:rPr>
                <w:rFonts w:cs="Tahoma"/>
                <w:szCs w:val="24"/>
              </w:rPr>
              <w:t xml:space="preserve"> </w:t>
            </w:r>
            <w:r>
              <w:rPr>
                <w:rFonts w:cs="Tahoma"/>
                <w:szCs w:val="24"/>
              </w:rPr>
              <w:t>«</w:t>
            </w:r>
            <w:r w:rsidRPr="00EE17FF">
              <w:rPr>
                <w:rFonts w:cs="Tahoma"/>
                <w:szCs w:val="24"/>
              </w:rPr>
              <w:t>El tratamiento de la anorexia nerviosa contra la voluntad del</w:t>
            </w:r>
            <w:r>
              <w:rPr>
                <w:rFonts w:cs="Tahoma"/>
                <w:szCs w:val="24"/>
              </w:rPr>
              <w:t xml:space="preserve"> </w:t>
            </w:r>
            <w:r w:rsidRPr="00EE17FF">
              <w:rPr>
                <w:rFonts w:cs="Tahoma"/>
                <w:szCs w:val="24"/>
              </w:rPr>
              <w:t>paciente está justificado si es probable que el paciente se recupere y tenga un buen pronóstico después del tratamiento</w:t>
            </w:r>
            <w:r>
              <w:rPr>
                <w:rFonts w:cs="Tahoma"/>
                <w:szCs w:val="24"/>
              </w:rPr>
              <w:t>.»</w:t>
            </w:r>
          </w:p>
          <w:p w:rsidR="00976F91" w:rsidRPr="00EE17FF" w:rsidRDefault="00976F91" w:rsidP="00801947">
            <w:pPr>
              <w:rPr>
                <w:rFonts w:cs="Tahoma"/>
                <w:szCs w:val="24"/>
              </w:rPr>
            </w:pPr>
            <w:r w:rsidRPr="00EE17FF">
              <w:rPr>
                <w:rFonts w:cs="Tahoma"/>
                <w:b/>
                <w:bCs/>
                <w:szCs w:val="24"/>
              </w:rPr>
              <w:t>Q24.</w:t>
            </w:r>
            <w:r w:rsidRPr="00EE17FF">
              <w:rPr>
                <w:rFonts w:cs="Tahoma"/>
                <w:szCs w:val="24"/>
              </w:rPr>
              <w:t xml:space="preserve"> </w:t>
            </w:r>
            <w:r>
              <w:rPr>
                <w:rFonts w:cs="Tahoma"/>
                <w:szCs w:val="24"/>
              </w:rPr>
              <w:t>«</w:t>
            </w:r>
            <w:r w:rsidRPr="00EE17FF">
              <w:rPr>
                <w:rFonts w:cs="Tahoma"/>
                <w:szCs w:val="24"/>
              </w:rPr>
              <w:t>El tratamiento de la anorexia nerviosa contra la voluntad del paciente encuentra normalmente mayor justificación en pacientes crónicos que en pacientes debutantes</w:t>
            </w:r>
            <w:r>
              <w:rPr>
                <w:rFonts w:cs="Tahoma"/>
                <w:szCs w:val="24"/>
              </w:rPr>
              <w:t>.»</w:t>
            </w:r>
          </w:p>
        </w:tc>
      </w:tr>
    </w:tbl>
    <w:p w:rsidR="00976F91" w:rsidRDefault="00976F91" w:rsidP="00976F91">
      <w:pPr>
        <w:rPr>
          <w:rFonts w:cs="Tahoma"/>
          <w:i/>
          <w:iCs/>
          <w:szCs w:val="24"/>
        </w:rPr>
      </w:pPr>
    </w:p>
    <w:p w:rsidR="00976F91" w:rsidRPr="00EE17FF" w:rsidRDefault="00976F91" w:rsidP="00976F91">
      <w:pPr>
        <w:rPr>
          <w:rFonts w:cs="Tahoma"/>
          <w:i/>
          <w:iCs/>
          <w:color w:val="44546A" w:themeColor="text2"/>
          <w:szCs w:val="24"/>
        </w:rPr>
      </w:pPr>
      <w:r w:rsidRPr="00EE17FF">
        <w:rPr>
          <w:rFonts w:cs="Tahoma"/>
          <w:szCs w:val="24"/>
        </w:rPr>
        <w:t>I</w:t>
      </w:r>
      <w:r>
        <w:rPr>
          <w:rFonts w:cs="Tahoma"/>
          <w:szCs w:val="24"/>
        </w:rPr>
        <w:t>:</w:t>
      </w:r>
      <w:r w:rsidRPr="00EE17FF">
        <w:rPr>
          <w:rFonts w:cs="Tahoma"/>
          <w:szCs w:val="24"/>
        </w:rPr>
        <w:t xml:space="preserve"> ítem invertido</w:t>
      </w:r>
      <w:r w:rsidRPr="00EE17FF">
        <w:rPr>
          <w:rFonts w:cs="Tahoma"/>
          <w:i/>
          <w:iCs/>
          <w:color w:val="44546A" w:themeColor="text2"/>
          <w:szCs w:val="24"/>
        </w:rPr>
        <w:t>.</w:t>
      </w:r>
    </w:p>
    <w:p w:rsidR="00976F91" w:rsidRPr="00EE17FF" w:rsidRDefault="00976F91" w:rsidP="00976F91">
      <w:pPr>
        <w:rPr>
          <w:rFonts w:cs="Tahoma"/>
          <w:szCs w:val="24"/>
        </w:rPr>
      </w:pPr>
    </w:p>
    <w:p w:rsidR="00976F91" w:rsidRDefault="00976F91" w:rsidP="00976F91">
      <w:pPr>
        <w:suppressAutoHyphens w:val="0"/>
        <w:spacing w:after="160" w:line="259" w:lineRule="auto"/>
        <w:contextualSpacing w:val="0"/>
        <w:rPr>
          <w:rFonts w:cs="Tahoma"/>
          <w:szCs w:val="24"/>
        </w:rPr>
      </w:pPr>
      <w:r>
        <w:rPr>
          <w:rFonts w:cs="Tahoma"/>
          <w:szCs w:val="24"/>
        </w:rPr>
        <w:br w:type="page"/>
      </w:r>
    </w:p>
    <w:p w:rsidR="00976F91" w:rsidRPr="00CC2DD8" w:rsidRDefault="00976F91" w:rsidP="00976F91">
      <w:pPr>
        <w:rPr>
          <w:rFonts w:cs="Tahoma"/>
          <w:bCs/>
          <w:szCs w:val="24"/>
        </w:rPr>
      </w:pPr>
    </w:p>
    <w:p w:rsidR="00976F91" w:rsidRPr="00CC2DD8" w:rsidRDefault="00976F91" w:rsidP="00976F91">
      <w:pPr>
        <w:rPr>
          <w:rFonts w:cs="Tahoma"/>
          <w:b/>
          <w:bCs/>
          <w:szCs w:val="24"/>
        </w:rPr>
      </w:pPr>
      <w:r w:rsidRPr="00CC2DD8">
        <w:rPr>
          <w:rFonts w:cs="Tahoma"/>
          <w:b/>
          <w:szCs w:val="24"/>
        </w:rPr>
        <w:t>Anexo 2 – Cuestionario de actitudes hacia el internamiento no voluntario y la capacidad en anorexia nerviosa</w:t>
      </w:r>
      <w:r w:rsidRPr="00EE17FF">
        <w:rPr>
          <w:rFonts w:cs="Tahoma"/>
          <w:b/>
          <w:bCs/>
          <w:szCs w:val="24"/>
        </w:rPr>
        <w:t xml:space="preserve"> (ACINOVAN)</w:t>
      </w:r>
    </w:p>
    <w:p w:rsidR="00976F91" w:rsidRPr="00CC2DD8" w:rsidRDefault="00976F91" w:rsidP="00976F91">
      <w:pPr>
        <w:rPr>
          <w:rFonts w:cs="Tahoma"/>
          <w:bCs/>
          <w:szCs w:val="24"/>
        </w:rPr>
      </w:pPr>
    </w:p>
    <w:tbl>
      <w:tblPr>
        <w:tblStyle w:val="TableGrid"/>
        <w:tblW w:w="9214" w:type="dxa"/>
        <w:jc w:val="center"/>
        <w:tblInd w:w="0" w:type="dxa"/>
        <w:tblBorders>
          <w:left w:val="none" w:sz="0" w:space="0" w:color="auto"/>
          <w:right w:val="none" w:sz="0" w:space="0" w:color="auto"/>
        </w:tblBorders>
        <w:tblLook w:val="04A0" w:firstRow="1" w:lastRow="0" w:firstColumn="1" w:lastColumn="0" w:noHBand="0" w:noVBand="1"/>
      </w:tblPr>
      <w:tblGrid>
        <w:gridCol w:w="9214"/>
      </w:tblGrid>
      <w:tr w:rsidR="00976F91" w:rsidRPr="00EE17FF" w:rsidTr="00801947">
        <w:trPr>
          <w:trHeight w:val="1679"/>
          <w:jc w:val="center"/>
        </w:trPr>
        <w:tc>
          <w:tcPr>
            <w:tcW w:w="9214" w:type="dxa"/>
            <w:tcBorders>
              <w:top w:val="single" w:sz="4" w:space="0" w:color="auto"/>
              <w:left w:val="nil"/>
              <w:bottom w:val="single" w:sz="4" w:space="0" w:color="auto"/>
              <w:right w:val="nil"/>
            </w:tcBorders>
          </w:tcPr>
          <w:p w:rsidR="00976F91" w:rsidRPr="00EE17FF" w:rsidRDefault="00976F91" w:rsidP="00801947">
            <w:pPr>
              <w:rPr>
                <w:rFonts w:cs="Tahoma"/>
                <w:szCs w:val="24"/>
              </w:rPr>
            </w:pPr>
            <w:r w:rsidRPr="00EE17FF">
              <w:rPr>
                <w:rFonts w:cs="Tahoma"/>
                <w:b/>
                <w:bCs/>
                <w:szCs w:val="24"/>
              </w:rPr>
              <w:t>Instrucciones</w:t>
            </w:r>
            <w:r w:rsidRPr="00CC2DD8">
              <w:rPr>
                <w:rFonts w:cs="Tahoma"/>
                <w:b/>
                <w:szCs w:val="24"/>
              </w:rPr>
              <w:t>:</w:t>
            </w:r>
            <w:r w:rsidRPr="00EE17FF">
              <w:rPr>
                <w:rFonts w:cs="Tahoma"/>
                <w:szCs w:val="24"/>
              </w:rPr>
              <w:t xml:space="preserve"> A continuación se presentan una viñeta clínica y una serie de afirmaciones y situaciones referidas a la capacidad de los pacientes con anorexia nerviosa </w:t>
            </w:r>
            <w:r>
              <w:rPr>
                <w:rFonts w:cs="Tahoma"/>
                <w:szCs w:val="24"/>
              </w:rPr>
              <w:t xml:space="preserve">y </w:t>
            </w:r>
            <w:r w:rsidRPr="00EE17FF">
              <w:rPr>
                <w:rFonts w:cs="Tahoma"/>
                <w:szCs w:val="24"/>
              </w:rPr>
              <w:t>la toma de determinadas decisiones de tratamiento. Para responder, rodee con un círculo el número que mejor represente su grado de acuerdo con las mismas, según una gradación que va desde 0, totalmente en desacuerdo, hasta 10, totalmente de acuerdo.</w:t>
            </w:r>
            <w:r>
              <w:rPr>
                <w:rFonts w:cs="Tahoma"/>
                <w:szCs w:val="24"/>
              </w:rPr>
              <w:t xml:space="preserve"> </w:t>
            </w:r>
            <w:r w:rsidRPr="00EE17FF">
              <w:rPr>
                <w:rFonts w:cs="Tahoma"/>
                <w:szCs w:val="24"/>
              </w:rPr>
              <w:t xml:space="preserve">No hay respuestas correctas o incorrectas. Lo importante es su </w:t>
            </w:r>
            <w:r>
              <w:rPr>
                <w:rFonts w:cs="Tahoma"/>
                <w:szCs w:val="24"/>
              </w:rPr>
              <w:t xml:space="preserve">sincera </w:t>
            </w:r>
            <w:r w:rsidRPr="00EE17FF">
              <w:rPr>
                <w:rFonts w:cs="Tahoma"/>
                <w:szCs w:val="24"/>
              </w:rPr>
              <w:t>opinión sobre cada una de las cuestiones planteadas.</w:t>
            </w:r>
          </w:p>
        </w:tc>
      </w:tr>
      <w:tr w:rsidR="00976F91" w:rsidRPr="00EE17FF" w:rsidTr="00801947">
        <w:trPr>
          <w:trHeight w:val="1835"/>
          <w:jc w:val="center"/>
        </w:trPr>
        <w:tc>
          <w:tcPr>
            <w:tcW w:w="9214" w:type="dxa"/>
            <w:tcBorders>
              <w:top w:val="single" w:sz="4" w:space="0" w:color="auto"/>
              <w:left w:val="nil"/>
              <w:bottom w:val="single" w:sz="4" w:space="0" w:color="auto"/>
              <w:right w:val="nil"/>
            </w:tcBorders>
          </w:tcPr>
          <w:p w:rsidR="00976F91" w:rsidRPr="00EE17FF" w:rsidRDefault="00976F91" w:rsidP="00801947">
            <w:pPr>
              <w:rPr>
                <w:rFonts w:cs="Tahoma"/>
                <w:b/>
                <w:bCs/>
                <w:szCs w:val="24"/>
              </w:rPr>
            </w:pPr>
            <w:r w:rsidRPr="00EE17FF">
              <w:rPr>
                <w:rFonts w:cs="Tahoma"/>
                <w:b/>
                <w:bCs/>
                <w:szCs w:val="24"/>
              </w:rPr>
              <w:t>Viñeta</w:t>
            </w:r>
          </w:p>
          <w:p w:rsidR="00976F91" w:rsidRPr="00EE17FF" w:rsidRDefault="00976F91" w:rsidP="00801947">
            <w:pPr>
              <w:rPr>
                <w:rFonts w:cs="Tahoma"/>
                <w:szCs w:val="24"/>
              </w:rPr>
            </w:pPr>
            <w:r>
              <w:rPr>
                <w:rFonts w:cs="Tahoma"/>
                <w:szCs w:val="24"/>
              </w:rPr>
              <w:t>«</w:t>
            </w:r>
            <w:r w:rsidRPr="00EE17FF">
              <w:rPr>
                <w:rFonts w:cs="Tahoma"/>
                <w:szCs w:val="24"/>
              </w:rPr>
              <w:t>Sandra tiene 18 años y está siendo tratada ambulatoriamente por anorexia nerviosa. Sandra se niega a subir de peso porque cree que está demasiado gorda. Entiende, al menos intelectualmente, que si continúa perdiendo peso puede poner en riesgo su salud y su vida. A pesar del tratamiento psicológico ambulatorio y el asesoramiento dietético, sigue perdiendo peso, que se sitúa en el 75% del peso esperable, con síntomas físicos asociados. Los exámenes médicos sugieren que su situación es grave desde el punto de vista médico, pero aún no es potencialmente mortal. Ella se opone a la recomendación de la facultativa de ingresar en el hospital. Su padre y su madre creen que ya no pueden cuidarla en casa y piden que la ingresen en el hospital</w:t>
            </w:r>
            <w:r>
              <w:rPr>
                <w:rFonts w:cs="Tahoma"/>
                <w:szCs w:val="24"/>
              </w:rPr>
              <w:t>.»</w:t>
            </w:r>
          </w:p>
          <w:p w:rsidR="00976F91" w:rsidRPr="00EE17FF" w:rsidRDefault="00976F91" w:rsidP="00801947">
            <w:pPr>
              <w:rPr>
                <w:rFonts w:cs="Tahoma"/>
                <w:szCs w:val="24"/>
              </w:rPr>
            </w:pPr>
            <w:r w:rsidRPr="00EE17FF">
              <w:rPr>
                <w:rFonts w:cs="Tahoma"/>
                <w:b/>
                <w:bCs/>
                <w:szCs w:val="24"/>
              </w:rPr>
              <w:t>I.1.</w:t>
            </w:r>
            <w:r w:rsidRPr="00EE17FF">
              <w:rPr>
                <w:rFonts w:cs="Tahoma"/>
                <w:szCs w:val="24"/>
              </w:rPr>
              <w:t xml:space="preserve"> </w:t>
            </w:r>
            <w:r>
              <w:rPr>
                <w:rFonts w:cs="Tahoma"/>
                <w:szCs w:val="24"/>
              </w:rPr>
              <w:t>«</w:t>
            </w:r>
            <w:r w:rsidRPr="00EE17FF">
              <w:rPr>
                <w:rFonts w:cs="Tahoma"/>
                <w:szCs w:val="24"/>
              </w:rPr>
              <w:t>Aunque Sandra parece intelectualmente capaz de comprender los riesgos, el hecho de que tenga anorexia nerviosa significa que su capacidad para rechazar el tratamiento puede estar comprometida</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I.2.</w:t>
            </w:r>
            <w:r w:rsidRPr="00EE17FF">
              <w:rPr>
                <w:rFonts w:cs="Tahoma"/>
                <w:szCs w:val="24"/>
              </w:rPr>
              <w:t xml:space="preserve"> </w:t>
            </w:r>
            <w:r>
              <w:rPr>
                <w:rFonts w:cs="Tahoma"/>
                <w:szCs w:val="24"/>
              </w:rPr>
              <w:t>«</w:t>
            </w:r>
            <w:r w:rsidRPr="00EE17FF">
              <w:rPr>
                <w:rFonts w:cs="Tahoma"/>
                <w:szCs w:val="24"/>
              </w:rPr>
              <w:t>Dado que el art. 763 de la Ley de Enjuiciamento Civil (art. 763 LEC) contempla la posibilidad de internamiento no voluntario por razón de trastorno psíquico, debería utilizarse al estar Sandra en grave peligro</w:t>
            </w:r>
            <w:r>
              <w:rPr>
                <w:rFonts w:cs="Tahoma"/>
                <w:szCs w:val="24"/>
              </w:rPr>
              <w:t>.»</w:t>
            </w:r>
            <w:r w:rsidRPr="00EE17FF">
              <w:rPr>
                <w:rFonts w:cs="Tahoma"/>
                <w:szCs w:val="24"/>
              </w:rPr>
              <w:t xml:space="preserve"> </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vertAlign w:val="superscript"/>
              </w:rPr>
            </w:pPr>
          </w:p>
          <w:p w:rsidR="00976F91" w:rsidRPr="00EE17FF" w:rsidRDefault="00976F91" w:rsidP="00801947">
            <w:pPr>
              <w:rPr>
                <w:rFonts w:cs="Tahoma"/>
                <w:szCs w:val="24"/>
              </w:rPr>
            </w:pPr>
            <w:r w:rsidRPr="00EE17FF">
              <w:rPr>
                <w:rFonts w:cs="Tahoma"/>
                <w:b/>
                <w:bCs/>
                <w:szCs w:val="24"/>
              </w:rPr>
              <w:t>I.3.</w:t>
            </w:r>
            <w:r w:rsidRPr="00EE17FF">
              <w:rPr>
                <w:rFonts w:cs="Tahoma"/>
                <w:szCs w:val="24"/>
              </w:rPr>
              <w:t xml:space="preserve"> </w:t>
            </w:r>
            <w:r>
              <w:rPr>
                <w:rFonts w:cs="Tahoma"/>
                <w:szCs w:val="24"/>
              </w:rPr>
              <w:t>«</w:t>
            </w:r>
            <w:r w:rsidRPr="00EE17FF">
              <w:rPr>
                <w:rFonts w:cs="Tahoma"/>
                <w:szCs w:val="24"/>
              </w:rPr>
              <w:t>Dado el daño que la medida puede acarrear en la alianza terapéutica puede ser preferible aguardar</w:t>
            </w:r>
            <w:r>
              <w:rPr>
                <w:rFonts w:cs="Tahoma"/>
                <w:szCs w:val="24"/>
              </w:rPr>
              <w:t>.»</w:t>
            </w:r>
            <w:r w:rsidRPr="00EE17FF">
              <w:rPr>
                <w:rFonts w:cs="Tahoma"/>
                <w:szCs w:val="24"/>
              </w:rPr>
              <w:t xml:space="preserve"> </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I.4.</w:t>
            </w:r>
            <w:r w:rsidRPr="00EE17FF">
              <w:rPr>
                <w:rFonts w:cs="Tahoma"/>
                <w:szCs w:val="24"/>
              </w:rPr>
              <w:t xml:space="preserve"> </w:t>
            </w:r>
            <w:r>
              <w:rPr>
                <w:rFonts w:cs="Tahoma"/>
                <w:szCs w:val="24"/>
              </w:rPr>
              <w:t>«</w:t>
            </w:r>
            <w:r w:rsidRPr="00EE17FF">
              <w:rPr>
                <w:rFonts w:cs="Tahoma"/>
                <w:szCs w:val="24"/>
              </w:rPr>
              <w:t>Ya que Sandra parece entender los riesgos, su rechazo al tratamiento debe ser respetado en última instancia y determinar la decisión terapéutica final</w:t>
            </w:r>
            <w:r>
              <w:rPr>
                <w:rFonts w:cs="Tahoma"/>
                <w:szCs w:val="24"/>
              </w:rPr>
              <w:t xml:space="preserve">.» </w:t>
            </w:r>
            <w:r w:rsidRPr="00EE17FF">
              <w:rPr>
                <w:rFonts w:cs="Tahoma"/>
                <w:szCs w:val="24"/>
              </w:rPr>
              <w:t>(I)</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I.5.</w:t>
            </w:r>
            <w:r w:rsidRPr="00EE17FF">
              <w:rPr>
                <w:rFonts w:cs="Tahoma"/>
                <w:szCs w:val="24"/>
              </w:rPr>
              <w:t xml:space="preserve"> </w:t>
            </w:r>
            <w:r>
              <w:rPr>
                <w:rFonts w:cs="Tahoma"/>
                <w:szCs w:val="24"/>
              </w:rPr>
              <w:t>«</w:t>
            </w:r>
            <w:r w:rsidRPr="00EE17FF">
              <w:rPr>
                <w:rFonts w:cs="Tahoma"/>
                <w:szCs w:val="24"/>
              </w:rPr>
              <w:t>Dado que Sandra es joven y sin antecedentes en el trastorno, el equipo que la trata debería mostrarse más abierto a forzar un tratamiento involuntario</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I.6</w:t>
            </w:r>
            <w:r>
              <w:rPr>
                <w:rFonts w:cs="Tahoma"/>
                <w:b/>
                <w:bCs/>
                <w:szCs w:val="24"/>
              </w:rPr>
              <w:t>.</w:t>
            </w:r>
            <w:r w:rsidRPr="00EE17FF">
              <w:rPr>
                <w:rFonts w:cs="Tahoma"/>
                <w:szCs w:val="24"/>
              </w:rPr>
              <w:t xml:space="preserve"> </w:t>
            </w:r>
            <w:r>
              <w:rPr>
                <w:rFonts w:cs="Tahoma"/>
                <w:szCs w:val="24"/>
              </w:rPr>
              <w:t>«</w:t>
            </w:r>
            <w:r w:rsidRPr="00EE17FF">
              <w:rPr>
                <w:rFonts w:cs="Tahoma"/>
                <w:szCs w:val="24"/>
              </w:rPr>
              <w:t>Para que Sandra tome cierta conciencia de la gravedad de su situación, puede ser apropiado forzar el internamiento</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I.7</w:t>
            </w:r>
            <w:r>
              <w:rPr>
                <w:rFonts w:cs="Tahoma"/>
                <w:b/>
                <w:bCs/>
                <w:szCs w:val="24"/>
              </w:rPr>
              <w:t>.</w:t>
            </w:r>
            <w:r w:rsidRPr="00EE17FF">
              <w:rPr>
                <w:rFonts w:cs="Tahoma"/>
                <w:szCs w:val="24"/>
              </w:rPr>
              <w:t xml:space="preserve"> </w:t>
            </w:r>
            <w:r>
              <w:rPr>
                <w:rFonts w:cs="Tahoma"/>
                <w:szCs w:val="24"/>
              </w:rPr>
              <w:t>«</w:t>
            </w:r>
            <w:r w:rsidRPr="00EE17FF">
              <w:rPr>
                <w:rFonts w:cs="Tahoma"/>
                <w:szCs w:val="24"/>
              </w:rPr>
              <w:t>Conviene forzar el ingreso para alcanzar un estado nutricional que favorezca la mejora psicopatológica</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I.8</w:t>
            </w:r>
            <w:r>
              <w:rPr>
                <w:rFonts w:cs="Tahoma"/>
                <w:b/>
                <w:bCs/>
                <w:szCs w:val="24"/>
              </w:rPr>
              <w:t>.</w:t>
            </w:r>
            <w:r w:rsidRPr="00EE17FF">
              <w:rPr>
                <w:rFonts w:cs="Tahoma"/>
                <w:szCs w:val="24"/>
              </w:rPr>
              <w:t xml:space="preserve"> </w:t>
            </w:r>
            <w:r>
              <w:rPr>
                <w:rFonts w:cs="Tahoma"/>
                <w:szCs w:val="24"/>
              </w:rPr>
              <w:t>«</w:t>
            </w:r>
            <w:r w:rsidRPr="00EE17FF">
              <w:rPr>
                <w:rFonts w:cs="Tahoma"/>
                <w:szCs w:val="24"/>
              </w:rPr>
              <w:t>Si en lugar de 18 años, Sandra hubiese alcanzado ya los 40 años tras un curso crónico del trastorno y un historial de sucesivos internamientos previos, el equipo que la trata debería mostrarse más favorable a forzar un nuevo tratamiento involuntario</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r w:rsidR="00976F91" w:rsidRPr="00EE17FF" w:rsidTr="00801947">
              <w:trPr>
                <w:trHeight w:val="109"/>
                <w:jc w:val="center"/>
              </w:trPr>
              <w:tc>
                <w:tcPr>
                  <w:tcW w:w="2260"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9"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18" w:type="dxa"/>
                  <w:vAlign w:val="center"/>
                </w:tcPr>
                <w:p w:rsidR="00976F91" w:rsidRPr="00EE17FF" w:rsidRDefault="00976F91" w:rsidP="00801947">
                  <w:pPr>
                    <w:rPr>
                      <w:rFonts w:cs="Tahoma"/>
                      <w:szCs w:val="24"/>
                    </w:rPr>
                  </w:pPr>
                </w:p>
              </w:tc>
              <w:tc>
                <w:tcPr>
                  <w:tcW w:w="479" w:type="dxa"/>
                  <w:vAlign w:val="center"/>
                </w:tcPr>
                <w:p w:rsidR="00976F91" w:rsidRPr="00EE17FF" w:rsidRDefault="00976F91" w:rsidP="00801947">
                  <w:pPr>
                    <w:rPr>
                      <w:rFonts w:cs="Tahoma"/>
                      <w:szCs w:val="24"/>
                    </w:rPr>
                  </w:pPr>
                </w:p>
              </w:tc>
              <w:tc>
                <w:tcPr>
                  <w:tcW w:w="2024" w:type="dxa"/>
                  <w:vAlign w:val="center"/>
                </w:tcPr>
                <w:p w:rsidR="00976F91" w:rsidRPr="00EE17FF" w:rsidRDefault="00976F91" w:rsidP="00801947">
                  <w:pPr>
                    <w:rPr>
                      <w:rFonts w:cs="Tahoma"/>
                      <w:szCs w:val="24"/>
                    </w:rPr>
                  </w:pPr>
                </w:p>
              </w:tc>
            </w:tr>
          </w:tbl>
          <w:p w:rsidR="00976F91" w:rsidRPr="00EE17FF" w:rsidRDefault="00976F91" w:rsidP="00801947">
            <w:pPr>
              <w:rPr>
                <w:rFonts w:cs="Tahoma"/>
                <w:szCs w:val="24"/>
              </w:rPr>
            </w:pPr>
          </w:p>
        </w:tc>
      </w:tr>
      <w:tr w:rsidR="00976F91" w:rsidRPr="00EE17FF" w:rsidTr="00801947">
        <w:trPr>
          <w:trHeight w:val="6501"/>
          <w:jc w:val="center"/>
        </w:trPr>
        <w:tc>
          <w:tcPr>
            <w:tcW w:w="9214" w:type="dxa"/>
            <w:tcBorders>
              <w:top w:val="single" w:sz="4" w:space="0" w:color="auto"/>
              <w:left w:val="nil"/>
              <w:bottom w:val="single" w:sz="4" w:space="0" w:color="auto"/>
              <w:right w:val="nil"/>
            </w:tcBorders>
          </w:tcPr>
          <w:p w:rsidR="00976F91" w:rsidRPr="00EE17FF" w:rsidRDefault="00976F91" w:rsidP="00801947">
            <w:pPr>
              <w:rPr>
                <w:rFonts w:cs="Tahoma"/>
                <w:b/>
                <w:bCs/>
                <w:szCs w:val="24"/>
              </w:rPr>
            </w:pPr>
            <w:r w:rsidRPr="00EE17FF">
              <w:rPr>
                <w:rFonts w:cs="Tahoma"/>
                <w:b/>
                <w:bCs/>
                <w:szCs w:val="24"/>
              </w:rPr>
              <w:lastRenderedPageBreak/>
              <w:t>Elección y responsabilidad</w:t>
            </w:r>
          </w:p>
          <w:p w:rsidR="00976F91" w:rsidRPr="00EE17FF" w:rsidRDefault="00976F91" w:rsidP="00801947">
            <w:pPr>
              <w:rPr>
                <w:rFonts w:cs="Tahoma"/>
                <w:szCs w:val="24"/>
              </w:rPr>
            </w:pPr>
            <w:r w:rsidRPr="00EE17FF">
              <w:rPr>
                <w:rFonts w:cs="Tahoma"/>
                <w:b/>
                <w:bCs/>
                <w:szCs w:val="24"/>
              </w:rPr>
              <w:t xml:space="preserve">I.9. </w:t>
            </w:r>
            <w:r>
              <w:rPr>
                <w:rFonts w:cs="Tahoma"/>
                <w:szCs w:val="24"/>
              </w:rPr>
              <w:t>«</w:t>
            </w:r>
            <w:r w:rsidRPr="00EE17FF">
              <w:rPr>
                <w:rFonts w:cs="Tahoma"/>
                <w:szCs w:val="24"/>
              </w:rPr>
              <w:t>El rechazo de los</w:t>
            </w:r>
            <w:r>
              <w:rPr>
                <w:rFonts w:cs="Tahoma"/>
                <w:szCs w:val="24"/>
              </w:rPr>
              <w:t xml:space="preserve"> </w:t>
            </w:r>
            <w:r w:rsidRPr="00EE17FF">
              <w:rPr>
                <w:rFonts w:cs="Tahoma"/>
                <w:szCs w:val="24"/>
              </w:rPr>
              <w:t>pacientes con anorexia nerviosa al tratamiento puede deberse al propio estado psicopatológico y, por lo tanto, diferir de sus genuinos deseos</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I.10.</w:t>
            </w:r>
            <w:r w:rsidRPr="00EE17FF">
              <w:rPr>
                <w:rFonts w:cs="Tahoma"/>
                <w:szCs w:val="24"/>
              </w:rPr>
              <w:t xml:space="preserve"> </w:t>
            </w:r>
            <w:r>
              <w:rPr>
                <w:rFonts w:cs="Tahoma"/>
                <w:szCs w:val="24"/>
              </w:rPr>
              <w:t>«</w:t>
            </w:r>
            <w:r w:rsidRPr="00EE17FF">
              <w:rPr>
                <w:rFonts w:cs="Tahoma"/>
                <w:szCs w:val="24"/>
              </w:rPr>
              <w:t>Los pacientes con anorexia nerviosa están en condiciones de controlar su propia dieta, ejercicio y conductas de purga</w:t>
            </w:r>
            <w:r>
              <w:rPr>
                <w:rFonts w:cs="Tahoma"/>
                <w:szCs w:val="24"/>
              </w:rPr>
              <w:t>.»</w:t>
            </w:r>
            <w:r w:rsidRPr="00EE17FF">
              <w:rPr>
                <w:rFonts w:cs="Tahoma"/>
                <w:szCs w:val="24"/>
              </w:rPr>
              <w:t xml:space="preserve"> </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I.11.</w:t>
            </w:r>
            <w:r w:rsidRPr="00EE17FF">
              <w:rPr>
                <w:rFonts w:cs="Tahoma"/>
                <w:szCs w:val="24"/>
              </w:rPr>
              <w:t xml:space="preserve"> </w:t>
            </w:r>
            <w:r>
              <w:rPr>
                <w:rFonts w:cs="Tahoma"/>
                <w:szCs w:val="24"/>
              </w:rPr>
              <w:t>«</w:t>
            </w:r>
            <w:r w:rsidRPr="00EE17FF">
              <w:rPr>
                <w:rFonts w:cs="Tahoma"/>
                <w:szCs w:val="24"/>
              </w:rPr>
              <w:t>Los</w:t>
            </w:r>
            <w:r>
              <w:rPr>
                <w:rFonts w:cs="Tahoma"/>
                <w:szCs w:val="24"/>
              </w:rPr>
              <w:t xml:space="preserve"> </w:t>
            </w:r>
            <w:r w:rsidRPr="00EE17FF">
              <w:rPr>
                <w:rFonts w:cs="Tahoma"/>
                <w:szCs w:val="24"/>
              </w:rPr>
              <w:t xml:space="preserve">pacientes con anorexia nerviosa presentan dificultades de tipo emocional, distintas </w:t>
            </w:r>
            <w:r>
              <w:rPr>
                <w:rFonts w:cs="Tahoma"/>
                <w:szCs w:val="24"/>
              </w:rPr>
              <w:t>de los</w:t>
            </w:r>
            <w:r w:rsidRPr="00EE17FF">
              <w:rPr>
                <w:rFonts w:cs="Tahoma"/>
                <w:szCs w:val="24"/>
              </w:rPr>
              <w:t xml:space="preserve"> problemas de razonamiento, que condicionan su toma de decisiones de tratamiento</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r w:rsidRPr="00EE17FF">
              <w:rPr>
                <w:rFonts w:cs="Tahoma"/>
                <w:b/>
                <w:bCs/>
                <w:szCs w:val="24"/>
              </w:rPr>
              <w:t>I.12</w:t>
            </w:r>
            <w:r w:rsidRPr="008911EF">
              <w:rPr>
                <w:rFonts w:cs="Tahoma"/>
                <w:b/>
                <w:szCs w:val="24"/>
              </w:rPr>
              <w:t>.</w:t>
            </w:r>
            <w:r w:rsidRPr="00EE17FF">
              <w:rPr>
                <w:rFonts w:cs="Tahoma"/>
                <w:szCs w:val="24"/>
              </w:rPr>
              <w:t xml:space="preserve"> </w:t>
            </w:r>
            <w:r>
              <w:rPr>
                <w:rFonts w:cs="Tahoma"/>
                <w:szCs w:val="24"/>
              </w:rPr>
              <w:t>«</w:t>
            </w:r>
            <w:r w:rsidRPr="00EE17FF">
              <w:rPr>
                <w:rFonts w:cs="Tahoma"/>
                <w:szCs w:val="24"/>
              </w:rPr>
              <w:t>Aun en el caso de tener deseos de curación, el hecho de padecer anorexia nerviosa supone una merma de la capacidad del</w:t>
            </w:r>
            <w:r>
              <w:rPr>
                <w:rFonts w:cs="Tahoma"/>
                <w:szCs w:val="24"/>
              </w:rPr>
              <w:t xml:space="preserve"> </w:t>
            </w:r>
            <w:r w:rsidRPr="00EE17FF">
              <w:rPr>
                <w:rFonts w:cs="Tahoma"/>
                <w:szCs w:val="24"/>
              </w:rPr>
              <w:t>paciente para hacerse cargo de su propio cuidado.</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p>
        </w:tc>
      </w:tr>
      <w:tr w:rsidR="00976F91" w:rsidRPr="00EE17FF" w:rsidTr="00801947">
        <w:trPr>
          <w:trHeight w:val="2237"/>
          <w:jc w:val="center"/>
        </w:trPr>
        <w:tc>
          <w:tcPr>
            <w:tcW w:w="9214" w:type="dxa"/>
            <w:tcBorders>
              <w:top w:val="single" w:sz="4" w:space="0" w:color="auto"/>
              <w:left w:val="nil"/>
              <w:bottom w:val="single" w:sz="4" w:space="0" w:color="auto"/>
              <w:right w:val="nil"/>
            </w:tcBorders>
          </w:tcPr>
          <w:p w:rsidR="00976F91" w:rsidRPr="00EE17FF" w:rsidRDefault="00976F91" w:rsidP="00801947">
            <w:pPr>
              <w:rPr>
                <w:rFonts w:cs="Tahoma"/>
                <w:b/>
                <w:bCs/>
                <w:szCs w:val="24"/>
              </w:rPr>
            </w:pPr>
            <w:r w:rsidRPr="00EE17FF">
              <w:rPr>
                <w:rFonts w:cs="Tahoma"/>
                <w:b/>
                <w:bCs/>
                <w:szCs w:val="24"/>
              </w:rPr>
              <w:t>Decisiones de tratamiento</w:t>
            </w:r>
          </w:p>
          <w:p w:rsidR="00976F91" w:rsidRPr="00EE17FF" w:rsidRDefault="00976F91" w:rsidP="00801947">
            <w:pPr>
              <w:rPr>
                <w:rFonts w:cs="Tahoma"/>
                <w:szCs w:val="24"/>
              </w:rPr>
            </w:pPr>
            <w:r w:rsidRPr="00EE17FF">
              <w:rPr>
                <w:rFonts w:cs="Tahoma"/>
                <w:b/>
                <w:bCs/>
                <w:szCs w:val="24"/>
              </w:rPr>
              <w:t>I.13.</w:t>
            </w:r>
            <w:r w:rsidRPr="00EE17FF">
              <w:rPr>
                <w:rFonts w:cs="Tahoma"/>
                <w:szCs w:val="24"/>
              </w:rPr>
              <w:t xml:space="preserve"> </w:t>
            </w:r>
            <w:r>
              <w:rPr>
                <w:rFonts w:cs="Tahoma"/>
                <w:szCs w:val="24"/>
              </w:rPr>
              <w:t>«</w:t>
            </w:r>
            <w:r w:rsidRPr="00EE17FF">
              <w:rPr>
                <w:rFonts w:cs="Tahoma"/>
                <w:szCs w:val="24"/>
              </w:rPr>
              <w:t>El tratamiento de la anorexia nerviosa contra la voluntad del</w:t>
            </w:r>
            <w:r>
              <w:rPr>
                <w:rFonts w:cs="Tahoma"/>
                <w:szCs w:val="24"/>
              </w:rPr>
              <w:t xml:space="preserve"> </w:t>
            </w:r>
            <w:r w:rsidRPr="00EE17FF">
              <w:rPr>
                <w:rFonts w:cs="Tahoma"/>
                <w:szCs w:val="24"/>
              </w:rPr>
              <w:t>paciente encuentra normalmente mayor justificación en pacientes crónicos</w:t>
            </w:r>
            <w:r>
              <w:rPr>
                <w:rFonts w:cs="Tahoma"/>
                <w:szCs w:val="24"/>
              </w:rPr>
              <w:t xml:space="preserve"> </w:t>
            </w:r>
            <w:r w:rsidRPr="00EE17FF">
              <w:rPr>
                <w:rFonts w:cs="Tahoma"/>
                <w:szCs w:val="24"/>
              </w:rPr>
              <w:t>que en pacientes debutantes</w:t>
            </w:r>
            <w:r>
              <w:rPr>
                <w:rFonts w:cs="Tahoma"/>
                <w:szCs w:val="24"/>
              </w:rPr>
              <w:t>.»</w:t>
            </w:r>
          </w:p>
          <w:tbl>
            <w:tblPr>
              <w:tblStyle w:val="Tablaconcuadrcula1"/>
              <w:tblW w:w="894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18"/>
              <w:gridCol w:w="418"/>
              <w:gridCol w:w="419"/>
              <w:gridCol w:w="418"/>
              <w:gridCol w:w="418"/>
              <w:gridCol w:w="418"/>
              <w:gridCol w:w="418"/>
              <w:gridCol w:w="418"/>
              <w:gridCol w:w="418"/>
              <w:gridCol w:w="418"/>
              <w:gridCol w:w="479"/>
              <w:gridCol w:w="2024"/>
            </w:tblGrid>
            <w:tr w:rsidR="00976F91" w:rsidRPr="00EE17FF" w:rsidTr="00801947">
              <w:trPr>
                <w:trHeight w:val="109"/>
                <w:jc w:val="center"/>
              </w:trPr>
              <w:tc>
                <w:tcPr>
                  <w:tcW w:w="2260" w:type="dxa"/>
                  <w:vAlign w:val="center"/>
                  <w:hideMark/>
                </w:tcPr>
                <w:p w:rsidR="00976F91" w:rsidRPr="00EE17FF" w:rsidRDefault="00976F91" w:rsidP="00801947">
                  <w:pPr>
                    <w:rPr>
                      <w:rFonts w:cs="Tahoma"/>
                      <w:szCs w:val="24"/>
                    </w:rPr>
                  </w:pPr>
                  <w:r w:rsidRPr="00EE17FF">
                    <w:rPr>
                      <w:rFonts w:cs="Tahoma"/>
                      <w:szCs w:val="24"/>
                    </w:rPr>
                    <w:t>Totalmente en desacuerdo</w:t>
                  </w:r>
                </w:p>
              </w:tc>
              <w:tc>
                <w:tcPr>
                  <w:tcW w:w="418" w:type="dxa"/>
                  <w:vAlign w:val="center"/>
                  <w:hideMark/>
                </w:tcPr>
                <w:p w:rsidR="00976F91" w:rsidRPr="00EE17FF" w:rsidRDefault="00976F91" w:rsidP="00801947">
                  <w:pPr>
                    <w:rPr>
                      <w:rFonts w:cs="Tahoma"/>
                      <w:szCs w:val="24"/>
                    </w:rPr>
                  </w:pPr>
                  <w:r w:rsidRPr="00EE17FF">
                    <w:rPr>
                      <w:rFonts w:cs="Tahoma"/>
                      <w:szCs w:val="24"/>
                    </w:rPr>
                    <w:t>0</w:t>
                  </w:r>
                </w:p>
              </w:tc>
              <w:tc>
                <w:tcPr>
                  <w:tcW w:w="418" w:type="dxa"/>
                  <w:vAlign w:val="center"/>
                  <w:hideMark/>
                </w:tcPr>
                <w:p w:rsidR="00976F91" w:rsidRPr="00EE17FF" w:rsidRDefault="00976F91" w:rsidP="00801947">
                  <w:pPr>
                    <w:rPr>
                      <w:rFonts w:cs="Tahoma"/>
                      <w:szCs w:val="24"/>
                    </w:rPr>
                  </w:pPr>
                  <w:r w:rsidRPr="00EE17FF">
                    <w:rPr>
                      <w:rFonts w:cs="Tahoma"/>
                      <w:szCs w:val="24"/>
                    </w:rPr>
                    <w:t>1</w:t>
                  </w:r>
                </w:p>
              </w:tc>
              <w:tc>
                <w:tcPr>
                  <w:tcW w:w="419" w:type="dxa"/>
                  <w:vAlign w:val="center"/>
                  <w:hideMark/>
                </w:tcPr>
                <w:p w:rsidR="00976F91" w:rsidRPr="00EE17FF" w:rsidRDefault="00976F91" w:rsidP="00801947">
                  <w:pPr>
                    <w:rPr>
                      <w:rFonts w:cs="Tahoma"/>
                      <w:szCs w:val="24"/>
                    </w:rPr>
                  </w:pPr>
                  <w:r w:rsidRPr="00EE17FF">
                    <w:rPr>
                      <w:rFonts w:cs="Tahoma"/>
                      <w:szCs w:val="24"/>
                    </w:rPr>
                    <w:t>2</w:t>
                  </w:r>
                </w:p>
              </w:tc>
              <w:tc>
                <w:tcPr>
                  <w:tcW w:w="418" w:type="dxa"/>
                  <w:vAlign w:val="center"/>
                  <w:hideMark/>
                </w:tcPr>
                <w:p w:rsidR="00976F91" w:rsidRPr="00EE17FF" w:rsidRDefault="00976F91" w:rsidP="00801947">
                  <w:pPr>
                    <w:rPr>
                      <w:rFonts w:cs="Tahoma"/>
                      <w:szCs w:val="24"/>
                    </w:rPr>
                  </w:pPr>
                  <w:r w:rsidRPr="00EE17FF">
                    <w:rPr>
                      <w:rFonts w:cs="Tahoma"/>
                      <w:szCs w:val="24"/>
                    </w:rPr>
                    <w:t>3</w:t>
                  </w:r>
                </w:p>
              </w:tc>
              <w:tc>
                <w:tcPr>
                  <w:tcW w:w="418" w:type="dxa"/>
                  <w:vAlign w:val="center"/>
                  <w:hideMark/>
                </w:tcPr>
                <w:p w:rsidR="00976F91" w:rsidRPr="00EE17FF" w:rsidRDefault="00976F91" w:rsidP="00801947">
                  <w:pPr>
                    <w:rPr>
                      <w:rFonts w:cs="Tahoma"/>
                      <w:szCs w:val="24"/>
                    </w:rPr>
                  </w:pPr>
                  <w:r w:rsidRPr="00EE17FF">
                    <w:rPr>
                      <w:rFonts w:cs="Tahoma"/>
                      <w:szCs w:val="24"/>
                    </w:rPr>
                    <w:t>4</w:t>
                  </w:r>
                </w:p>
              </w:tc>
              <w:tc>
                <w:tcPr>
                  <w:tcW w:w="418" w:type="dxa"/>
                  <w:vAlign w:val="center"/>
                  <w:hideMark/>
                </w:tcPr>
                <w:p w:rsidR="00976F91" w:rsidRPr="00EE17FF" w:rsidRDefault="00976F91" w:rsidP="00801947">
                  <w:pPr>
                    <w:rPr>
                      <w:rFonts w:cs="Tahoma"/>
                      <w:szCs w:val="24"/>
                    </w:rPr>
                  </w:pPr>
                  <w:r w:rsidRPr="00EE17FF">
                    <w:rPr>
                      <w:rFonts w:cs="Tahoma"/>
                      <w:szCs w:val="24"/>
                    </w:rPr>
                    <w:t>5</w:t>
                  </w:r>
                </w:p>
              </w:tc>
              <w:tc>
                <w:tcPr>
                  <w:tcW w:w="418" w:type="dxa"/>
                  <w:vAlign w:val="center"/>
                  <w:hideMark/>
                </w:tcPr>
                <w:p w:rsidR="00976F91" w:rsidRPr="00EE17FF" w:rsidRDefault="00976F91" w:rsidP="00801947">
                  <w:pPr>
                    <w:rPr>
                      <w:rFonts w:cs="Tahoma"/>
                      <w:szCs w:val="24"/>
                    </w:rPr>
                  </w:pPr>
                  <w:r w:rsidRPr="00EE17FF">
                    <w:rPr>
                      <w:rFonts w:cs="Tahoma"/>
                      <w:szCs w:val="24"/>
                    </w:rPr>
                    <w:t>6</w:t>
                  </w:r>
                </w:p>
              </w:tc>
              <w:tc>
                <w:tcPr>
                  <w:tcW w:w="418" w:type="dxa"/>
                  <w:vAlign w:val="center"/>
                  <w:hideMark/>
                </w:tcPr>
                <w:p w:rsidR="00976F91" w:rsidRPr="00EE17FF" w:rsidRDefault="00976F91" w:rsidP="00801947">
                  <w:pPr>
                    <w:rPr>
                      <w:rFonts w:cs="Tahoma"/>
                      <w:szCs w:val="24"/>
                    </w:rPr>
                  </w:pPr>
                  <w:r w:rsidRPr="00EE17FF">
                    <w:rPr>
                      <w:rFonts w:cs="Tahoma"/>
                      <w:szCs w:val="24"/>
                    </w:rPr>
                    <w:t>7</w:t>
                  </w:r>
                </w:p>
              </w:tc>
              <w:tc>
                <w:tcPr>
                  <w:tcW w:w="418" w:type="dxa"/>
                  <w:vAlign w:val="center"/>
                  <w:hideMark/>
                </w:tcPr>
                <w:p w:rsidR="00976F91" w:rsidRPr="00EE17FF" w:rsidRDefault="00976F91" w:rsidP="00801947">
                  <w:pPr>
                    <w:rPr>
                      <w:rFonts w:cs="Tahoma"/>
                      <w:szCs w:val="24"/>
                    </w:rPr>
                  </w:pPr>
                  <w:r w:rsidRPr="00EE17FF">
                    <w:rPr>
                      <w:rFonts w:cs="Tahoma"/>
                      <w:szCs w:val="24"/>
                    </w:rPr>
                    <w:t>8</w:t>
                  </w:r>
                </w:p>
              </w:tc>
              <w:tc>
                <w:tcPr>
                  <w:tcW w:w="418" w:type="dxa"/>
                  <w:vAlign w:val="center"/>
                  <w:hideMark/>
                </w:tcPr>
                <w:p w:rsidR="00976F91" w:rsidRPr="00EE17FF" w:rsidRDefault="00976F91" w:rsidP="00801947">
                  <w:pPr>
                    <w:rPr>
                      <w:rFonts w:cs="Tahoma"/>
                      <w:szCs w:val="24"/>
                    </w:rPr>
                  </w:pPr>
                  <w:r w:rsidRPr="00EE17FF">
                    <w:rPr>
                      <w:rFonts w:cs="Tahoma"/>
                      <w:szCs w:val="24"/>
                    </w:rPr>
                    <w:t>9</w:t>
                  </w:r>
                </w:p>
              </w:tc>
              <w:tc>
                <w:tcPr>
                  <w:tcW w:w="479" w:type="dxa"/>
                  <w:vAlign w:val="center"/>
                  <w:hideMark/>
                </w:tcPr>
                <w:p w:rsidR="00976F91" w:rsidRPr="00EE17FF" w:rsidRDefault="00976F91" w:rsidP="00801947">
                  <w:pPr>
                    <w:rPr>
                      <w:rFonts w:cs="Tahoma"/>
                      <w:szCs w:val="24"/>
                    </w:rPr>
                  </w:pPr>
                  <w:r w:rsidRPr="00EE17FF">
                    <w:rPr>
                      <w:rFonts w:cs="Tahoma"/>
                      <w:szCs w:val="24"/>
                    </w:rPr>
                    <w:t>10</w:t>
                  </w:r>
                </w:p>
              </w:tc>
              <w:tc>
                <w:tcPr>
                  <w:tcW w:w="2024" w:type="dxa"/>
                  <w:vAlign w:val="center"/>
                  <w:hideMark/>
                </w:tcPr>
                <w:p w:rsidR="00976F91" w:rsidRPr="00EE17FF" w:rsidRDefault="00976F91" w:rsidP="00801947">
                  <w:pPr>
                    <w:rPr>
                      <w:rFonts w:cs="Tahoma"/>
                      <w:szCs w:val="24"/>
                    </w:rPr>
                  </w:pPr>
                  <w:r w:rsidRPr="00EE17FF">
                    <w:rPr>
                      <w:rFonts w:cs="Tahoma"/>
                      <w:szCs w:val="24"/>
                    </w:rPr>
                    <w:t>Totalmente de acuerdo</w:t>
                  </w:r>
                </w:p>
              </w:tc>
            </w:tr>
          </w:tbl>
          <w:p w:rsidR="00976F91" w:rsidRPr="00EE17FF" w:rsidRDefault="00976F91" w:rsidP="00801947">
            <w:pPr>
              <w:rPr>
                <w:rFonts w:cs="Tahoma"/>
                <w:szCs w:val="24"/>
              </w:rPr>
            </w:pPr>
          </w:p>
        </w:tc>
      </w:tr>
    </w:tbl>
    <w:p w:rsidR="00976F91" w:rsidRPr="00EE17FF" w:rsidRDefault="00976F91" w:rsidP="00976F91">
      <w:pPr>
        <w:rPr>
          <w:rFonts w:cs="Tahoma"/>
          <w:b/>
          <w:bCs/>
          <w:szCs w:val="24"/>
        </w:rPr>
      </w:pPr>
    </w:p>
    <w:p w:rsidR="00976F91" w:rsidRDefault="00976F91" w:rsidP="00976F91">
      <w:pPr>
        <w:rPr>
          <w:rFonts w:cs="Tahoma"/>
          <w:szCs w:val="24"/>
        </w:rPr>
      </w:pPr>
      <w:r w:rsidRPr="00EE17FF">
        <w:rPr>
          <w:rFonts w:cs="Tahoma"/>
          <w:szCs w:val="24"/>
        </w:rPr>
        <w:t xml:space="preserve">Clave de corrección: </w:t>
      </w:r>
      <w:r>
        <w:rPr>
          <w:rFonts w:cs="Tahoma"/>
          <w:szCs w:val="24"/>
        </w:rPr>
        <w:t>s</w:t>
      </w:r>
      <w:r w:rsidRPr="00EE17FF">
        <w:rPr>
          <w:rFonts w:cs="Tahoma"/>
          <w:szCs w:val="24"/>
        </w:rPr>
        <w:t>e realizan las siguientes operaciones aritméticas, a partir de los valores marcados en cada ítem, según las siguientes subescalas:</w:t>
      </w:r>
    </w:p>
    <w:p w:rsidR="00976F91" w:rsidRPr="00EE17FF" w:rsidRDefault="00976F91" w:rsidP="00976F91">
      <w:pPr>
        <w:rPr>
          <w:rFonts w:cs="Tahoma"/>
          <w:szCs w:val="24"/>
        </w:rPr>
      </w:pPr>
      <w:r>
        <w:rPr>
          <w:rFonts w:cs="Tahoma"/>
          <w:szCs w:val="24"/>
        </w:rPr>
        <w:t>P</w:t>
      </w:r>
      <w:r w:rsidRPr="00EE17FF">
        <w:rPr>
          <w:rFonts w:cs="Tahoma"/>
          <w:szCs w:val="24"/>
        </w:rPr>
        <w:t>rointervención (PRO) = (I.2 + I.3 + (10</w:t>
      </w:r>
      <w:r>
        <w:rPr>
          <w:rFonts w:cs="Tahoma"/>
          <w:szCs w:val="24"/>
        </w:rPr>
        <w:t xml:space="preserve"> – </w:t>
      </w:r>
      <w:r w:rsidRPr="00EE17FF">
        <w:rPr>
          <w:rFonts w:cs="Tahoma"/>
          <w:szCs w:val="24"/>
        </w:rPr>
        <w:t>I.4) + I.6 + I.7)</w:t>
      </w:r>
      <w:r>
        <w:rPr>
          <w:rFonts w:cs="Tahoma"/>
          <w:szCs w:val="24"/>
        </w:rPr>
        <w:t xml:space="preserve"> </w:t>
      </w:r>
      <w:r w:rsidRPr="00EE17FF">
        <w:rPr>
          <w:rFonts w:cs="Tahoma"/>
          <w:szCs w:val="24"/>
        </w:rPr>
        <w:t>/</w:t>
      </w:r>
      <w:r>
        <w:rPr>
          <w:rFonts w:cs="Tahoma"/>
          <w:szCs w:val="24"/>
        </w:rPr>
        <w:t xml:space="preserve"> </w:t>
      </w:r>
      <w:r w:rsidRPr="00EE17FF">
        <w:rPr>
          <w:rFonts w:cs="Tahoma"/>
          <w:szCs w:val="24"/>
        </w:rPr>
        <w:t>5</w:t>
      </w:r>
      <w:r>
        <w:rPr>
          <w:rFonts w:cs="Tahoma"/>
          <w:szCs w:val="24"/>
        </w:rPr>
        <w:t>.</w:t>
      </w:r>
      <w:r w:rsidRPr="00EE17FF">
        <w:rPr>
          <w:rFonts w:cs="Tahoma"/>
          <w:szCs w:val="24"/>
        </w:rPr>
        <w:t xml:space="preserve"> </w:t>
      </w:r>
    </w:p>
    <w:p w:rsidR="00976F91" w:rsidRDefault="00976F91" w:rsidP="00976F91">
      <w:pPr>
        <w:rPr>
          <w:rFonts w:cs="Tahoma"/>
          <w:szCs w:val="24"/>
        </w:rPr>
      </w:pPr>
      <w:r w:rsidRPr="00EE17FF">
        <w:rPr>
          <w:rFonts w:cs="Tahoma"/>
          <w:szCs w:val="24"/>
        </w:rPr>
        <w:t>Ausencia de capac</w:t>
      </w:r>
      <w:r>
        <w:rPr>
          <w:rFonts w:cs="Tahoma"/>
          <w:szCs w:val="24"/>
        </w:rPr>
        <w:t>i</w:t>
      </w:r>
      <w:r w:rsidRPr="00EE17FF">
        <w:rPr>
          <w:rFonts w:cs="Tahoma"/>
          <w:szCs w:val="24"/>
        </w:rPr>
        <w:t xml:space="preserve">dad (AUS) = (I.1 + I.9 + (10 </w:t>
      </w:r>
      <w:r>
        <w:rPr>
          <w:rFonts w:cs="Tahoma"/>
          <w:szCs w:val="24"/>
        </w:rPr>
        <w:t>–</w:t>
      </w:r>
      <w:r w:rsidRPr="00EE17FF">
        <w:rPr>
          <w:rFonts w:cs="Tahoma"/>
          <w:szCs w:val="24"/>
        </w:rPr>
        <w:t xml:space="preserve"> I.10) + I.11 + I.12)</w:t>
      </w:r>
      <w:r>
        <w:rPr>
          <w:rFonts w:cs="Tahoma"/>
          <w:szCs w:val="24"/>
        </w:rPr>
        <w:t xml:space="preserve"> </w:t>
      </w:r>
      <w:r w:rsidRPr="00EE17FF">
        <w:rPr>
          <w:rFonts w:cs="Tahoma"/>
          <w:szCs w:val="24"/>
        </w:rPr>
        <w:t>/</w:t>
      </w:r>
      <w:r>
        <w:rPr>
          <w:rFonts w:cs="Tahoma"/>
          <w:szCs w:val="24"/>
        </w:rPr>
        <w:t xml:space="preserve"> </w:t>
      </w:r>
      <w:r w:rsidRPr="00EE17FF">
        <w:rPr>
          <w:rFonts w:cs="Tahoma"/>
          <w:szCs w:val="24"/>
        </w:rPr>
        <w:t>5</w:t>
      </w:r>
      <w:r>
        <w:rPr>
          <w:rFonts w:cs="Tahoma"/>
          <w:szCs w:val="24"/>
        </w:rPr>
        <w:t>.</w:t>
      </w:r>
    </w:p>
    <w:p w:rsidR="00976F91" w:rsidRPr="00EE17FF" w:rsidRDefault="00976F91" w:rsidP="00976F91">
      <w:pPr>
        <w:rPr>
          <w:rFonts w:cs="Tahoma"/>
          <w:szCs w:val="24"/>
        </w:rPr>
      </w:pPr>
      <w:r>
        <w:rPr>
          <w:rFonts w:cs="Tahoma"/>
          <w:szCs w:val="24"/>
        </w:rPr>
        <w:t xml:space="preserve">Cronicidad </w:t>
      </w:r>
      <w:r w:rsidRPr="00EE17FF">
        <w:rPr>
          <w:rFonts w:cs="Tahoma"/>
          <w:szCs w:val="24"/>
        </w:rPr>
        <w:t>(CRO) = (I.5 + I.8 + I.13)</w:t>
      </w:r>
      <w:r>
        <w:rPr>
          <w:rFonts w:cs="Tahoma"/>
          <w:szCs w:val="24"/>
        </w:rPr>
        <w:t xml:space="preserve"> </w:t>
      </w:r>
      <w:r w:rsidRPr="00EE17FF">
        <w:rPr>
          <w:rFonts w:cs="Tahoma"/>
          <w:szCs w:val="24"/>
        </w:rPr>
        <w:t>/</w:t>
      </w:r>
      <w:r>
        <w:rPr>
          <w:rFonts w:cs="Tahoma"/>
          <w:szCs w:val="24"/>
        </w:rPr>
        <w:t xml:space="preserve"> </w:t>
      </w:r>
      <w:r w:rsidRPr="00EE17FF">
        <w:rPr>
          <w:rFonts w:cs="Tahoma"/>
          <w:szCs w:val="24"/>
        </w:rPr>
        <w:t>3</w:t>
      </w:r>
      <w:r>
        <w:rPr>
          <w:rFonts w:cs="Tahoma"/>
          <w:szCs w:val="24"/>
        </w:rPr>
        <w:t>.</w:t>
      </w:r>
    </w:p>
    <w:p w:rsidR="00EE7FE4" w:rsidRDefault="00EE7FE4">
      <w:bookmarkStart w:id="0" w:name="_GoBack"/>
      <w:bookmarkEnd w:id="0"/>
    </w:p>
    <w:sectPr w:rsidR="00EE7FE4" w:rsidSect="00B2318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CE"/>
    <w:rsid w:val="001645CE"/>
    <w:rsid w:val="00976F91"/>
    <w:rsid w:val="00EE7F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331F8-47C9-4F71-AC2F-879FEF70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F91"/>
    <w:pPr>
      <w:suppressAutoHyphens/>
      <w:spacing w:after="0" w:line="360" w:lineRule="auto"/>
      <w:contextualSpacing/>
    </w:pPr>
    <w:rPr>
      <w:rFonts w:ascii="Tahoma" w:eastAsiaTheme="minorEastAsia" w:hAnsi="Tahoma"/>
      <w:sz w:val="24"/>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F91"/>
    <w:pPr>
      <w:spacing w:after="0" w:line="240" w:lineRule="auto"/>
    </w:pPr>
    <w:rPr>
      <w:rFonts w:ascii="Calibri" w:eastAsia="DengXian"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uiPriority w:val="39"/>
    <w:rsid w:val="00976F91"/>
    <w:pPr>
      <w:spacing w:after="0" w:line="240" w:lineRule="auto"/>
    </w:pPr>
    <w:rPr>
      <w:rFonts w:eastAsiaTheme="minorEastAsia"/>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8591</Characters>
  <Application>Microsoft Office Word</Application>
  <DocSecurity>0</DocSecurity>
  <Lines>71</Lines>
  <Paragraphs>20</Paragraphs>
  <ScaleCrop>false</ScaleCrop>
  <Company>Microsoft</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Lama</dc:creator>
  <cp:keywords/>
  <dc:description/>
  <cp:lastModifiedBy>Francis Lama</cp:lastModifiedBy>
  <cp:revision>3</cp:revision>
  <dcterms:created xsi:type="dcterms:W3CDTF">2020-12-30T16:45:00Z</dcterms:created>
  <dcterms:modified xsi:type="dcterms:W3CDTF">2020-12-30T16:45:00Z</dcterms:modified>
</cp:coreProperties>
</file>