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28F67" w14:textId="77777777" w:rsidR="00230044" w:rsidRPr="00F1496C" w:rsidRDefault="00F7598C" w:rsidP="00F1496C">
      <w:pPr>
        <w:spacing w:after="0" w:line="360" w:lineRule="auto"/>
        <w:jc w:val="both"/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</w:pPr>
      <w:bookmarkStart w:id="0" w:name="_GoBack"/>
      <w:bookmarkEnd w:id="0"/>
      <w:r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Supplementary I</w:t>
      </w:r>
      <w:r w:rsidR="00DA19E7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nformation</w:t>
      </w:r>
    </w:p>
    <w:p w14:paraId="4BC92525" w14:textId="1D175B18" w:rsidR="008B5F29" w:rsidRPr="00F1496C" w:rsidRDefault="008B5F29" w:rsidP="00F1496C">
      <w:pPr>
        <w:spacing w:after="0" w:line="360" w:lineRule="auto"/>
        <w:jc w:val="both"/>
        <w:rPr>
          <w:rStyle w:val="Emphasis"/>
          <w:rFonts w:ascii="Arial" w:hAnsi="Arial" w:cs="Arial"/>
          <w:i w:val="0"/>
          <w:sz w:val="24"/>
          <w:szCs w:val="24"/>
          <w:lang w:val="en-US"/>
        </w:rPr>
      </w:pPr>
      <w:r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Supplementary Table 1</w:t>
      </w:r>
      <w:r w:rsidR="00CD6966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 – </w:t>
      </w:r>
      <w:r w:rsidR="007E129D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Data for </w:t>
      </w:r>
      <w:r w:rsidR="00CD6966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Fig. </w:t>
      </w:r>
      <w:r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1</w:t>
      </w:r>
      <w:r w:rsidR="00CD6966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: </w:t>
      </w:r>
      <w:r w:rsidR="00F64B17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P</w:t>
      </w:r>
      <w:r w:rsidR="00C7370B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roportion of</w:t>
      </w:r>
      <w:r w:rsidR="00F64B17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 responders for (</w:t>
      </w:r>
      <w:r w:rsidR="00CD6966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A</w:t>
      </w:r>
      <w:r w:rsidR="00F64B17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) ACR20, (</w:t>
      </w:r>
      <w:r w:rsidR="00CD6966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B</w:t>
      </w:r>
      <w:r w:rsidR="00F64B17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) ACR50 and (</w:t>
      </w:r>
      <w:r w:rsidR="00CD6966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C</w:t>
      </w:r>
      <w:r w:rsidR="00F64B17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) ACR70 over time </w:t>
      </w:r>
      <w:r w:rsidR="007609FB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for the </w:t>
      </w:r>
      <w:proofErr w:type="spellStart"/>
      <w:r w:rsidR="007609FB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tofacitinib</w:t>
      </w:r>
      <w:proofErr w:type="spellEnd"/>
      <w:r w:rsidR="007609FB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 5 and 10 mg BID groups</w:t>
      </w:r>
      <w:r w:rsidR="00F64B17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 in the efficacy subpopulation (FAS, observed)</w:t>
      </w:r>
      <w:r w:rsidR="00CD6966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.</w:t>
      </w:r>
      <w:r w:rsidR="00DD492F" w:rsidRPr="00F1496C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tbl>
      <w:tblPr>
        <w:tblW w:w="949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1418"/>
        <w:gridCol w:w="1701"/>
        <w:gridCol w:w="992"/>
        <w:gridCol w:w="1417"/>
        <w:gridCol w:w="1701"/>
      </w:tblGrid>
      <w:tr w:rsidR="00F1496C" w:rsidRPr="00F1496C" w14:paraId="78056116" w14:textId="28E36EB5" w:rsidTr="00F22581">
        <w:trPr>
          <w:trHeight w:val="600"/>
        </w:trPr>
        <w:tc>
          <w:tcPr>
            <w:tcW w:w="1559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EA2EA5C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D9D9D9" w:themeColor="background1" w:themeShade="D9"/>
            </w:tcBorders>
            <w:shd w:val="clear" w:color="auto" w:fill="auto"/>
            <w:vAlign w:val="bottom"/>
            <w:hideMark/>
          </w:tcPr>
          <w:p w14:paraId="1173A60A" w14:textId="5BAE03AF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proofErr w:type="spellStart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Tofacitinib</w:t>
            </w:r>
            <w:proofErr w:type="spellEnd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5 mg BID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D9D9D9" w:themeColor="background1" w:themeShade="D9"/>
              <w:bottom w:val="single" w:sz="6" w:space="0" w:color="auto"/>
              <w:right w:val="single" w:sz="48" w:space="0" w:color="FFFFFF" w:themeColor="background1"/>
            </w:tcBorders>
            <w:shd w:val="clear" w:color="auto" w:fill="auto"/>
            <w:vAlign w:val="bottom"/>
            <w:hideMark/>
          </w:tcPr>
          <w:p w14:paraId="381ADF8F" w14:textId="6F4386EE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proofErr w:type="spellStart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Tofacitinib</w:t>
            </w:r>
            <w:proofErr w:type="spellEnd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10 mg BID</w:t>
            </w:r>
          </w:p>
        </w:tc>
      </w:tr>
      <w:tr w:rsidR="00F1496C" w:rsidRPr="00F1496C" w14:paraId="232C897E" w14:textId="79FF4790" w:rsidTr="001F316B">
        <w:trPr>
          <w:trHeight w:val="600"/>
        </w:trPr>
        <w:tc>
          <w:tcPr>
            <w:tcW w:w="1559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016A8228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E0FE111" w14:textId="386522A6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N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14:paraId="723A2D4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ACR response (%)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D9D9D9" w:themeColor="background1" w:themeShade="D9"/>
            </w:tcBorders>
          </w:tcPr>
          <w:p w14:paraId="7AC219DB" w14:textId="3D693057" w:rsidR="00554E08" w:rsidRPr="00F1496C" w:rsidRDefault="005A744D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SE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D9D9D9" w:themeColor="background1" w:themeShade="D9"/>
              <w:bottom w:val="single" w:sz="6" w:space="0" w:color="auto"/>
              <w:right w:val="nil"/>
            </w:tcBorders>
            <w:shd w:val="clear" w:color="auto" w:fill="auto"/>
          </w:tcPr>
          <w:p w14:paraId="3CE7FBF2" w14:textId="1CB58528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N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48" w:space="0" w:color="FFFFFF" w:themeColor="background1"/>
            </w:tcBorders>
            <w:shd w:val="clear" w:color="auto" w:fill="auto"/>
          </w:tcPr>
          <w:p w14:paraId="2AB9563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ACR response (%)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8" w:space="0" w:color="FFFFFF" w:themeColor="background1"/>
            </w:tcBorders>
          </w:tcPr>
          <w:p w14:paraId="51695E9D" w14:textId="7BDC26F8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SE </w:t>
            </w: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br/>
            </w:r>
          </w:p>
        </w:tc>
      </w:tr>
      <w:tr w:rsidR="00F1496C" w:rsidRPr="00F1496C" w14:paraId="4BA2C4F4" w14:textId="525F9E40" w:rsidTr="001F316B">
        <w:trPr>
          <w:trHeight w:val="307"/>
        </w:trPr>
        <w:tc>
          <w:tcPr>
            <w:tcW w:w="1559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A36BA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GB"/>
              </w:rPr>
              <w:t>ACR20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64FCE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</w:tcBorders>
            <w:shd w:val="clear" w:color="auto" w:fill="auto"/>
            <w:noWrap/>
            <w:vAlign w:val="bottom"/>
          </w:tcPr>
          <w:p w14:paraId="63479FE8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D9D9D9" w:themeColor="background1" w:themeShade="D9"/>
            </w:tcBorders>
          </w:tcPr>
          <w:p w14:paraId="1EC38C2C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4DCE6DA2" w14:textId="0366EDF5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50BE5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14:paraId="3946E8B3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F1496C" w:rsidRPr="00F1496C" w14:paraId="5B0B2F70" w14:textId="7059E0A2" w:rsidTr="001F316B">
        <w:trPr>
          <w:trHeight w:val="307"/>
        </w:trPr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AAB1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1A7A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hideMark/>
          </w:tcPr>
          <w:p w14:paraId="14F8C061" w14:textId="1497C033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75.0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4D1592C4" w14:textId="399EE78E" w:rsidR="00554E08" w:rsidRPr="00F1496C" w:rsidRDefault="00E7636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7.7</w:t>
            </w:r>
          </w:p>
        </w:tc>
        <w:tc>
          <w:tcPr>
            <w:tcW w:w="992" w:type="dxa"/>
            <w:tcBorders>
              <w:left w:val="single" w:sz="6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hideMark/>
          </w:tcPr>
          <w:p w14:paraId="25F90A81" w14:textId="4EE5485A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4B25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74.2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30B9D3D" w14:textId="035B00B6" w:rsidR="00554E08" w:rsidRPr="00F1496C" w:rsidRDefault="00E7636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7.9</w:t>
            </w:r>
          </w:p>
        </w:tc>
      </w:tr>
      <w:tr w:rsidR="00F1496C" w:rsidRPr="00F1496C" w14:paraId="6C404650" w14:textId="2F9C06B3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7C87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30CFF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23566536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66.7</w:t>
            </w:r>
          </w:p>
        </w:tc>
        <w:tc>
          <w:tcPr>
            <w:tcW w:w="1701" w:type="dxa"/>
            <w:tcBorders>
              <w:top w:val="nil"/>
              <w:right w:val="single" w:sz="6" w:space="0" w:color="D9D9D9" w:themeColor="background1" w:themeShade="D9"/>
            </w:tcBorders>
          </w:tcPr>
          <w:p w14:paraId="1D9AB9EC" w14:textId="1F9FFF70" w:rsidR="00554E08" w:rsidRPr="00F1496C" w:rsidRDefault="00457AEF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8.</w:t>
            </w:r>
            <w:r w:rsidR="00E7636E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hideMark/>
          </w:tcPr>
          <w:p w14:paraId="44758289" w14:textId="4FAC3C86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DAB44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76.7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B9DD31" w14:textId="3D4BD5E5" w:rsidR="00554E08" w:rsidRPr="00F1496C" w:rsidRDefault="00C73F24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7.7 </w:t>
            </w:r>
          </w:p>
        </w:tc>
      </w:tr>
      <w:tr w:rsidR="00F1496C" w:rsidRPr="00F1496C" w14:paraId="2A82AC9C" w14:textId="6867644F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65994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77FF8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31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hideMark/>
          </w:tcPr>
          <w:p w14:paraId="36353B04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74.2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200CE12D" w14:textId="7674E7E3" w:rsidR="00554E08" w:rsidRPr="00F1496C" w:rsidRDefault="00660BE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7.</w:t>
            </w:r>
            <w:r w:rsidR="00E7636E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hideMark/>
          </w:tcPr>
          <w:p w14:paraId="3325CDD6" w14:textId="53DB5306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66C39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86.2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801DCA" w14:textId="4653036A" w:rsidR="00554E08" w:rsidRPr="00F1496C" w:rsidRDefault="00C73F24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6.4 </w:t>
            </w:r>
          </w:p>
        </w:tc>
      </w:tr>
      <w:tr w:rsidR="00F1496C" w:rsidRPr="00F1496C" w14:paraId="5C67EF30" w14:textId="0B03A83A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4B7B5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88F3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2E8A2F2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66.7</w:t>
            </w:r>
          </w:p>
        </w:tc>
        <w:tc>
          <w:tcPr>
            <w:tcW w:w="1701" w:type="dxa"/>
            <w:tcBorders>
              <w:top w:val="nil"/>
              <w:right w:val="single" w:sz="6" w:space="0" w:color="D9D9D9" w:themeColor="background1" w:themeShade="D9"/>
            </w:tcBorders>
          </w:tcPr>
          <w:p w14:paraId="62CB5D53" w14:textId="24D06A5C" w:rsidR="00554E08" w:rsidRPr="00F1496C" w:rsidRDefault="00C73F24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11.1 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hideMark/>
          </w:tcPr>
          <w:p w14:paraId="063EE726" w14:textId="29274694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4E55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82.4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596461" w14:textId="40157877" w:rsidR="00554E08" w:rsidRPr="00F1496C" w:rsidRDefault="00E7636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9.3</w:t>
            </w:r>
          </w:p>
        </w:tc>
      </w:tr>
      <w:tr w:rsidR="00F1496C" w:rsidRPr="00F1496C" w14:paraId="1B936B64" w14:textId="4E6CB6A1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FFC40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CE7BD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17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hideMark/>
          </w:tcPr>
          <w:p w14:paraId="7DA2F1E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82.4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51EE4DFF" w14:textId="7894572E" w:rsidR="00554E08" w:rsidRPr="00F1496C" w:rsidRDefault="00E7636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9.3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hideMark/>
          </w:tcPr>
          <w:p w14:paraId="6F265C17" w14:textId="2EC836E2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7DB43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93.8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A70CB7" w14:textId="2AF43C25" w:rsidR="00554E08" w:rsidRPr="00F1496C" w:rsidRDefault="00E7636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6.1</w:t>
            </w:r>
            <w:r w:rsidR="00C73F24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F1496C" w:rsidRPr="00F1496C" w14:paraId="115BE0F3" w14:textId="129F943C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B8AD6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9ED5C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hideMark/>
          </w:tcPr>
          <w:p w14:paraId="51F3D669" w14:textId="2AA3CB16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100.0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4A101BB0" w14:textId="57173CE2" w:rsidR="00554E08" w:rsidRPr="00F1496C" w:rsidRDefault="005141E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</w:t>
            </w:r>
            <w:r w:rsidR="00E7636E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.0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hideMark/>
          </w:tcPr>
          <w:p w14:paraId="12756658" w14:textId="3E331DEE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3FC89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88.9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068DC7" w14:textId="37B0BF68" w:rsidR="00554E08" w:rsidRPr="00F1496C" w:rsidRDefault="00C73F24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10.5 </w:t>
            </w:r>
          </w:p>
        </w:tc>
      </w:tr>
      <w:tr w:rsidR="00F1496C" w:rsidRPr="00F1496C" w14:paraId="103AE21F" w14:textId="0979C5D1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18134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660D6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hideMark/>
          </w:tcPr>
          <w:p w14:paraId="78CDCD60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66.7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78834256" w14:textId="0F2F5D18" w:rsidR="00554E08" w:rsidRPr="00F1496C" w:rsidRDefault="00C73F24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19.2 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hideMark/>
          </w:tcPr>
          <w:p w14:paraId="0A4CE1B3" w14:textId="6702FBD0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B5363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77.8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A69115" w14:textId="022543D8" w:rsidR="00554E08" w:rsidRPr="00F1496C" w:rsidRDefault="005141E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13.9</w:t>
            </w:r>
            <w:r w:rsidR="00C73F24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F1496C" w:rsidRPr="00F1496C" w14:paraId="6A5CB9AF" w14:textId="5418A845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017AF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21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D7C01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hideMark/>
          </w:tcPr>
          <w:p w14:paraId="44F1AC3E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66.7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0D8AAC69" w14:textId="67A30911" w:rsidR="00554E08" w:rsidRPr="00F1496C" w:rsidRDefault="00C73F24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19.2 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  <w:hideMark/>
          </w:tcPr>
          <w:p w14:paraId="0669979A" w14:textId="5E94CD09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E9909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85.7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0FC5082" w14:textId="0A162ECD" w:rsidR="00554E08" w:rsidRPr="00F1496C" w:rsidRDefault="00C73F24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13.2 </w:t>
            </w:r>
          </w:p>
        </w:tc>
      </w:tr>
      <w:tr w:rsidR="00F1496C" w:rsidRPr="00F1496C" w14:paraId="35180D00" w14:textId="7AA96536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024C5DB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46B33773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hideMark/>
          </w:tcPr>
          <w:p w14:paraId="6463230D" w14:textId="085FE586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100.0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  <w:right w:val="single" w:sz="6" w:space="0" w:color="D9D9D9" w:themeColor="background1" w:themeShade="D9"/>
            </w:tcBorders>
          </w:tcPr>
          <w:p w14:paraId="06C4026D" w14:textId="71C53344" w:rsidR="00554E08" w:rsidRPr="00F1496C" w:rsidRDefault="00C73F24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0.0 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4A448642" w14:textId="1C04FF54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14:paraId="41DF7854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83.3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D1591E" w14:textId="77777777" w:rsidR="00554E08" w:rsidRPr="00F1496C" w:rsidRDefault="00C73F24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15.2 </w:t>
            </w:r>
          </w:p>
          <w:p w14:paraId="4F9CCE97" w14:textId="5262005C" w:rsidR="001745B6" w:rsidRPr="00F1496C" w:rsidRDefault="001745B6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F1496C" w:rsidRPr="00F1496C" w14:paraId="3D867691" w14:textId="4DAE4801" w:rsidTr="001F316B">
        <w:trPr>
          <w:trHeight w:val="307"/>
        </w:trPr>
        <w:tc>
          <w:tcPr>
            <w:tcW w:w="1559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A8EA0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GB"/>
              </w:rPr>
              <w:t>ACR50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26C6D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A60336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14:paraId="45CD7308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D60CCD" w14:textId="289DB8F6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B60910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14:paraId="320D1D5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F1496C" w:rsidRPr="00F1496C" w14:paraId="15438F85" w14:textId="3C2B5751" w:rsidTr="001F316B">
        <w:trPr>
          <w:trHeight w:val="307"/>
        </w:trPr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7F64A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453B8D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5F0A64BD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21.9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51139799" w14:textId="546B74DF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7.3</w:t>
            </w:r>
            <w:r w:rsidR="00C73F24"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2CC7A2AB" w14:textId="75C2E68D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B84534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41.9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5C1878E" w14:textId="5078A81B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8.9</w:t>
            </w:r>
            <w:r w:rsidR="00C73F24"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F1496C" w:rsidRPr="00F1496C" w14:paraId="70CA2F03" w14:textId="4C7A3737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BE59A90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676E7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33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25059124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48.5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0EAB1919" w14:textId="57727EDD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8.7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619DD79C" w14:textId="77ABA378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656B16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53.3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7A510A6" w14:textId="0EC29731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9.1</w:t>
            </w:r>
          </w:p>
        </w:tc>
      </w:tr>
      <w:tr w:rsidR="00F1496C" w:rsidRPr="00F1496C" w14:paraId="5836650F" w14:textId="627C77B6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7A8865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CF395F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72D8D19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51.6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609C2A8C" w14:textId="02E0DC60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9.0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02ECA2A3" w14:textId="54EE9A24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B27FD8A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65.5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C095EED" w14:textId="60313F42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8.8</w:t>
            </w:r>
          </w:p>
        </w:tc>
      </w:tr>
      <w:tr w:rsidR="00F1496C" w:rsidRPr="00F1496C" w14:paraId="030A4449" w14:textId="6E8B93D2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CFDDB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78C90E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12C624A9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55.6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79884BAD" w14:textId="2C5BB88D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11.7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56792390" w14:textId="62192409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561FB0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64.7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BB2C470" w14:textId="7EDDA31B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11.6</w:t>
            </w:r>
          </w:p>
        </w:tc>
      </w:tr>
      <w:tr w:rsidR="00F1496C" w:rsidRPr="00F1496C" w14:paraId="138C92D2" w14:textId="14270549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EA517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449CF0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0E455EC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52.9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3EFF4944" w14:textId="5F303C06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12.1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1650FB77" w14:textId="7CCC26F4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CBC68B" w14:textId="6B722238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8027A17" w14:textId="1D2E66BD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10.8 </w:t>
            </w:r>
          </w:p>
        </w:tc>
      </w:tr>
      <w:tr w:rsidR="00F1496C" w:rsidRPr="00F1496C" w14:paraId="04F6D908" w14:textId="5212A383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E9515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E24249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5215AF8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66.7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414F3BD4" w14:textId="5260DAEB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19.2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24FBB30C" w14:textId="62AA7B76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10A780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77.8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017CCA8" w14:textId="5DA35908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13.9</w:t>
            </w:r>
          </w:p>
        </w:tc>
      </w:tr>
      <w:tr w:rsidR="00F1496C" w:rsidRPr="00F1496C" w14:paraId="6F99C96E" w14:textId="1C130A5F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F0C13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31A63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0AC14A4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33.3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6353AAF9" w14:textId="6B686168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19.2 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344BE455" w14:textId="17B70551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83567C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66.7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181A0FA" w14:textId="6C1AF07D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15.7</w:t>
            </w:r>
          </w:p>
        </w:tc>
      </w:tr>
      <w:tr w:rsidR="00F1496C" w:rsidRPr="00F1496C" w14:paraId="4A51E6B9" w14:textId="05094EB9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D180DC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Month 21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497A85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1EEE313C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33.3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0718E1C4" w14:textId="28530993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19.2 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32E39A72" w14:textId="1BD2F54A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A8E479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71.4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11DAFA6" w14:textId="1C80A41B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17.1</w:t>
            </w:r>
          </w:p>
        </w:tc>
      </w:tr>
      <w:tr w:rsidR="00F1496C" w:rsidRPr="00F1496C" w14:paraId="66FF7615" w14:textId="7AE86617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430D2F35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Month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6BD8E296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nil"/>
              <w:bottom w:val="single" w:sz="6" w:space="0" w:color="auto"/>
            </w:tcBorders>
            <w:shd w:val="clear" w:color="auto" w:fill="auto"/>
            <w:noWrap/>
          </w:tcPr>
          <w:p w14:paraId="7A7988A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83.3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D9D9D9" w:themeColor="background1" w:themeShade="D9"/>
            </w:tcBorders>
          </w:tcPr>
          <w:p w14:paraId="0850D16C" w14:textId="4BCC794D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15.2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237B774F" w14:textId="6099D36C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529CDE0D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83.3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A18B0C" w14:textId="26654DF8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15.2</w:t>
            </w:r>
          </w:p>
        </w:tc>
      </w:tr>
      <w:tr w:rsidR="00F1496C" w:rsidRPr="00F1496C" w14:paraId="25797F92" w14:textId="10602D98" w:rsidTr="001F316B">
        <w:trPr>
          <w:trHeight w:val="307"/>
        </w:trPr>
        <w:tc>
          <w:tcPr>
            <w:tcW w:w="1559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61E9E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en-GB"/>
              </w:rPr>
              <w:lastRenderedPageBreak/>
              <w:t>ACR70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5740CC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</w:tcBorders>
            <w:shd w:val="clear" w:color="auto" w:fill="auto"/>
            <w:noWrap/>
            <w:vAlign w:val="bottom"/>
          </w:tcPr>
          <w:p w14:paraId="325DB1F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D9D9D9" w:themeColor="background1" w:themeShade="D9"/>
            </w:tcBorders>
          </w:tcPr>
          <w:p w14:paraId="5CBFE423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4F80509A" w14:textId="1F7EC10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A10CEC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14:paraId="54C1D8B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1496C" w:rsidRPr="00F1496C" w14:paraId="7B9AE240" w14:textId="2BA3BCAC" w:rsidTr="001F316B">
        <w:trPr>
          <w:trHeight w:val="307"/>
        </w:trPr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1FC29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79817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22694F56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3.1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3A82126A" w14:textId="22FDFB98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3.1</w:t>
            </w:r>
          </w:p>
        </w:tc>
        <w:tc>
          <w:tcPr>
            <w:tcW w:w="992" w:type="dxa"/>
            <w:tcBorders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3D154F43" w14:textId="489FEE34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8E9FF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9.7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389E44E" w14:textId="0E1EB422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5.3</w:t>
            </w:r>
          </w:p>
        </w:tc>
      </w:tr>
      <w:tr w:rsidR="00F1496C" w:rsidRPr="00F1496C" w14:paraId="14C738AA" w14:textId="1C086BAA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E69B45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DFA72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33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3B1CF543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21.2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1BB4AED6" w14:textId="07676913" w:rsidR="00784CBC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7.1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60F9E09B" w14:textId="2B0937F6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2A8F45" w14:textId="43032A14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A171EBF" w14:textId="2A9CFA9C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7.3</w:t>
            </w:r>
            <w:r w:rsidR="00C73F24"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F1496C" w:rsidRPr="00F1496C" w14:paraId="356DF4B0" w14:textId="34032B87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D5892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FA99BE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5BE8F74C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25.8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1A6FFC69" w14:textId="340B5B7B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7.9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13640052" w14:textId="7DA412BE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6CF7DE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24.1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8A99EF9" w14:textId="232C8DDE" w:rsidR="00554E08" w:rsidRPr="00F1496C" w:rsidRDefault="00E763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8.0</w:t>
            </w:r>
            <w:r w:rsidR="00C73F24"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F1496C" w:rsidRPr="00F1496C" w14:paraId="43B33D39" w14:textId="1E44BADC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50D349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C67F1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5B05B06D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38.9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2167435D" w14:textId="50F02FEF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11.5 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044E2C2E" w14:textId="55330583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018760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35.3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DC13BE6" w14:textId="435100BB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11.6</w:t>
            </w:r>
          </w:p>
        </w:tc>
      </w:tr>
      <w:tr w:rsidR="00F1496C" w:rsidRPr="00F1496C" w14:paraId="3953A37E" w14:textId="0923C651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409B4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910DDE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1ACDBDCA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41.2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6026B878" w14:textId="426CC4D8" w:rsidR="00554E08" w:rsidRPr="00F1496C" w:rsidRDefault="007709BC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73F24" w:rsidRPr="00F1496C">
              <w:rPr>
                <w:rFonts w:ascii="Arial" w:hAnsi="Arial" w:cs="Arial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61F6B470" w14:textId="11901949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752685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43.8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C7BCA26" w14:textId="4015CF94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12.4</w:t>
            </w:r>
          </w:p>
        </w:tc>
      </w:tr>
      <w:tr w:rsidR="00F1496C" w:rsidRPr="00F1496C" w14:paraId="2632CDA6" w14:textId="7406DA89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B3F72F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1E9AD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</w:tcPr>
          <w:p w14:paraId="30262E7A" w14:textId="4051CF6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50.0</w:t>
            </w:r>
          </w:p>
        </w:tc>
        <w:tc>
          <w:tcPr>
            <w:tcW w:w="1701" w:type="dxa"/>
            <w:tcBorders>
              <w:top w:val="nil"/>
              <w:right w:val="single" w:sz="6" w:space="0" w:color="D9D9D9" w:themeColor="background1" w:themeShade="D9"/>
            </w:tcBorders>
          </w:tcPr>
          <w:p w14:paraId="68242ADA" w14:textId="2C532047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20.4 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43D1BD09" w14:textId="487FC13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4DDD6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44.4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5FAA597" w14:textId="0F7D52A6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16.6</w:t>
            </w:r>
          </w:p>
        </w:tc>
      </w:tr>
      <w:tr w:rsidR="00F1496C" w:rsidRPr="00F1496C" w14:paraId="4D4A5B65" w14:textId="3BAF7A62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08130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CDBB97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35A292D5" w14:textId="283A707F" w:rsidR="00554E08" w:rsidRPr="00F1496C" w:rsidRDefault="002F7580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0D5A0C4D" w14:textId="0309A4FF" w:rsidR="00554E08" w:rsidRPr="00F1496C" w:rsidRDefault="002F7580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38E7BC56" w14:textId="4E8CDF29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31099B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44.4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5F6C3FD" w14:textId="737CC0D6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16.6 </w:t>
            </w:r>
          </w:p>
        </w:tc>
      </w:tr>
      <w:tr w:rsidR="00F1496C" w:rsidRPr="00F1496C" w14:paraId="25B12198" w14:textId="76C99833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A11499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21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6A0026F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</w:tcPr>
          <w:p w14:paraId="138A0F6E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16.7</w:t>
            </w:r>
          </w:p>
        </w:tc>
        <w:tc>
          <w:tcPr>
            <w:tcW w:w="1701" w:type="dxa"/>
            <w:tcBorders>
              <w:right w:val="single" w:sz="6" w:space="0" w:color="D9D9D9" w:themeColor="background1" w:themeShade="D9"/>
            </w:tcBorders>
          </w:tcPr>
          <w:p w14:paraId="78D40810" w14:textId="35E772BE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15.2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right w:val="nil"/>
            </w:tcBorders>
            <w:shd w:val="clear" w:color="auto" w:fill="auto"/>
            <w:noWrap/>
          </w:tcPr>
          <w:p w14:paraId="327E9DCB" w14:textId="5296A8BC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783C61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28.6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EE0CDD2" w14:textId="5548F2EB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17.1 </w:t>
            </w:r>
          </w:p>
        </w:tc>
      </w:tr>
      <w:tr w:rsidR="00F1496C" w:rsidRPr="00F1496C" w14:paraId="2B30A545" w14:textId="0144BD58" w:rsidTr="001F316B">
        <w:trPr>
          <w:trHeight w:val="307"/>
        </w:trPr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17627B38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381DD342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nil"/>
              <w:bottom w:val="single" w:sz="6" w:space="0" w:color="auto"/>
            </w:tcBorders>
            <w:shd w:val="clear" w:color="auto" w:fill="auto"/>
            <w:noWrap/>
          </w:tcPr>
          <w:p w14:paraId="6B3E627E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16.7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D9D9D9" w:themeColor="background1" w:themeShade="D9"/>
            </w:tcBorders>
          </w:tcPr>
          <w:p w14:paraId="1998FC4A" w14:textId="1AA742E3" w:rsidR="00554E08" w:rsidRPr="00F1496C" w:rsidRDefault="00B3706E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="00C73F24" w:rsidRPr="00F1496C">
              <w:rPr>
                <w:rFonts w:ascii="Arial" w:hAnsi="Arial" w:cs="Arial"/>
                <w:sz w:val="24"/>
                <w:szCs w:val="24"/>
                <w:lang w:val="en-US"/>
              </w:rPr>
              <w:t>.2</w:t>
            </w:r>
          </w:p>
        </w:tc>
        <w:tc>
          <w:tcPr>
            <w:tcW w:w="992" w:type="dxa"/>
            <w:tcBorders>
              <w:top w:val="nil"/>
              <w:left w:val="single" w:sz="6" w:space="0" w:color="D9D9D9" w:themeColor="background1" w:themeShade="D9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53555B9B" w14:textId="794650DC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</w:tcPr>
          <w:p w14:paraId="0CA82F70" w14:textId="77777777" w:rsidR="00554E08" w:rsidRPr="00F1496C" w:rsidRDefault="00554E08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>33.3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209A75" w14:textId="045BFCDB" w:rsidR="00554E08" w:rsidRPr="00F1496C" w:rsidRDefault="00C73F24" w:rsidP="00F1496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sz w:val="24"/>
                <w:szCs w:val="24"/>
                <w:lang w:val="en-US"/>
              </w:rPr>
              <w:t xml:space="preserve">19.2 </w:t>
            </w:r>
          </w:p>
        </w:tc>
      </w:tr>
    </w:tbl>
    <w:p w14:paraId="4C1FDDAB" w14:textId="77777777" w:rsidR="000C0AEC" w:rsidRPr="00F1496C" w:rsidRDefault="000C0AEC" w:rsidP="00F1496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6384366" w14:textId="2C28A864" w:rsidR="00E7244E" w:rsidRPr="00F1496C" w:rsidRDefault="00E7244E" w:rsidP="00F1496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496C">
        <w:rPr>
          <w:rFonts w:ascii="Arial" w:hAnsi="Arial" w:cs="Arial"/>
          <w:sz w:val="24"/>
          <w:szCs w:val="24"/>
          <w:lang w:val="en-US"/>
        </w:rPr>
        <w:t>ACR20/50/70: American College of Rheumatology 20/50/70 response rates; BID: twic</w:t>
      </w:r>
      <w:r w:rsidR="00F22581" w:rsidRPr="00F1496C">
        <w:rPr>
          <w:rFonts w:ascii="Arial" w:hAnsi="Arial" w:cs="Arial"/>
          <w:sz w:val="24"/>
          <w:szCs w:val="24"/>
          <w:lang w:val="en-US"/>
        </w:rPr>
        <w:t>e daily; CI, confidence interval; FAS: full analysis set; SE, standard error.</w:t>
      </w:r>
    </w:p>
    <w:p w14:paraId="75EA3350" w14:textId="34BF69E4" w:rsidR="00895D7E" w:rsidRPr="00F1496C" w:rsidRDefault="00895D7E" w:rsidP="00F1496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496C">
        <w:rPr>
          <w:rFonts w:ascii="Arial" w:hAnsi="Arial" w:cs="Arial"/>
          <w:sz w:val="24"/>
          <w:szCs w:val="24"/>
          <w:lang w:val="en-US"/>
        </w:rPr>
        <w:t>N represents the numbers of patients with non-missing ACR response.</w:t>
      </w:r>
    </w:p>
    <w:p w14:paraId="7A2B43D6" w14:textId="077E4F30" w:rsidR="00F10A4C" w:rsidRPr="00F1496C" w:rsidRDefault="00F10A4C" w:rsidP="00F1496C">
      <w:pPr>
        <w:spacing w:after="0" w:line="360" w:lineRule="auto"/>
        <w:jc w:val="both"/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sectPr w:rsidR="00F10A4C" w:rsidRPr="00F1496C" w:rsidSect="00F1496C">
          <w:headerReference w:type="default" r:id="rId10"/>
          <w:pgSz w:w="12242" w:h="15842" w:code="1"/>
          <w:pgMar w:top="1701" w:right="1701" w:bottom="1701" w:left="1701" w:header="709" w:footer="709" w:gutter="0"/>
          <w:cols w:space="708"/>
          <w:docGrid w:linePitch="360"/>
        </w:sectPr>
      </w:pPr>
      <w:r w:rsidRPr="00F1496C">
        <w:rPr>
          <w:rStyle w:val="Emphasis"/>
          <w:rFonts w:ascii="Arial" w:hAnsi="Arial" w:cs="Arial"/>
          <w:i w:val="0"/>
          <w:sz w:val="24"/>
          <w:szCs w:val="24"/>
          <w:lang w:val="en-US"/>
        </w:rPr>
        <w:t>Efficacy analyses were based on three studies: ORAL Scan, ORAL Solo and ORAL Sync</w:t>
      </w:r>
      <w:r w:rsidR="00E7244E" w:rsidRPr="00F1496C">
        <w:rPr>
          <w:rStyle w:val="Emphasis"/>
          <w:rFonts w:ascii="Arial" w:hAnsi="Arial" w:cs="Arial"/>
          <w:i w:val="0"/>
          <w:sz w:val="24"/>
          <w:szCs w:val="24"/>
          <w:lang w:val="en-US"/>
        </w:rPr>
        <w:t>.</w:t>
      </w:r>
    </w:p>
    <w:p w14:paraId="68D67049" w14:textId="6694C947" w:rsidR="00A5236B" w:rsidRPr="00F1496C" w:rsidRDefault="00A5236B" w:rsidP="00F1496C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  <w:lang w:val="en-US"/>
        </w:rPr>
      </w:pPr>
      <w:r w:rsidRPr="00F1496C">
        <w:rPr>
          <w:rFonts w:ascii="Arial" w:hAnsi="Arial" w:cs="Arial"/>
          <w:b/>
          <w:sz w:val="24"/>
          <w:szCs w:val="24"/>
          <w:lang w:val="en-US"/>
        </w:rPr>
        <w:lastRenderedPageBreak/>
        <w:t>Supplementary Table 2</w:t>
      </w:r>
      <w:r w:rsidR="00E7244E" w:rsidRPr="00F1496C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7E129D" w:rsidRPr="00F1496C">
        <w:rPr>
          <w:rFonts w:ascii="Arial" w:hAnsi="Arial" w:cs="Arial"/>
          <w:b/>
          <w:sz w:val="24"/>
          <w:szCs w:val="24"/>
          <w:lang w:val="en-US"/>
        </w:rPr>
        <w:t xml:space="preserve">Data for </w:t>
      </w:r>
      <w:r w:rsidR="00E7244E" w:rsidRPr="00F1496C">
        <w:rPr>
          <w:rFonts w:ascii="Arial" w:hAnsi="Arial" w:cs="Arial"/>
          <w:b/>
          <w:sz w:val="24"/>
          <w:szCs w:val="24"/>
          <w:lang w:val="en-US"/>
        </w:rPr>
        <w:t xml:space="preserve">Fig. </w:t>
      </w:r>
      <w:r w:rsidRPr="00F1496C">
        <w:rPr>
          <w:rFonts w:ascii="Arial" w:hAnsi="Arial" w:cs="Arial"/>
          <w:b/>
          <w:sz w:val="24"/>
          <w:szCs w:val="24"/>
          <w:lang w:val="en-US"/>
        </w:rPr>
        <w:t>2</w:t>
      </w:r>
      <w:r w:rsidR="00E7244E" w:rsidRPr="00F1496C">
        <w:rPr>
          <w:rFonts w:ascii="Arial" w:hAnsi="Arial" w:cs="Arial"/>
          <w:b/>
          <w:sz w:val="24"/>
          <w:szCs w:val="24"/>
          <w:lang w:val="en-US"/>
        </w:rPr>
        <w:t>:</w:t>
      </w:r>
      <w:r w:rsidR="00F64B17" w:rsidRPr="00F1496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B78C9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Mean DAS28-4(ESR) over time for the </w:t>
      </w:r>
      <w:proofErr w:type="spellStart"/>
      <w:r w:rsidR="008B78C9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tofacitinib</w:t>
      </w:r>
      <w:proofErr w:type="spellEnd"/>
      <w:r w:rsidR="008B78C9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 5 and 10 mg BID groups in the efficacy subpopulation</w:t>
      </w:r>
      <w:r w:rsidR="00F64B17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 (FAS, observed)</w:t>
      </w:r>
      <w:r w:rsidR="00E7244E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.</w:t>
      </w:r>
      <w:r w:rsidR="001916C1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 </w:t>
      </w:r>
    </w:p>
    <w:tbl>
      <w:tblPr>
        <w:tblW w:w="8080" w:type="dxa"/>
        <w:tblInd w:w="1141" w:type="dxa"/>
        <w:tblLayout w:type="fixed"/>
        <w:tblLook w:val="04A0" w:firstRow="1" w:lastRow="0" w:firstColumn="1" w:lastColumn="0" w:noHBand="0" w:noVBand="1"/>
      </w:tblPr>
      <w:tblGrid>
        <w:gridCol w:w="1205"/>
        <w:gridCol w:w="922"/>
        <w:gridCol w:w="1134"/>
        <w:gridCol w:w="1134"/>
        <w:gridCol w:w="850"/>
        <w:gridCol w:w="1418"/>
        <w:gridCol w:w="1417"/>
      </w:tblGrid>
      <w:tr w:rsidR="00F1496C" w:rsidRPr="00F1496C" w14:paraId="4FB81CA2" w14:textId="77777777" w:rsidTr="008F07D6">
        <w:trPr>
          <w:trHeight w:val="982"/>
        </w:trPr>
        <w:tc>
          <w:tcPr>
            <w:tcW w:w="1205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059E90FE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2F2D060A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proofErr w:type="spellStart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Tofacitinib</w:t>
            </w:r>
            <w:proofErr w:type="spellEnd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5 mg BID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BFBFBF" w:themeColor="background1" w:themeShade="BF"/>
              <w:bottom w:val="single" w:sz="6" w:space="0" w:color="auto"/>
            </w:tcBorders>
            <w:shd w:val="clear" w:color="auto" w:fill="auto"/>
            <w:vAlign w:val="bottom"/>
          </w:tcPr>
          <w:p w14:paraId="6D4D7616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proofErr w:type="spellStart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Tofacitinib</w:t>
            </w:r>
            <w:proofErr w:type="spellEnd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10 mg BID</w:t>
            </w:r>
          </w:p>
        </w:tc>
      </w:tr>
      <w:tr w:rsidR="00F1496C" w:rsidRPr="00F1496C" w14:paraId="0A4A5E50" w14:textId="77777777" w:rsidTr="008F07D6">
        <w:trPr>
          <w:trHeight w:val="982"/>
        </w:trPr>
        <w:tc>
          <w:tcPr>
            <w:tcW w:w="1205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652F4964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21F79A9" w14:textId="0B656970" w:rsidR="008B78C9" w:rsidRPr="00F1496C" w:rsidRDefault="00670045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C8B3DA8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Mean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34C93A23" w14:textId="77777777" w:rsidR="008B78C9" w:rsidRPr="00F1496C" w:rsidRDefault="0081364F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BFBFBF" w:themeColor="background1" w:themeShade="BF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6C81DF8" w14:textId="7ECB491D" w:rsidR="008B78C9" w:rsidRPr="00F1496C" w:rsidRDefault="00670045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N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63270FC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Mean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38254EBC" w14:textId="77777777" w:rsidR="008B78C9" w:rsidRPr="00F1496C" w:rsidRDefault="0081364F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SE</w:t>
            </w:r>
          </w:p>
        </w:tc>
      </w:tr>
      <w:tr w:rsidR="00F1496C" w:rsidRPr="00F1496C" w14:paraId="2C3D4693" w14:textId="77777777" w:rsidTr="008F07D6">
        <w:trPr>
          <w:trHeight w:val="327"/>
        </w:trPr>
        <w:tc>
          <w:tcPr>
            <w:tcW w:w="1205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10D8A2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Baseline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A2F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762B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6.3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103401FA" w14:textId="77777777" w:rsidR="008B78C9" w:rsidRPr="00F1496C" w:rsidRDefault="0081364F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89B2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3C24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6.2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BF200C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</w:tr>
      <w:tr w:rsidR="00F1496C" w:rsidRPr="00F1496C" w14:paraId="025A6F7E" w14:textId="77777777" w:rsidTr="008F07D6">
        <w:trPr>
          <w:trHeight w:val="327"/>
        </w:trPr>
        <w:tc>
          <w:tcPr>
            <w:tcW w:w="120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C9438D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635F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039C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E9D582E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0.8</w:t>
            </w:r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B4C0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13FF" w14:textId="1484AE5A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</w:t>
            </w:r>
            <w:r w:rsidR="00736A52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F6F0D35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0.7</w:t>
            </w:r>
          </w:p>
        </w:tc>
      </w:tr>
      <w:tr w:rsidR="00F1496C" w:rsidRPr="00F1496C" w14:paraId="439B7964" w14:textId="77777777" w:rsidTr="008F07D6">
        <w:trPr>
          <w:trHeight w:val="327"/>
        </w:trPr>
        <w:tc>
          <w:tcPr>
            <w:tcW w:w="120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73E1F4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3BCA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7F51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B0AEC1E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FC62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325C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2BEFCE" w14:textId="6031CFDE" w:rsidR="008B78C9" w:rsidRPr="00F1496C" w:rsidRDefault="009104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</w:tr>
      <w:tr w:rsidR="00F1496C" w:rsidRPr="00F1496C" w14:paraId="7A518D8D" w14:textId="77777777" w:rsidTr="008F07D6">
        <w:trPr>
          <w:trHeight w:val="327"/>
        </w:trPr>
        <w:tc>
          <w:tcPr>
            <w:tcW w:w="120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8CDD13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0362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AC81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1A56ABE7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8AFF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1674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65C345C" w14:textId="12A1AA4F" w:rsidR="008B78C9" w:rsidRPr="00F1496C" w:rsidRDefault="009104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0.3</w:t>
            </w:r>
          </w:p>
        </w:tc>
      </w:tr>
      <w:tr w:rsidR="00F1496C" w:rsidRPr="00F1496C" w14:paraId="4AA2F3A0" w14:textId="77777777" w:rsidTr="008F07D6">
        <w:trPr>
          <w:trHeight w:val="327"/>
        </w:trPr>
        <w:tc>
          <w:tcPr>
            <w:tcW w:w="120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B05C26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F671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48AF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5833053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0.4</w:t>
            </w:r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B652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3D48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067D6AA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0.4</w:t>
            </w:r>
          </w:p>
        </w:tc>
      </w:tr>
      <w:tr w:rsidR="00F1496C" w:rsidRPr="00F1496C" w14:paraId="097BDE85" w14:textId="77777777" w:rsidTr="008F07D6">
        <w:trPr>
          <w:trHeight w:val="327"/>
        </w:trPr>
        <w:tc>
          <w:tcPr>
            <w:tcW w:w="120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691FFB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DEBD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CA7C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7D9B803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0.3</w:t>
            </w:r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1112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D268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C0A4B7" w14:textId="683DB3C7" w:rsidR="008B78C9" w:rsidRPr="00F1496C" w:rsidRDefault="00910408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</w:tr>
      <w:tr w:rsidR="00F1496C" w:rsidRPr="00F1496C" w14:paraId="565EC9A7" w14:textId="77777777" w:rsidTr="008F07D6">
        <w:trPr>
          <w:trHeight w:val="327"/>
        </w:trPr>
        <w:tc>
          <w:tcPr>
            <w:tcW w:w="120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144637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AB22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1AA2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49BA862D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0.3</w:t>
            </w:r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5793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531A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6870F33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0.4</w:t>
            </w:r>
          </w:p>
        </w:tc>
      </w:tr>
      <w:tr w:rsidR="00F1496C" w:rsidRPr="00F1496C" w14:paraId="36C21FB1" w14:textId="77777777" w:rsidTr="008F07D6">
        <w:trPr>
          <w:trHeight w:val="327"/>
        </w:trPr>
        <w:tc>
          <w:tcPr>
            <w:tcW w:w="120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6AF95E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3BA0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56F9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48B64CDF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0.7</w:t>
            </w:r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EC9E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2890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2C1FAE0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0.4</w:t>
            </w:r>
          </w:p>
        </w:tc>
      </w:tr>
      <w:tr w:rsidR="00F1496C" w:rsidRPr="00F1496C" w14:paraId="33FEFFAC" w14:textId="77777777" w:rsidTr="008F07D6">
        <w:trPr>
          <w:trHeight w:val="327"/>
        </w:trPr>
        <w:tc>
          <w:tcPr>
            <w:tcW w:w="1205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046AB9B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21</w:t>
            </w: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3F23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F5C9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4.1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25DF238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59220BC9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F5C4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3.2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2D230837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0.5</w:t>
            </w:r>
          </w:p>
        </w:tc>
      </w:tr>
      <w:tr w:rsidR="00F1496C" w:rsidRPr="00F1496C" w14:paraId="768B0BE5" w14:textId="77777777" w:rsidTr="008F07D6">
        <w:trPr>
          <w:trHeight w:val="327"/>
        </w:trPr>
        <w:tc>
          <w:tcPr>
            <w:tcW w:w="1205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A32D38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A9EFB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1AA4C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26EF868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C7C9B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52372" w14:textId="77777777" w:rsidR="008B78C9" w:rsidRPr="00F1496C" w:rsidRDefault="008B78C9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3AD9DC9" w14:textId="77777777" w:rsidR="008B78C9" w:rsidRPr="00F1496C" w:rsidRDefault="009514C2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0.6</w:t>
            </w:r>
          </w:p>
        </w:tc>
      </w:tr>
    </w:tbl>
    <w:p w14:paraId="5BB6CFE4" w14:textId="77777777" w:rsidR="000C0AEC" w:rsidRPr="00F1496C" w:rsidRDefault="000C0AEC" w:rsidP="00F1496C">
      <w:pPr>
        <w:tabs>
          <w:tab w:val="left" w:pos="0"/>
        </w:tabs>
        <w:spacing w:after="0" w:line="360" w:lineRule="auto"/>
        <w:jc w:val="both"/>
        <w:rPr>
          <w:rStyle w:val="Emphasis"/>
          <w:rFonts w:ascii="Arial" w:hAnsi="Arial" w:cs="Arial"/>
          <w:i w:val="0"/>
          <w:sz w:val="24"/>
          <w:szCs w:val="24"/>
          <w:lang w:val="en-US"/>
        </w:rPr>
      </w:pPr>
    </w:p>
    <w:p w14:paraId="39FA42D5" w14:textId="269369A6" w:rsidR="00E7244E" w:rsidRPr="00F1496C" w:rsidRDefault="00E7244E" w:rsidP="00F1496C">
      <w:pPr>
        <w:tabs>
          <w:tab w:val="left" w:pos="0"/>
        </w:tabs>
        <w:spacing w:after="0" w:line="360" w:lineRule="auto"/>
        <w:jc w:val="both"/>
        <w:rPr>
          <w:rStyle w:val="Emphasis"/>
          <w:rFonts w:ascii="Arial" w:hAnsi="Arial" w:cs="Arial"/>
          <w:i w:val="0"/>
          <w:sz w:val="24"/>
          <w:szCs w:val="24"/>
          <w:lang w:val="en-US"/>
        </w:rPr>
      </w:pPr>
      <w:r w:rsidRPr="00F1496C">
        <w:rPr>
          <w:rStyle w:val="Emphasis"/>
          <w:rFonts w:ascii="Arial" w:hAnsi="Arial" w:cs="Arial"/>
          <w:i w:val="0"/>
          <w:sz w:val="24"/>
          <w:szCs w:val="24"/>
          <w:lang w:val="en-US"/>
        </w:rPr>
        <w:t>BID: twice daily; DAS28-4(ESR): Disease Activity Score-erythrocyte sedimentation rate; FAS: full analysis set;</w:t>
      </w:r>
      <w:r w:rsidRPr="00F1496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F1496C">
        <w:rPr>
          <w:rStyle w:val="Emphasis"/>
          <w:rFonts w:ascii="Arial" w:hAnsi="Arial" w:cs="Arial"/>
          <w:i w:val="0"/>
          <w:sz w:val="24"/>
          <w:szCs w:val="24"/>
          <w:lang w:val="en-US"/>
        </w:rPr>
        <w:t>SE: standard error.</w:t>
      </w:r>
    </w:p>
    <w:p w14:paraId="13269039" w14:textId="6C4A05D3" w:rsidR="00670045" w:rsidRPr="00F1496C" w:rsidRDefault="00670045" w:rsidP="00F1496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496C">
        <w:rPr>
          <w:rFonts w:ascii="Arial" w:hAnsi="Arial" w:cs="Arial"/>
          <w:sz w:val="24"/>
          <w:szCs w:val="24"/>
          <w:lang w:val="en-US"/>
        </w:rPr>
        <w:t>N represents the numbers of patients with non-missing DAS28-4(ESR).</w:t>
      </w:r>
    </w:p>
    <w:p w14:paraId="529E2011" w14:textId="5E3EBE84" w:rsidR="00F10A4C" w:rsidRPr="00F1496C" w:rsidRDefault="00F10A4C" w:rsidP="00F1496C">
      <w:pPr>
        <w:spacing w:after="0" w:line="360" w:lineRule="auto"/>
        <w:jc w:val="both"/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sectPr w:rsidR="00F10A4C" w:rsidRPr="00F1496C" w:rsidSect="00F1496C">
          <w:pgSz w:w="12242" w:h="15842" w:code="1"/>
          <w:pgMar w:top="1701" w:right="1701" w:bottom="1701" w:left="1701" w:header="709" w:footer="709" w:gutter="0"/>
          <w:cols w:space="708"/>
          <w:docGrid w:linePitch="360"/>
        </w:sectPr>
      </w:pPr>
      <w:r w:rsidRPr="00F1496C">
        <w:rPr>
          <w:rStyle w:val="Emphasis"/>
          <w:rFonts w:ascii="Arial" w:hAnsi="Arial" w:cs="Arial"/>
          <w:i w:val="0"/>
          <w:sz w:val="24"/>
          <w:szCs w:val="24"/>
          <w:lang w:val="en-US"/>
        </w:rPr>
        <w:t>Efficacy analyses were based on three studies: ORAL Scan, ORAL Solo and ORAL Sync</w:t>
      </w:r>
      <w:r w:rsidR="00E7244E" w:rsidRPr="00F1496C">
        <w:rPr>
          <w:rStyle w:val="Emphasis"/>
          <w:rFonts w:ascii="Arial" w:hAnsi="Arial" w:cs="Arial"/>
          <w:i w:val="0"/>
          <w:sz w:val="24"/>
          <w:szCs w:val="24"/>
          <w:lang w:val="en-US"/>
        </w:rPr>
        <w:t>.</w:t>
      </w:r>
    </w:p>
    <w:p w14:paraId="174112E8" w14:textId="268F52C1" w:rsidR="006C6DFD" w:rsidRPr="00F1496C" w:rsidRDefault="006C6DFD" w:rsidP="00F1496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F1496C">
        <w:rPr>
          <w:rFonts w:ascii="Arial" w:hAnsi="Arial" w:cs="Arial"/>
          <w:b/>
          <w:sz w:val="24"/>
          <w:szCs w:val="24"/>
          <w:lang w:val="en-US"/>
        </w:rPr>
        <w:lastRenderedPageBreak/>
        <w:t>Supplementary Table 3</w:t>
      </w:r>
      <w:r w:rsidR="00E7244E" w:rsidRPr="00F1496C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7E129D" w:rsidRPr="00F1496C">
        <w:rPr>
          <w:rFonts w:ascii="Arial" w:hAnsi="Arial" w:cs="Arial"/>
          <w:b/>
          <w:sz w:val="24"/>
          <w:szCs w:val="24"/>
          <w:lang w:val="en-US"/>
        </w:rPr>
        <w:t xml:space="preserve">Data for </w:t>
      </w:r>
      <w:r w:rsidR="00E7244E" w:rsidRPr="00F1496C">
        <w:rPr>
          <w:rFonts w:ascii="Arial" w:hAnsi="Arial" w:cs="Arial"/>
          <w:b/>
          <w:sz w:val="24"/>
          <w:szCs w:val="24"/>
          <w:lang w:val="en-US"/>
        </w:rPr>
        <w:t xml:space="preserve">Fig. </w:t>
      </w:r>
      <w:r w:rsidRPr="00F1496C">
        <w:rPr>
          <w:rFonts w:ascii="Arial" w:hAnsi="Arial" w:cs="Arial"/>
          <w:b/>
          <w:sz w:val="24"/>
          <w:szCs w:val="24"/>
          <w:lang w:val="en-US"/>
        </w:rPr>
        <w:t>3</w:t>
      </w:r>
      <w:r w:rsidR="00E7244E" w:rsidRPr="00F1496C">
        <w:rPr>
          <w:rFonts w:ascii="Arial" w:hAnsi="Arial" w:cs="Arial"/>
          <w:b/>
          <w:sz w:val="24"/>
          <w:szCs w:val="24"/>
          <w:lang w:val="en-US"/>
        </w:rPr>
        <w:t>:</w:t>
      </w:r>
      <w:r w:rsidR="00F64B17" w:rsidRPr="00F1496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64B17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Change from baseline in HAQ-DI </w:t>
      </w:r>
      <w:r w:rsidR="008B78C9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over time for the </w:t>
      </w:r>
      <w:proofErr w:type="spellStart"/>
      <w:r w:rsidR="008B78C9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tofacitinib</w:t>
      </w:r>
      <w:proofErr w:type="spellEnd"/>
      <w:r w:rsidR="008B78C9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 5 and 10 mg BID groups in the efficacy subpopulation</w:t>
      </w:r>
      <w:r w:rsidR="00F64B17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 xml:space="preserve"> (FAS, observed)</w:t>
      </w:r>
      <w:r w:rsidR="00E7244E" w:rsidRPr="00F1496C">
        <w:rPr>
          <w:rStyle w:val="Emphasis"/>
          <w:rFonts w:ascii="Arial" w:hAnsi="Arial" w:cs="Arial"/>
          <w:b/>
          <w:i w:val="0"/>
          <w:sz w:val="24"/>
          <w:szCs w:val="24"/>
          <w:lang w:val="en-US"/>
        </w:rPr>
        <w:t>.</w:t>
      </w:r>
    </w:p>
    <w:tbl>
      <w:tblPr>
        <w:tblW w:w="9356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2410"/>
        <w:gridCol w:w="567"/>
        <w:gridCol w:w="1134"/>
        <w:gridCol w:w="2126"/>
        <w:gridCol w:w="709"/>
      </w:tblGrid>
      <w:tr w:rsidR="00F1496C" w:rsidRPr="00F1496C" w14:paraId="5C66876E" w14:textId="77777777" w:rsidTr="00330C86">
        <w:trPr>
          <w:trHeight w:val="1128"/>
        </w:trPr>
        <w:tc>
          <w:tcPr>
            <w:tcW w:w="1559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67F02E2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419E5F35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proofErr w:type="spellStart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Tofacitinib</w:t>
            </w:r>
            <w:proofErr w:type="spellEnd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5 mg BID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BFBFBF" w:themeColor="background1" w:themeShade="BF"/>
              <w:bottom w:val="single" w:sz="6" w:space="0" w:color="auto"/>
            </w:tcBorders>
            <w:shd w:val="clear" w:color="auto" w:fill="auto"/>
            <w:vAlign w:val="bottom"/>
          </w:tcPr>
          <w:p w14:paraId="73B75C8D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proofErr w:type="spellStart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Tofacitinib</w:t>
            </w:r>
            <w:proofErr w:type="spellEnd"/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10 mg BID</w:t>
            </w:r>
          </w:p>
        </w:tc>
      </w:tr>
      <w:tr w:rsidR="00F1496C" w:rsidRPr="00F1496C" w14:paraId="1DD04AD1" w14:textId="77777777" w:rsidTr="00330C86">
        <w:trPr>
          <w:trHeight w:val="1412"/>
        </w:trPr>
        <w:tc>
          <w:tcPr>
            <w:tcW w:w="1559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64666AB0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817D913" w14:textId="2616261C" w:rsidR="003F344A" w:rsidRPr="00F1496C" w:rsidRDefault="00670045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55EF8066" w14:textId="6404BEA2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Mean change from baseline</w:t>
            </w:r>
            <w:r w:rsidR="00794BA1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601DA25E" w14:textId="77777777" w:rsidR="003F344A" w:rsidRPr="00F1496C" w:rsidRDefault="0081364F" w:rsidP="00F1496C">
            <w:pPr>
              <w:spacing w:after="0" w:line="36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BFBFBF" w:themeColor="background1" w:themeShade="BF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BEADDC4" w14:textId="0DCFB7F2" w:rsidR="003F344A" w:rsidRPr="00F1496C" w:rsidRDefault="00670045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N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2C4A9E71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Mean change from baseline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45AD20CE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</w:t>
            </w:r>
            <w:r w:rsidR="0081364F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E</w:t>
            </w:r>
          </w:p>
        </w:tc>
      </w:tr>
      <w:tr w:rsidR="00F1496C" w:rsidRPr="00F1496C" w14:paraId="441E7EE9" w14:textId="77777777" w:rsidTr="00330C86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D2EE72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5FEE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32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2979" w14:textId="278BC8F6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4FEABAD" w14:textId="77777777" w:rsidR="003F344A" w:rsidRPr="00F1496C" w:rsidRDefault="00930CFB" w:rsidP="00F1496C">
            <w:pPr>
              <w:spacing w:after="0" w:line="36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BF79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7011" w14:textId="38A94FEC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64A1BEF" w14:textId="77777777" w:rsidR="003F344A" w:rsidRPr="00F1496C" w:rsidRDefault="00930CFB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0.1</w:t>
            </w:r>
          </w:p>
        </w:tc>
      </w:tr>
      <w:tr w:rsidR="00F1496C" w:rsidRPr="00F1496C" w14:paraId="07606E10" w14:textId="77777777" w:rsidTr="00330C86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F77760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89B3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5A1E" w14:textId="526BE04F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4A63EC51" w14:textId="77777777" w:rsidR="003F344A" w:rsidRPr="00F1496C" w:rsidRDefault="00930CFB" w:rsidP="00F1496C">
            <w:pPr>
              <w:spacing w:after="0" w:line="36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0.1</w:t>
            </w:r>
          </w:p>
        </w:tc>
        <w:tc>
          <w:tcPr>
            <w:tcW w:w="1134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BAD6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94A8" w14:textId="0F890CCC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D44E70A" w14:textId="77777777" w:rsidR="003F344A" w:rsidRPr="00F1496C" w:rsidRDefault="00930CFB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0.1</w:t>
            </w:r>
          </w:p>
        </w:tc>
      </w:tr>
      <w:tr w:rsidR="00F1496C" w:rsidRPr="00F1496C" w14:paraId="27F2782B" w14:textId="77777777" w:rsidTr="00330C86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6B0001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F5F0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CE48" w14:textId="17BC9646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6A646EAE" w14:textId="77777777" w:rsidR="003F344A" w:rsidRPr="00F1496C" w:rsidRDefault="00930CFB" w:rsidP="00F1496C">
            <w:pPr>
              <w:spacing w:after="0" w:line="36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0.1</w:t>
            </w:r>
          </w:p>
        </w:tc>
        <w:tc>
          <w:tcPr>
            <w:tcW w:w="1134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F0D7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239A" w14:textId="38DDBCB1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89C86F6" w14:textId="77777777" w:rsidR="003F344A" w:rsidRPr="00F1496C" w:rsidRDefault="00930CFB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0.1</w:t>
            </w:r>
          </w:p>
        </w:tc>
      </w:tr>
      <w:tr w:rsidR="00F1496C" w:rsidRPr="00F1496C" w14:paraId="6F23E42B" w14:textId="77777777" w:rsidTr="00330C86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F8BEBF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76E9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9418" w14:textId="746C9C4F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</w:t>
            </w:r>
            <w:r w:rsidR="00CB2C11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05EE598E" w14:textId="77777777" w:rsidR="003F344A" w:rsidRPr="00F1496C" w:rsidRDefault="00930CFB" w:rsidP="00F1496C">
            <w:pPr>
              <w:spacing w:after="0" w:line="36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  <w:tc>
          <w:tcPr>
            <w:tcW w:w="1134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4161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E0D6" w14:textId="0B388B72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B1426DE" w14:textId="77777777" w:rsidR="003F344A" w:rsidRPr="00F1496C" w:rsidRDefault="00930CFB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</w:tr>
      <w:tr w:rsidR="00F1496C" w:rsidRPr="00F1496C" w14:paraId="6BBA63D5" w14:textId="77777777" w:rsidTr="00330C86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F53770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9A3B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9B67" w14:textId="05B57E69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</w:t>
            </w:r>
            <w:r w:rsidR="00CB2C11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6577B3AE" w14:textId="77777777" w:rsidR="003F344A" w:rsidRPr="00F1496C" w:rsidRDefault="00930CFB" w:rsidP="00F1496C">
            <w:pPr>
              <w:spacing w:after="0" w:line="36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  <w:tc>
          <w:tcPr>
            <w:tcW w:w="1134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FE64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168C" w14:textId="0D07B953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3DD8FD" w14:textId="77777777" w:rsidR="003F344A" w:rsidRPr="00F1496C" w:rsidRDefault="00930CFB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</w:tr>
      <w:tr w:rsidR="00F1496C" w:rsidRPr="00F1496C" w14:paraId="54F90037" w14:textId="77777777" w:rsidTr="00330C86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94E161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41F2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B67B" w14:textId="7C5D6849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86A7729" w14:textId="77777777" w:rsidR="003F344A" w:rsidRPr="00F1496C" w:rsidRDefault="00930CFB" w:rsidP="00F1496C">
            <w:pPr>
              <w:spacing w:after="0" w:line="36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  <w:tc>
          <w:tcPr>
            <w:tcW w:w="1134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17B8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ADAE" w14:textId="2676AF22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33FE31F" w14:textId="77777777" w:rsidR="003F344A" w:rsidRPr="00F1496C" w:rsidRDefault="00930CFB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0.3</w:t>
            </w:r>
          </w:p>
        </w:tc>
      </w:tr>
      <w:tr w:rsidR="00F1496C" w:rsidRPr="00F1496C" w14:paraId="7C4AA97B" w14:textId="77777777" w:rsidTr="00330C86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8A23A8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D088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A57B" w14:textId="32297382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69AB42BD" w14:textId="77777777" w:rsidR="003F344A" w:rsidRPr="00F1496C" w:rsidRDefault="00930CFB" w:rsidP="00F1496C">
            <w:pPr>
              <w:spacing w:after="0" w:line="36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0.3</w:t>
            </w:r>
          </w:p>
        </w:tc>
        <w:tc>
          <w:tcPr>
            <w:tcW w:w="1134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2B71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85A3" w14:textId="7B4118FD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929428" w14:textId="77777777" w:rsidR="003F344A" w:rsidRPr="00F1496C" w:rsidRDefault="00930CFB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0.3</w:t>
            </w:r>
          </w:p>
        </w:tc>
      </w:tr>
      <w:tr w:rsidR="00F1496C" w:rsidRPr="00F1496C" w14:paraId="62147139" w14:textId="77777777" w:rsidTr="00330C86">
        <w:trPr>
          <w:trHeight w:val="300"/>
        </w:trPr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754C3B3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21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9925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0899" w14:textId="0B68AF27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E5A7521" w14:textId="77777777" w:rsidR="003F344A" w:rsidRPr="00F1496C" w:rsidRDefault="00930CFB" w:rsidP="00F1496C">
            <w:pPr>
              <w:spacing w:after="0" w:line="36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0.3</w:t>
            </w:r>
          </w:p>
        </w:tc>
        <w:tc>
          <w:tcPr>
            <w:tcW w:w="1134" w:type="dxa"/>
            <w:tcBorders>
              <w:top w:val="nil"/>
              <w:left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2F4C3887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4CBE" w14:textId="4A142DC7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0A89C342" w14:textId="77777777" w:rsidR="003F344A" w:rsidRPr="00F1496C" w:rsidRDefault="00930CFB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0.3</w:t>
            </w:r>
          </w:p>
        </w:tc>
      </w:tr>
      <w:tr w:rsidR="00F1496C" w:rsidRPr="00F1496C" w14:paraId="51D751F9" w14:textId="77777777" w:rsidTr="00330C86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488507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Month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437E9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19B5F" w14:textId="032D177E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4932480E" w14:textId="77777777" w:rsidR="003F344A" w:rsidRPr="00F1496C" w:rsidRDefault="00930CFB" w:rsidP="00F1496C">
            <w:pPr>
              <w:spacing w:after="0" w:line="36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0.3</w:t>
            </w:r>
          </w:p>
        </w:tc>
        <w:tc>
          <w:tcPr>
            <w:tcW w:w="1134" w:type="dxa"/>
            <w:tcBorders>
              <w:top w:val="nil"/>
              <w:left w:val="single" w:sz="4" w:space="0" w:color="BFBFBF" w:themeColor="background1" w:themeShade="BF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311EF" w14:textId="77777777" w:rsidR="003F344A" w:rsidRPr="00F1496C" w:rsidRDefault="003F344A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3D749" w14:textId="1EBF316D" w:rsidR="003F344A" w:rsidRPr="00F1496C" w:rsidRDefault="00E7244E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–</w:t>
            </w:r>
            <w:r w:rsidR="003F344A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</w:t>
            </w:r>
            <w:r w:rsidR="00CB2C11"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AF70713" w14:textId="77777777" w:rsidR="003F344A" w:rsidRPr="00F1496C" w:rsidRDefault="00930CFB" w:rsidP="00F1496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F1496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0.2</w:t>
            </w:r>
          </w:p>
        </w:tc>
      </w:tr>
    </w:tbl>
    <w:p w14:paraId="641C7F87" w14:textId="77777777" w:rsidR="000C0AEC" w:rsidRPr="00F1496C" w:rsidRDefault="000C0AEC" w:rsidP="00F1496C">
      <w:pPr>
        <w:spacing w:after="0" w:line="360" w:lineRule="auto"/>
        <w:jc w:val="both"/>
        <w:rPr>
          <w:rStyle w:val="Emphasis"/>
          <w:rFonts w:ascii="Arial" w:hAnsi="Arial" w:cs="Arial"/>
          <w:i w:val="0"/>
          <w:sz w:val="24"/>
          <w:szCs w:val="24"/>
          <w:lang w:val="en-US"/>
        </w:rPr>
      </w:pPr>
    </w:p>
    <w:p w14:paraId="65DC4E6B" w14:textId="4E617B69" w:rsidR="00E7244E" w:rsidRPr="00F1496C" w:rsidRDefault="00E7244E" w:rsidP="00F1496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496C">
        <w:rPr>
          <w:rStyle w:val="Emphasis"/>
          <w:rFonts w:ascii="Arial" w:hAnsi="Arial" w:cs="Arial"/>
          <w:i w:val="0"/>
          <w:sz w:val="24"/>
          <w:szCs w:val="24"/>
          <w:lang w:val="en-US"/>
        </w:rPr>
        <w:t>BID: twice daily; FAS: full analysis set; HAQ-DI: Health Assessment Questionnaire-Disability Index; SE: standard error.</w:t>
      </w:r>
      <w:r w:rsidRPr="00F1496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CB57E2D" w14:textId="4DB94E7C" w:rsidR="00670045" w:rsidRPr="00F1496C" w:rsidRDefault="00670045" w:rsidP="00F1496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496C">
        <w:rPr>
          <w:rFonts w:ascii="Arial" w:hAnsi="Arial" w:cs="Arial"/>
          <w:sz w:val="24"/>
          <w:szCs w:val="24"/>
          <w:lang w:val="en-US"/>
        </w:rPr>
        <w:t>N represents the numbers of patients with non-missing HAQ-DI.</w:t>
      </w:r>
    </w:p>
    <w:p w14:paraId="1DD94D53" w14:textId="60016851" w:rsidR="0037693E" w:rsidRPr="00F1496C" w:rsidRDefault="00F10A4C" w:rsidP="00F1496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496C">
        <w:rPr>
          <w:rStyle w:val="Emphasis"/>
          <w:rFonts w:ascii="Arial" w:hAnsi="Arial" w:cs="Arial"/>
          <w:i w:val="0"/>
          <w:sz w:val="24"/>
          <w:szCs w:val="24"/>
          <w:lang w:val="en-US"/>
        </w:rPr>
        <w:t>Efficacy analyses were based on three studies: ORAL Scan, ORAL Solo and ORAL Sync</w:t>
      </w:r>
      <w:r w:rsidR="00794BA1" w:rsidRPr="00F1496C">
        <w:rPr>
          <w:rStyle w:val="Emphasis"/>
          <w:rFonts w:ascii="Arial" w:hAnsi="Arial" w:cs="Arial"/>
          <w:i w:val="0"/>
          <w:sz w:val="24"/>
          <w:szCs w:val="24"/>
          <w:lang w:val="en-US"/>
        </w:rPr>
        <w:t>.</w:t>
      </w:r>
    </w:p>
    <w:p w14:paraId="0ABAAE1F" w14:textId="77777777" w:rsidR="00C45DB9" w:rsidRPr="00F1496C" w:rsidRDefault="00C45DB9" w:rsidP="00F1496C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5AB80B4" w14:textId="77777777" w:rsidR="00642984" w:rsidRPr="00F1496C" w:rsidRDefault="00642984" w:rsidP="00F1496C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  <w:lang w:val="en-US"/>
        </w:rPr>
        <w:sectPr w:rsidR="00642984" w:rsidRPr="00F1496C" w:rsidSect="00F1496C">
          <w:pgSz w:w="12242" w:h="15842" w:code="1"/>
          <w:pgMar w:top="1701" w:right="1701" w:bottom="1701" w:left="1701" w:header="709" w:footer="709" w:gutter="0"/>
          <w:cols w:space="708"/>
          <w:docGrid w:linePitch="360"/>
        </w:sectPr>
      </w:pPr>
    </w:p>
    <w:p w14:paraId="55DA23B1" w14:textId="6A996B9E" w:rsidR="00642984" w:rsidRPr="00F1496C" w:rsidRDefault="00642984" w:rsidP="00F1496C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  <w:lang w:val="en-US"/>
        </w:rPr>
      </w:pPr>
      <w:r w:rsidRPr="00F1496C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Supplementary Table 4 – </w:t>
      </w:r>
      <w:r w:rsidR="0039383C" w:rsidRPr="00F1496C">
        <w:rPr>
          <w:rFonts w:ascii="Arial" w:hAnsi="Arial" w:cs="Arial"/>
          <w:b/>
          <w:sz w:val="24"/>
          <w:szCs w:val="24"/>
          <w:lang w:val="en-US"/>
        </w:rPr>
        <w:t xml:space="preserve">Study Dates and </w:t>
      </w:r>
      <w:r w:rsidR="003E3F55" w:rsidRPr="00F1496C">
        <w:rPr>
          <w:rFonts w:ascii="Arial" w:hAnsi="Arial" w:cs="Arial"/>
          <w:b/>
          <w:sz w:val="24"/>
          <w:szCs w:val="24"/>
          <w:lang w:val="en-US"/>
        </w:rPr>
        <w:t xml:space="preserve">Principal </w:t>
      </w:r>
      <w:r w:rsidRPr="00F1496C">
        <w:rPr>
          <w:rFonts w:ascii="Arial" w:hAnsi="Arial" w:cs="Arial"/>
          <w:b/>
          <w:sz w:val="24"/>
          <w:szCs w:val="24"/>
          <w:lang w:val="en-US"/>
        </w:rPr>
        <w:t xml:space="preserve">Investigator </w:t>
      </w:r>
      <w:r w:rsidR="003E3F55" w:rsidRPr="00F1496C">
        <w:rPr>
          <w:rFonts w:ascii="Arial" w:hAnsi="Arial" w:cs="Arial"/>
          <w:b/>
          <w:sz w:val="24"/>
          <w:szCs w:val="24"/>
          <w:lang w:val="en-US"/>
        </w:rPr>
        <w:t>Details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411"/>
        <w:gridCol w:w="3118"/>
        <w:gridCol w:w="4536"/>
      </w:tblGrid>
      <w:tr w:rsidR="00F1496C" w:rsidRPr="00F1496C" w14:paraId="7AF0E569" w14:textId="6F122FB6" w:rsidTr="00BE4447">
        <w:tc>
          <w:tcPr>
            <w:tcW w:w="2411" w:type="dxa"/>
          </w:tcPr>
          <w:p w14:paraId="1588B844" w14:textId="3A752EE6" w:rsidR="0039383C" w:rsidRPr="00F1496C" w:rsidRDefault="0039383C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b/>
                <w:sz w:val="24"/>
                <w:szCs w:val="24"/>
                <w:lang w:val="en-US"/>
              </w:rPr>
              <w:t>Study</w:t>
            </w:r>
          </w:p>
        </w:tc>
        <w:tc>
          <w:tcPr>
            <w:tcW w:w="3118" w:type="dxa"/>
          </w:tcPr>
          <w:p w14:paraId="304E0FA0" w14:textId="006E764C" w:rsidR="0039383C" w:rsidRPr="00F1496C" w:rsidRDefault="0039383C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b/>
                <w:sz w:val="24"/>
                <w:szCs w:val="24"/>
                <w:lang w:val="en-US"/>
              </w:rPr>
              <w:t>Study Initiation/Completion Dates</w:t>
            </w:r>
          </w:p>
        </w:tc>
        <w:tc>
          <w:tcPr>
            <w:tcW w:w="4536" w:type="dxa"/>
          </w:tcPr>
          <w:p w14:paraId="3911CCF7" w14:textId="2CFE3BEF" w:rsidR="0039383C" w:rsidRPr="00F1496C" w:rsidRDefault="0039383C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1496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Principal Investigator </w:t>
            </w:r>
          </w:p>
        </w:tc>
      </w:tr>
      <w:tr w:rsidR="00F1496C" w:rsidRPr="004C63CC" w14:paraId="1404C4C8" w14:textId="22585BBC" w:rsidTr="00BE4447">
        <w:tc>
          <w:tcPr>
            <w:tcW w:w="2411" w:type="dxa"/>
          </w:tcPr>
          <w:p w14:paraId="069DEA81" w14:textId="6D5BFEFB" w:rsidR="0039383C" w:rsidRPr="004C63CC" w:rsidRDefault="00BE4447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</w:rPr>
              <w:t>ORAL Scan (NCT00847613)</w:t>
            </w:r>
            <w:r w:rsidR="00505E61" w:rsidRPr="004C63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5E61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ldData xml:space="preserve">PEVuZE5vdGU+PENpdGU+PEF1dGhvcj52YW4gZGVyIEhlaWpkZTwvQXV0aG9yPjxZZWFyPjIwMTM8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</w:fldData>
              </w:fldChar>
            </w:r>
            <w:r w:rsidR="00B04645" w:rsidRPr="004C63CC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ADDIN EN.CITE </w:instrText>
            </w:r>
            <w:r w:rsidR="00B04645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ldData xml:space="preserve">PEVuZE5vdGU+PENpdGU+PEF1dGhvcj52YW4gZGVyIEhlaWpkZTwvQXV0aG9yPjxZZWFyPjIwMTM8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</w:fldData>
              </w:fldChar>
            </w:r>
            <w:r w:rsidR="00B04645" w:rsidRPr="004C63CC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ADDIN EN.CITE.DATA </w:instrText>
            </w:r>
            <w:r w:rsidR="00B04645" w:rsidRPr="004C63CC">
              <w:rPr>
                <w:rFonts w:ascii="Arial" w:hAnsi="Arial" w:cs="Arial"/>
                <w:sz w:val="24"/>
                <w:szCs w:val="24"/>
                <w:lang w:val="en-US"/>
              </w:rPr>
            </w:r>
            <w:r w:rsidR="00B04645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r w:rsidR="00505E61" w:rsidRPr="004C63CC">
              <w:rPr>
                <w:rFonts w:ascii="Arial" w:hAnsi="Arial" w:cs="Arial"/>
                <w:sz w:val="24"/>
                <w:szCs w:val="24"/>
                <w:lang w:val="en-US"/>
              </w:rPr>
            </w:r>
            <w:r w:rsidR="00505E61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="00B04645" w:rsidRPr="004C63C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(31)</w:t>
            </w:r>
            <w:r w:rsidR="00505E61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r w:rsidR="00505E61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05E61" w:rsidRPr="004C63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B13C801" w14:textId="279C3BA2" w:rsidR="0039383C" w:rsidRPr="004C63CC" w:rsidRDefault="0039383C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March 2009/</w:t>
            </w:r>
            <w:r w:rsidR="006B1DF8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February 2012</w:t>
            </w:r>
          </w:p>
        </w:tc>
        <w:tc>
          <w:tcPr>
            <w:tcW w:w="4536" w:type="dxa"/>
          </w:tcPr>
          <w:p w14:paraId="733A05FE" w14:textId="29632561" w:rsidR="0039383C" w:rsidRPr="004C63CC" w:rsidRDefault="0039383C" w:rsidP="00B247E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Dr. William Jos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é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Otero Escalante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: Santander,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E4447" w:rsidRPr="004C63CC">
              <w:rPr>
                <w:rFonts w:ascii="Arial" w:hAnsi="Arial" w:cs="Arial"/>
                <w:sz w:val="24"/>
                <w:szCs w:val="24"/>
                <w:lang w:val="en-US"/>
              </w:rPr>
              <w:t>Colombia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="00BE4447" w:rsidRPr="004C63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Dr.</w:t>
            </w:r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Javier </w:t>
            </w:r>
            <w:proofErr w:type="spellStart"/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>Dar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í</w:t>
            </w:r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proofErr w:type="spellEnd"/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á</w:t>
            </w:r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>rquez</w:t>
            </w:r>
            <w:proofErr w:type="spellEnd"/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Hern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á</w:t>
            </w:r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>ndez: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Antioquia, </w:t>
            </w:r>
            <w:r w:rsidR="00BE4447" w:rsidRPr="004C63CC">
              <w:rPr>
                <w:rFonts w:ascii="Arial" w:hAnsi="Arial" w:cs="Arial"/>
                <w:sz w:val="24"/>
                <w:szCs w:val="24"/>
                <w:lang w:val="en-US"/>
              </w:rPr>
              <w:t>Colombia</w:t>
            </w:r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="00BE4447" w:rsidRPr="004C63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Dr. Edwin Antonio Jauregui (previous Principal Investigator), </w:t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7924" w:rsidRPr="004C63CC">
              <w:rPr>
                <w:rFonts w:ascii="Arial" w:hAnsi="Arial" w:cs="Arial"/>
                <w:sz w:val="24"/>
                <w:szCs w:val="24"/>
                <w:lang w:val="en-US"/>
              </w:rPr>
              <w:t>Mar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í</w:t>
            </w:r>
            <w:r w:rsidR="000A7924" w:rsidRPr="004C63C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="000A7924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Concepci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ó</w:t>
            </w:r>
            <w:r w:rsidR="000A7924" w:rsidRPr="004C63CC">
              <w:rPr>
                <w:rFonts w:ascii="Arial" w:hAnsi="Arial" w:cs="Arial"/>
                <w:sz w:val="24"/>
                <w:szCs w:val="24"/>
                <w:lang w:val="en-US"/>
              </w:rPr>
              <w:t>n Maldonado</w:t>
            </w:r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>: Cundinamarca, Colombia;</w:t>
            </w:r>
            <w:r w:rsidR="00BE4447" w:rsidRPr="004C63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Dr. Juan Jos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é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Jaller</w:t>
            </w:r>
            <w:proofErr w:type="spellEnd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Raad</w:t>
            </w:r>
            <w:proofErr w:type="spellEnd"/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: Atl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á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ntico,</w:t>
            </w:r>
            <w:r w:rsidR="00BE4447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Colombia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</w:tc>
      </w:tr>
      <w:tr w:rsidR="00F1496C" w:rsidRPr="004C63CC" w14:paraId="2ACEF553" w14:textId="21F3D05F" w:rsidTr="00BE4447">
        <w:tc>
          <w:tcPr>
            <w:tcW w:w="2411" w:type="dxa"/>
          </w:tcPr>
          <w:p w14:paraId="15FDE887" w14:textId="13F8551B" w:rsidR="0039383C" w:rsidRPr="004C63CC" w:rsidRDefault="0039383C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ORAL Sync (NCT00856544)</w: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begin"/>
            </w:r>
            <w:r w:rsidR="00B04645" w:rsidRPr="004C63CC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ADDIN EN.CITE &lt;EndNote&gt;&lt;Cite&gt;&lt;Author&gt;Kremer&lt;/Author&gt;&lt;Year&gt;2013&lt;/Year&gt;&lt;RecNum&gt;1706&lt;/RecNum&gt;&lt;IDText&gt;6045&lt;/IDText&gt;&lt;DisplayText&gt;(30)&lt;/DisplayText&gt;&lt;record&gt;&lt;rec-number&gt;1706&lt;/rec-number&gt;&lt;foreign-keys&gt;&lt;key app="EN" db-id="95dsw9asg0espeexsw9vwavne9s9ftz50xxv" timestamp="1518609001"&gt;1706&lt;/key&gt;&lt;/foreign-keys&gt;&lt;ref-type name="Journal Article"&gt;17&lt;/ref-type&gt;&lt;contributors&gt;&lt;authors&gt;&lt;author&gt;Kremer, J.&lt;/author&gt;&lt;author&gt;Li, Z-G.&lt;/author&gt;&lt;author&gt;Hall, S.&lt;/author&gt;&lt;author&gt;Fleischmann, R.&lt;/author&gt;&lt;author&gt;Genovese, M.&lt;/author&gt;&lt;author&gt;Martin-Mola, E.&lt;/author&gt;&lt;author&gt;Isaacs, J.D.&lt;/author&gt;&lt;author&gt;Gruben, D.&lt;/author&gt;&lt;author&gt;Wallenstein, G.&lt;/author&gt;&lt;author&gt;Krishnaswami, S.&lt;/author&gt;&lt;author&gt;Zwillich, S.H.&lt;/author&gt;&lt;author&gt;Koncz, T.&lt;/author&gt;&lt;author&gt;Riese, R.&lt;/author&gt;&lt;author&gt;Bradley, J.&lt;/author&gt;&lt;/authors&gt;&lt;/contributors&gt;&lt;titles&gt;&lt;title&gt;Tofacitinib in combination with nonbiologic disease-modifying antirheumatic drugs in patients with active rheumatoid arthritis: a randomized trial&lt;/title&gt;&lt;secondary-title&gt;Ann. Intern. Med&lt;/secondary-title&gt;&lt;/titles&gt;&lt;periodical&gt;&lt;full-title&gt;Ann. Intern. Med&lt;/full-title&gt;&lt;/periodical&gt;&lt;pages&gt;253-261&lt;/pages&gt;&lt;volume&gt;159&lt;/volume&gt;&lt;number&gt;4&lt;/number&gt;&lt;reprint-edition&gt;In File&lt;/reprint-edition&gt;&lt;keywords&gt;&lt;keyword&gt;52095&lt;/keyword&gt;&lt;keyword&gt;56609&lt;/keyword&gt;&lt;keyword&gt;A3921046&lt;/keyword&gt;&lt;keyword&gt;Arthritis&lt;/keyword&gt;&lt;keyword&gt;ORAL Sync&lt;/keyword&gt;&lt;keyword&gt;Patients&lt;/keyword&gt;&lt;keyword&gt;Phase 3&lt;/keyword&gt;&lt;keyword&gt;tofacitinib&lt;/keyword&gt;&lt;keyword&gt;A&lt;/keyword&gt;&lt;/keywords&gt;&lt;dates&gt;&lt;year&gt;2013&lt;/year&gt;&lt;pub-dates&gt;&lt;date&gt;2013&lt;/date&gt;&lt;/pub-dates&gt;&lt;/dates&gt;&lt;label&gt;6045&lt;/label&gt;&lt;urls&gt;&lt;related-urls&gt;&lt;url&gt;&lt;style face="underline" font="default" size="100%"&gt;http://annals.org/article.aspx?articleID=1726820&lt;/style&gt;&lt;/url&gt;&lt;/related-urls&gt;&lt;/urls&gt;&lt;electronic-resource-num&gt;10.7326/0003-4819-159-4-201308200-00006&lt;/electronic-resource-num&gt;&lt;/record&gt;&lt;/Cite&gt;&lt;/EndNote&gt;</w:instrTex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="00B04645" w:rsidRPr="004C63C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(30)</w: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118" w:type="dxa"/>
          </w:tcPr>
          <w:p w14:paraId="7E79ED0A" w14:textId="69A6306A" w:rsidR="0039383C" w:rsidRPr="004C63CC" w:rsidRDefault="0039383C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May 2009/</w:t>
            </w:r>
            <w:r w:rsidR="006B1DF8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January 2011</w:t>
            </w:r>
          </w:p>
        </w:tc>
        <w:tc>
          <w:tcPr>
            <w:tcW w:w="4536" w:type="dxa"/>
          </w:tcPr>
          <w:p w14:paraId="48CE3B8A" w14:textId="21FA9C6D" w:rsidR="0039383C" w:rsidRPr="004C63CC" w:rsidRDefault="0039383C" w:rsidP="00B247E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Dr. William Jos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é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Otero Escalante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: Santander, Colombia; </w:t>
            </w:r>
            <w:r w:rsidR="00BE4447" w:rsidRPr="004C63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Dr. Juan 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José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Jaller</w:t>
            </w:r>
            <w:proofErr w:type="spellEnd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Raad</w:t>
            </w:r>
            <w:proofErr w:type="spellEnd"/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Atlántico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, Colombia;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Edwin Antonio Jauregui (previous Principal Investigator), </w:t>
            </w:r>
            <w:proofErr w:type="spellStart"/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Mar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í</w:t>
            </w:r>
            <w:r w:rsidR="000A7924" w:rsidRPr="004C63C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="000A7924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Concepci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ó</w:t>
            </w:r>
            <w:r w:rsidR="000A7924" w:rsidRPr="004C63CC">
              <w:rPr>
                <w:rFonts w:ascii="Arial" w:hAnsi="Arial" w:cs="Arial"/>
                <w:sz w:val="24"/>
                <w:szCs w:val="24"/>
                <w:lang w:val="en-US"/>
              </w:rPr>
              <w:t>n Maldonado</w:t>
            </w:r>
            <w:r w:rsidR="004F640A" w:rsidRPr="004C63CC">
              <w:rPr>
                <w:rFonts w:ascii="Arial" w:hAnsi="Arial" w:cs="Arial"/>
                <w:sz w:val="24"/>
                <w:szCs w:val="24"/>
                <w:lang w:val="en-US"/>
              </w:rPr>
              <w:t>: Cundinamarca, Colombia;</w:t>
            </w:r>
          </w:p>
        </w:tc>
      </w:tr>
      <w:tr w:rsidR="00F1496C" w:rsidRPr="004C63CC" w14:paraId="4FD6B200" w14:textId="4E316A89" w:rsidTr="00BE4447">
        <w:tc>
          <w:tcPr>
            <w:tcW w:w="2411" w:type="dxa"/>
          </w:tcPr>
          <w:p w14:paraId="60A642F9" w14:textId="7DB6849D" w:rsidR="0039383C" w:rsidRPr="004C63CC" w:rsidRDefault="0039383C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ORAL Solo (NCT00814307)</w: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begin"/>
            </w:r>
            <w:r w:rsidR="00B04645" w:rsidRPr="004C63CC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ADDIN EN.CITE &lt;EndNote&gt;&lt;Cite&gt;&lt;Author&gt;Fleischmann&lt;/Author&gt;&lt;Year&gt;2012&lt;/Year&gt;&lt;RecNum&gt;1238&lt;/RecNum&gt;&lt;IDText&gt;5566&lt;/IDText&gt;&lt;DisplayText&gt;(29)&lt;/DisplayText&gt;&lt;record&gt;&lt;rec-number&gt;1238&lt;/rec-number&gt;&lt;foreign-keys&gt;&lt;key app="EN" db-id="95dsw9asg0espeexsw9vwavne9s9ftz50xxv" timestamp="1518608965"&gt;1238&lt;/key&gt;&lt;/foreign-keys&gt;&lt;ref-type name="Journal Article"&gt;17&lt;/ref-type&gt;&lt;contributors&gt;&lt;authors&gt;&lt;author&gt;Fleischmann, R.&lt;/author&gt;&lt;author&gt;Kremer, J.&lt;/author&gt;&lt;author&gt;Cush, J.&lt;/author&gt;&lt;author&gt;Schulze-Koops, H.&lt;/author&gt;&lt;author&gt;Connell, C.A.&lt;/author&gt;&lt;author&gt;Bradley, J.D.&lt;/author&gt;&lt;author&gt;Gruben, D.&lt;/author&gt;&lt;author&gt;Wallenstein, G.V.&lt;/author&gt;&lt;author&gt;Zwillich, S.H.&lt;/author&gt;&lt;author&gt;Kanik, K.S.&lt;/author&gt;&lt;author&gt;ORAL Solo Investigators,&lt;/author&gt;&lt;/authors&gt;&lt;/contributors&gt;&lt;auth-address&gt;Metroplex Clinical Research Center, Dallas, TX 75231, USA. rfleischmann@arthdocs.com&lt;/auth-address&gt;&lt;titles&gt;&lt;title&gt;Placebo-controlled trial of tofacitinib monotherapy in rheumatoid arthritis&lt;/title&gt;&lt;secondary-title&gt;N. Engl. J. Med&lt;/secondary-title&gt;&lt;/titles&gt;&lt;periodical&gt;&lt;full-title&gt;N. Engl. J. Med&lt;/full-title&gt;&lt;/periodical&gt;&lt;pages&gt;495-507&lt;/pages&gt;&lt;volume&gt;367&lt;/volume&gt;&lt;number&gt;6&lt;/number&gt;&lt;reprint-edition&gt;In File&lt;/reprint-edition&gt;&lt;keywords&gt;&lt;keyword&gt;Arthritis&lt;/keyword&gt;&lt;keyword&gt;Cholesterol&lt;/keyword&gt;&lt;keyword&gt;Health&lt;/keyword&gt;&lt;keyword&gt;Infection&lt;/keyword&gt;&lt;keyword&gt;methods&lt;/keyword&gt;&lt;keyword&gt;Patients&lt;/keyword&gt;&lt;keyword&gt;A3921045&lt;/keyword&gt;&lt;keyword&gt;Research&lt;/keyword&gt;&lt;keyword&gt;Rheumatology&lt;/keyword&gt;&lt;keyword&gt;therapy&lt;/keyword&gt;&lt;/keywords&gt;&lt;dates&gt;&lt;year&gt;2012&lt;/year&gt;&lt;pub-dates&gt;&lt;date&gt;8/9/2012&lt;/date&gt;&lt;/pub-dates&gt;&lt;/dates&gt;&lt;label&gt;5566&lt;/label&gt;&lt;urls&gt;&lt;related-urls&gt;&lt;url&gt;http://www.ncbi.nlm.nih.gov/pubmed/22873530&lt;/url&gt;&lt;/related-urls&gt;&lt;/urls&gt;&lt;electronic-resource-num&gt;10.1056/NEJMoa1109071&lt;/electronic-resource-num&gt;&lt;/record&gt;&lt;/Cite&gt;&lt;/EndNote&gt;</w:instrTex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="00B04645" w:rsidRPr="004C63C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(29)</w: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118" w:type="dxa"/>
          </w:tcPr>
          <w:p w14:paraId="38C31527" w14:textId="036C735B" w:rsidR="0039383C" w:rsidRPr="004C63CC" w:rsidRDefault="006B1DF8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February 2009/ June 2010</w:t>
            </w:r>
          </w:p>
        </w:tc>
        <w:tc>
          <w:tcPr>
            <w:tcW w:w="4536" w:type="dxa"/>
          </w:tcPr>
          <w:p w14:paraId="656431C8" w14:textId="7BEC0B02" w:rsidR="0039383C" w:rsidRPr="004C63CC" w:rsidRDefault="0039383C" w:rsidP="00B247E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Dr. William Jos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é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Otero Escalante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: Santander, Colombia;</w:t>
            </w:r>
            <w:r w:rsidR="00BE4447" w:rsidRPr="004C63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Dr. Juan Jos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é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Jaller</w:t>
            </w:r>
            <w:proofErr w:type="spellEnd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Raad</w:t>
            </w:r>
            <w:proofErr w:type="spellEnd"/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: Atl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á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ntico, Colombia;</w:t>
            </w:r>
          </w:p>
        </w:tc>
      </w:tr>
      <w:tr w:rsidR="00F1496C" w:rsidRPr="00F1496C" w14:paraId="2A47F32A" w14:textId="62A9F2F8" w:rsidTr="00BE4447">
        <w:tc>
          <w:tcPr>
            <w:tcW w:w="2411" w:type="dxa"/>
          </w:tcPr>
          <w:p w14:paraId="7A779CDD" w14:textId="378EDDDA" w:rsidR="0039383C" w:rsidRPr="004C63CC" w:rsidRDefault="0039383C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ORAL Start (NCT01039688)</w: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begin"/>
            </w:r>
            <w:r w:rsidR="00B04645" w:rsidRPr="004C63CC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ADDIN EN.CITE &lt;EndNote&gt;&lt;Cite&gt;&lt;Author&gt;Lee&lt;/Author&gt;&lt;Year&gt;2014&lt;/Year&gt;&lt;RecNum&gt;2244&lt;/RecNum&gt;&lt;IDText&gt;6606&lt;/IDText&gt;&lt;DisplayText&gt;(33)&lt;/DisplayText&gt;&lt;record&gt;&lt;rec-number&gt;2244&lt;/rec-number&gt;&lt;foreign-keys&gt;&lt;key app="EN" db-id="95dsw9asg0espeexsw9vwavne9s9ftz50xxv" timestamp="1518609049"&gt;2244&lt;/key&gt;&lt;/foreign-keys&gt;&lt;ref-type name="Journal Article"&gt;17&lt;/ref-type&gt;&lt;contributors&gt;&lt;authors&gt;&lt;author&gt;Lee, E.B.&lt;/author&gt;&lt;author&gt;Fleischmann, R&lt;/author&gt;&lt;author&gt;Hall, S&lt;/author&gt;&lt;author&gt;Wilkinson, B&lt;/author&gt;&lt;author&gt;Bradley, J&lt;/author&gt;&lt;author&gt;Gruben, D&lt;/author&gt;&lt;author&gt;Koncz, T&lt;/author&gt;&lt;author&gt;Krishnaswami, S&lt;/author&gt;&lt;author&gt;Wallenstein, G&lt;/author&gt;&lt;author&gt;Zang, C.&lt;/author&gt;&lt;author&gt;Zwillich, S&lt;/author&gt;&lt;author&gt;van Vollenhoven, RF&lt;/author&gt;&lt;author&gt;for the ORAL Start investigators&lt;/author&gt;&lt;/authors&gt;&lt;/contributors&gt;&lt;titles&gt;&lt;title&gt;Tofacitinib versus methotrexate in rheumatoid arthritis&lt;/title&gt;&lt;secondary-title&gt;N. Engl. J. Med&lt;/secondary-title&gt;&lt;/titles&gt;&lt;periodical&gt;&lt;full-title&gt;N. Engl. J. Med&lt;/full-title&gt;&lt;/periodical&gt;&lt;pages&gt;2377-2386&lt;/pages&gt;&lt;volume&gt;370&lt;/volume&gt;&lt;number&gt;25&lt;/number&gt;&lt;reprint-edition&gt;In File&lt;/reprint-edition&gt;&lt;keywords&gt;&lt;keyword&gt;62237&lt;/keyword&gt;&lt;keyword&gt;A3921069&lt;/keyword&gt;&lt;keyword&gt;Arthritis&lt;/keyword&gt;&lt;keyword&gt;Cytokines&lt;/keyword&gt;&lt;keyword&gt;Janus Kinases&lt;/keyword&gt;&lt;keyword&gt;Methotrexate&lt;/keyword&gt;&lt;keyword&gt;Phase 3&lt;/keyword&gt;&lt;keyword&gt;Start&lt;/keyword&gt;&lt;keyword&gt;tofacitinib&lt;/keyword&gt;&lt;/keywords&gt;&lt;dates&gt;&lt;year&gt;2014&lt;/year&gt;&lt;pub-dates&gt;&lt;date&gt;2014 In Press&lt;/date&gt;&lt;/pub-dates&gt;&lt;/dates&gt;&lt;label&gt;6606&lt;/label&gt;&lt;urls&gt;&lt;related-urls&gt;&lt;url&gt;&lt;style face="underline" font="default" size="100%"&gt;DOI: 10.1056/NEJMoa1310476&lt;/style&gt;&lt;/url&gt;&lt;/related-urls&gt;&lt;/urls&gt;&lt;electronic-resource-num&gt;10.1056/NEJMoa1310476&lt;/electronic-resource-num&gt;&lt;/record&gt;&lt;/Cite&gt;&lt;/EndNote&gt;</w:instrTex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="00B04645" w:rsidRPr="004C63C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(33)</w:t>
            </w:r>
            <w:r w:rsidR="000919DC" w:rsidRPr="004C63CC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118" w:type="dxa"/>
          </w:tcPr>
          <w:p w14:paraId="764A0F6D" w14:textId="729217C1" w:rsidR="0039383C" w:rsidRPr="004C63CC" w:rsidRDefault="006B1DF8" w:rsidP="00F1496C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January 2010/ March 2013</w:t>
            </w:r>
          </w:p>
        </w:tc>
        <w:tc>
          <w:tcPr>
            <w:tcW w:w="4536" w:type="dxa"/>
          </w:tcPr>
          <w:p w14:paraId="59C9B595" w14:textId="40688687" w:rsidR="0039383C" w:rsidRPr="00F1496C" w:rsidRDefault="0039383C" w:rsidP="00B247E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Dr. Edgardo David Tobias (previous Principal Investigator), Dr.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Patricia Julieta </w:t>
            </w:r>
            <w:proofErr w:type="spellStart"/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é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lez</w:t>
            </w:r>
            <w:proofErr w:type="spellEnd"/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-S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á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nchez:</w:t>
            </w:r>
            <w:r w:rsidR="00D010C0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Cundinamarca, </w:t>
            </w:r>
            <w:r w:rsidR="00D010C0" w:rsidRPr="004C63C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Colombia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="00D010C0" w:rsidRPr="004C63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Dr. Juan Jos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é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Jaller</w:t>
            </w:r>
            <w:proofErr w:type="spellEnd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Raad</w:t>
            </w:r>
            <w:proofErr w:type="spellEnd"/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: Atl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á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ntico, Colombia;</w:t>
            </w:r>
            <w:r w:rsidR="00D010C0" w:rsidRPr="004C63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>Dr. William Jos</w:t>
            </w:r>
            <w:r w:rsidR="00B247E1" w:rsidRPr="004C63CC">
              <w:rPr>
                <w:rFonts w:ascii="Arial" w:hAnsi="Arial" w:cs="Arial"/>
                <w:sz w:val="24"/>
                <w:szCs w:val="24"/>
                <w:lang w:val="en-US"/>
              </w:rPr>
              <w:t>é</w:t>
            </w:r>
            <w:r w:rsidRPr="004C63CC">
              <w:rPr>
                <w:rFonts w:ascii="Arial" w:hAnsi="Arial" w:cs="Arial"/>
                <w:sz w:val="24"/>
                <w:szCs w:val="24"/>
                <w:lang w:val="en-US"/>
              </w:rPr>
              <w:t xml:space="preserve"> Otero Escalante</w:t>
            </w:r>
            <w:r w:rsidR="00D74637" w:rsidRPr="004C63CC">
              <w:rPr>
                <w:rFonts w:ascii="Arial" w:hAnsi="Arial" w:cs="Arial"/>
                <w:sz w:val="24"/>
                <w:szCs w:val="24"/>
                <w:lang w:val="en-US"/>
              </w:rPr>
              <w:t>: Santander, Colombia;</w:t>
            </w:r>
          </w:p>
        </w:tc>
      </w:tr>
    </w:tbl>
    <w:p w14:paraId="2277D378" w14:textId="2AEBFFC8" w:rsidR="005A7A5C" w:rsidRPr="00F1496C" w:rsidRDefault="000919DC" w:rsidP="00F1496C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  <w:lang w:val="en-US"/>
        </w:rPr>
      </w:pPr>
      <w:r w:rsidRPr="00F1496C">
        <w:rPr>
          <w:rFonts w:ascii="Arial" w:hAnsi="Arial" w:cs="Arial"/>
          <w:sz w:val="24"/>
          <w:szCs w:val="24"/>
          <w:lang w:val="en-US"/>
        </w:rPr>
        <w:lastRenderedPageBreak/>
        <w:t xml:space="preserve"> </w:t>
      </w:r>
    </w:p>
    <w:sectPr w:rsidR="005A7A5C" w:rsidRPr="00F1496C" w:rsidSect="00F1496C"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F8846" w14:textId="77777777" w:rsidR="00D25DB8" w:rsidRDefault="00D25DB8" w:rsidP="000A4281">
      <w:pPr>
        <w:spacing w:after="0" w:line="240" w:lineRule="auto"/>
      </w:pPr>
      <w:r>
        <w:separator/>
      </w:r>
    </w:p>
  </w:endnote>
  <w:endnote w:type="continuationSeparator" w:id="0">
    <w:p w14:paraId="4BBECD16" w14:textId="77777777" w:rsidR="00D25DB8" w:rsidRDefault="00D25DB8" w:rsidP="000A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C440F" w14:textId="77777777" w:rsidR="00D25DB8" w:rsidRDefault="00D25DB8" w:rsidP="000A4281">
      <w:pPr>
        <w:spacing w:after="0" w:line="240" w:lineRule="auto"/>
      </w:pPr>
      <w:r>
        <w:separator/>
      </w:r>
    </w:p>
  </w:footnote>
  <w:footnote w:type="continuationSeparator" w:id="0">
    <w:p w14:paraId="246F7843" w14:textId="77777777" w:rsidR="00D25DB8" w:rsidRDefault="00D25DB8" w:rsidP="000A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AAE6" w14:textId="01888BB3" w:rsidR="00F1496C" w:rsidRPr="000A4281" w:rsidRDefault="00F1496C">
    <w:pPr>
      <w:pStyle w:val="Head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5dsw9asg0espeexsw9vwavne9s9ftz50xxv&quot;&gt;Pfizer.Tofacitinib@complete-mc.com&lt;record-ids&gt;&lt;item&gt;120&lt;/item&gt;&lt;item&gt;820&lt;/item&gt;&lt;item&gt;887&lt;/item&gt;&lt;item&gt;951&lt;/item&gt;&lt;item&gt;1038&lt;/item&gt;&lt;item&gt;1093&lt;/item&gt;&lt;item&gt;1237&lt;/item&gt;&lt;item&gt;1238&lt;/item&gt;&lt;item&gt;1371&lt;/item&gt;&lt;item&gt;1388&lt;/item&gt;&lt;item&gt;1560&lt;/item&gt;&lt;item&gt;1650&lt;/item&gt;&lt;item&gt;1706&lt;/item&gt;&lt;item&gt;1866&lt;/item&gt;&lt;item&gt;1867&lt;/item&gt;&lt;item&gt;1872&lt;/item&gt;&lt;item&gt;2172&lt;/item&gt;&lt;item&gt;2178&lt;/item&gt;&lt;item&gt;2244&lt;/item&gt;&lt;item&gt;2267&lt;/item&gt;&lt;item&gt;2388&lt;/item&gt;&lt;item&gt;2389&lt;/item&gt;&lt;item&gt;2477&lt;/item&gt;&lt;item&gt;2537&lt;/item&gt;&lt;item&gt;2549&lt;/item&gt;&lt;item&gt;2559&lt;/item&gt;&lt;item&gt;2560&lt;/item&gt;&lt;item&gt;2750&lt;/item&gt;&lt;item&gt;2807&lt;/item&gt;&lt;item&gt;3344&lt;/item&gt;&lt;item&gt;3345&lt;/item&gt;&lt;item&gt;3346&lt;/item&gt;&lt;item&gt;3356&lt;/item&gt;&lt;item&gt;3792&lt;/item&gt;&lt;item&gt;3814&lt;/item&gt;&lt;item&gt;3821&lt;/item&gt;&lt;item&gt;3899&lt;/item&gt;&lt;item&gt;3985&lt;/item&gt;&lt;item&gt;4528&lt;/item&gt;&lt;item&gt;5226&lt;/item&gt;&lt;item&gt;5339&lt;/item&gt;&lt;item&gt;5340&lt;/item&gt;&lt;item&gt;5411&lt;/item&gt;&lt;item&gt;5613&lt;/item&gt;&lt;item&gt;5690&lt;/item&gt;&lt;item&gt;5708&lt;/item&gt;&lt;item&gt;5787&lt;/item&gt;&lt;item&gt;6129&lt;/item&gt;&lt;item&gt;6468&lt;/item&gt;&lt;item&gt;6469&lt;/item&gt;&lt;item&gt;6472&lt;/item&gt;&lt;item&gt;6475&lt;/item&gt;&lt;item&gt;6481&lt;/item&gt;&lt;item&gt;6530&lt;/item&gt;&lt;/record-ids&gt;&lt;/item&gt;&lt;/Libraries&gt;"/>
    <w:docVar w:name="REFMGR.Layout" w:val="&lt;Layout&gt;&lt;StartingRefnum&gt;I:\MCM\Styles\Reumatologia Clinica.os&lt;/StartingRefnum&gt;&lt;FontName&gt;Times New Roman&lt;/FontName&gt;&lt;FontSize&gt;12&lt;/FontSize&gt;&lt;ReflistTitle&gt;&lt;/ReflistTitle&gt;&lt;SpaceAfter&gt;1&lt;/SpaceAfter&gt;&lt;ReflistOrder&gt;0&lt;/ReflistOrder&gt;&lt;CitationOrder&gt;0&lt;/CitationOrder&gt;&lt;NumberReferences&gt;1&lt;/NumberReferences&gt;&lt;FirstLineIndent&gt;0&lt;/FirstLineIndent&gt;&lt;HangingIndent&gt;0&lt;/HangingIndent&gt;&lt;LineSpacing&gt;2&lt;/LineSpacing&gt;&lt;ShowReprint&gt;1&lt;/ShowReprint&gt;&lt;ShowNotes&gt;0&lt;/ShowNotes&gt;&lt;ShowKeywords&gt;0&lt;/ShowKeywords&gt;&lt;ShortFormFields&gt;0&lt;/ShortFormFields&gt;&lt;ShowRecordID&gt;0&lt;/ShowRecordID&gt;&lt;ShowAbstract&gt;0&lt;/ShowAbstract&gt;&lt;/Layout&gt;"/>
    <w:docVar w:name="REFMGR.Libraries" w:val="&lt;Databases&gt;&lt;Libraries&gt;&lt;item&gt;pfizer cp-690,550&lt;/item&gt;&lt;/Libraries&gt;&lt;/Databases&gt;"/>
  </w:docVars>
  <w:rsids>
    <w:rsidRoot w:val="00073E49"/>
    <w:rsid w:val="00000AEA"/>
    <w:rsid w:val="00001506"/>
    <w:rsid w:val="00005D63"/>
    <w:rsid w:val="0001149A"/>
    <w:rsid w:val="0001204B"/>
    <w:rsid w:val="00012ED1"/>
    <w:rsid w:val="00016CBA"/>
    <w:rsid w:val="0002132C"/>
    <w:rsid w:val="000225EB"/>
    <w:rsid w:val="00023068"/>
    <w:rsid w:val="00024F4F"/>
    <w:rsid w:val="00025A3B"/>
    <w:rsid w:val="0002699B"/>
    <w:rsid w:val="000340E1"/>
    <w:rsid w:val="00037761"/>
    <w:rsid w:val="0004166F"/>
    <w:rsid w:val="00042312"/>
    <w:rsid w:val="00043DCF"/>
    <w:rsid w:val="0004436A"/>
    <w:rsid w:val="0004473B"/>
    <w:rsid w:val="000509F0"/>
    <w:rsid w:val="00050AFB"/>
    <w:rsid w:val="00051438"/>
    <w:rsid w:val="0005183A"/>
    <w:rsid w:val="00057809"/>
    <w:rsid w:val="00060B9A"/>
    <w:rsid w:val="0006202F"/>
    <w:rsid w:val="00065802"/>
    <w:rsid w:val="000666CF"/>
    <w:rsid w:val="00073C9A"/>
    <w:rsid w:val="00073E49"/>
    <w:rsid w:val="00075E37"/>
    <w:rsid w:val="000771F2"/>
    <w:rsid w:val="000804BC"/>
    <w:rsid w:val="00080D9D"/>
    <w:rsid w:val="00086EB8"/>
    <w:rsid w:val="00090ACA"/>
    <w:rsid w:val="000919DC"/>
    <w:rsid w:val="00096F5F"/>
    <w:rsid w:val="0009729C"/>
    <w:rsid w:val="000A26F2"/>
    <w:rsid w:val="000A4281"/>
    <w:rsid w:val="000A5E59"/>
    <w:rsid w:val="000A7924"/>
    <w:rsid w:val="000B04B7"/>
    <w:rsid w:val="000B3D2F"/>
    <w:rsid w:val="000B45DB"/>
    <w:rsid w:val="000B715D"/>
    <w:rsid w:val="000C0AEC"/>
    <w:rsid w:val="000C0D05"/>
    <w:rsid w:val="000C25A2"/>
    <w:rsid w:val="000C305C"/>
    <w:rsid w:val="000C38B3"/>
    <w:rsid w:val="000C4651"/>
    <w:rsid w:val="000C5A60"/>
    <w:rsid w:val="000C6DD5"/>
    <w:rsid w:val="000D2DE2"/>
    <w:rsid w:val="000D2EBB"/>
    <w:rsid w:val="000D3A49"/>
    <w:rsid w:val="000D7D75"/>
    <w:rsid w:val="000E3CEE"/>
    <w:rsid w:val="000E58BD"/>
    <w:rsid w:val="000E7649"/>
    <w:rsid w:val="000F09FA"/>
    <w:rsid w:val="000F16BE"/>
    <w:rsid w:val="000F33C9"/>
    <w:rsid w:val="000F4B72"/>
    <w:rsid w:val="000F4D24"/>
    <w:rsid w:val="00100BB2"/>
    <w:rsid w:val="00102416"/>
    <w:rsid w:val="001028FE"/>
    <w:rsid w:val="00103E8F"/>
    <w:rsid w:val="0010751C"/>
    <w:rsid w:val="00107EE4"/>
    <w:rsid w:val="0011075B"/>
    <w:rsid w:val="00110D82"/>
    <w:rsid w:val="001114D8"/>
    <w:rsid w:val="001146A8"/>
    <w:rsid w:val="001167E4"/>
    <w:rsid w:val="00121649"/>
    <w:rsid w:val="001247C0"/>
    <w:rsid w:val="00125F2B"/>
    <w:rsid w:val="001260EB"/>
    <w:rsid w:val="00126A15"/>
    <w:rsid w:val="001273FC"/>
    <w:rsid w:val="00127D39"/>
    <w:rsid w:val="00132A3E"/>
    <w:rsid w:val="0014139E"/>
    <w:rsid w:val="00142905"/>
    <w:rsid w:val="00142955"/>
    <w:rsid w:val="00142E49"/>
    <w:rsid w:val="00147C28"/>
    <w:rsid w:val="001534A0"/>
    <w:rsid w:val="001551C8"/>
    <w:rsid w:val="00163445"/>
    <w:rsid w:val="0016423C"/>
    <w:rsid w:val="001646B5"/>
    <w:rsid w:val="00166014"/>
    <w:rsid w:val="00167024"/>
    <w:rsid w:val="00170BD7"/>
    <w:rsid w:val="00170FF0"/>
    <w:rsid w:val="00171BD4"/>
    <w:rsid w:val="0017364F"/>
    <w:rsid w:val="001745B6"/>
    <w:rsid w:val="0017644D"/>
    <w:rsid w:val="00180CB7"/>
    <w:rsid w:val="00182290"/>
    <w:rsid w:val="00191540"/>
    <w:rsid w:val="001916C1"/>
    <w:rsid w:val="00191B34"/>
    <w:rsid w:val="001A288A"/>
    <w:rsid w:val="001A3619"/>
    <w:rsid w:val="001A4513"/>
    <w:rsid w:val="001A4609"/>
    <w:rsid w:val="001A4F07"/>
    <w:rsid w:val="001A615B"/>
    <w:rsid w:val="001A780A"/>
    <w:rsid w:val="001A7951"/>
    <w:rsid w:val="001B0A56"/>
    <w:rsid w:val="001B541C"/>
    <w:rsid w:val="001B7981"/>
    <w:rsid w:val="001C1A6B"/>
    <w:rsid w:val="001C5D1E"/>
    <w:rsid w:val="001D2A5A"/>
    <w:rsid w:val="001D35C5"/>
    <w:rsid w:val="001D4298"/>
    <w:rsid w:val="001D5734"/>
    <w:rsid w:val="001D76C9"/>
    <w:rsid w:val="001E0200"/>
    <w:rsid w:val="001E0FA6"/>
    <w:rsid w:val="001E2134"/>
    <w:rsid w:val="001E3F88"/>
    <w:rsid w:val="001E53E9"/>
    <w:rsid w:val="001E6C78"/>
    <w:rsid w:val="001E7E70"/>
    <w:rsid w:val="001F132C"/>
    <w:rsid w:val="001F17B9"/>
    <w:rsid w:val="001F1BFC"/>
    <w:rsid w:val="001F2297"/>
    <w:rsid w:val="001F316B"/>
    <w:rsid w:val="001F74A2"/>
    <w:rsid w:val="002000A8"/>
    <w:rsid w:val="00202C21"/>
    <w:rsid w:val="00202E7F"/>
    <w:rsid w:val="002040E6"/>
    <w:rsid w:val="002047E5"/>
    <w:rsid w:val="002077DB"/>
    <w:rsid w:val="00212ED2"/>
    <w:rsid w:val="002139B1"/>
    <w:rsid w:val="002162CE"/>
    <w:rsid w:val="002165C8"/>
    <w:rsid w:val="002173E9"/>
    <w:rsid w:val="00220254"/>
    <w:rsid w:val="0022070C"/>
    <w:rsid w:val="00220846"/>
    <w:rsid w:val="00220957"/>
    <w:rsid w:val="0022152F"/>
    <w:rsid w:val="0022441E"/>
    <w:rsid w:val="0022659E"/>
    <w:rsid w:val="00230044"/>
    <w:rsid w:val="002320EA"/>
    <w:rsid w:val="00236C3A"/>
    <w:rsid w:val="00242AF3"/>
    <w:rsid w:val="00247EFB"/>
    <w:rsid w:val="0025226E"/>
    <w:rsid w:val="002541D8"/>
    <w:rsid w:val="00254763"/>
    <w:rsid w:val="00256B09"/>
    <w:rsid w:val="0025790D"/>
    <w:rsid w:val="00262D81"/>
    <w:rsid w:val="002639B5"/>
    <w:rsid w:val="00264652"/>
    <w:rsid w:val="00273938"/>
    <w:rsid w:val="00274418"/>
    <w:rsid w:val="002758D7"/>
    <w:rsid w:val="0027746D"/>
    <w:rsid w:val="00281D22"/>
    <w:rsid w:val="00282697"/>
    <w:rsid w:val="0028391D"/>
    <w:rsid w:val="002845DC"/>
    <w:rsid w:val="00284DAF"/>
    <w:rsid w:val="00285151"/>
    <w:rsid w:val="00287C77"/>
    <w:rsid w:val="00291605"/>
    <w:rsid w:val="002927FF"/>
    <w:rsid w:val="00293420"/>
    <w:rsid w:val="00294234"/>
    <w:rsid w:val="002970F5"/>
    <w:rsid w:val="002A1FBE"/>
    <w:rsid w:val="002A311A"/>
    <w:rsid w:val="002A4D68"/>
    <w:rsid w:val="002A52A8"/>
    <w:rsid w:val="002A657A"/>
    <w:rsid w:val="002B049F"/>
    <w:rsid w:val="002B2AD1"/>
    <w:rsid w:val="002B37CD"/>
    <w:rsid w:val="002B76C3"/>
    <w:rsid w:val="002B77C2"/>
    <w:rsid w:val="002C01FB"/>
    <w:rsid w:val="002C1D47"/>
    <w:rsid w:val="002C5157"/>
    <w:rsid w:val="002D0EB9"/>
    <w:rsid w:val="002D1B8D"/>
    <w:rsid w:val="002D44C1"/>
    <w:rsid w:val="002E0FB6"/>
    <w:rsid w:val="002E2163"/>
    <w:rsid w:val="002E43D3"/>
    <w:rsid w:val="002E5350"/>
    <w:rsid w:val="002E5574"/>
    <w:rsid w:val="002E5F56"/>
    <w:rsid w:val="002E7D10"/>
    <w:rsid w:val="002F2A43"/>
    <w:rsid w:val="002F3F52"/>
    <w:rsid w:val="002F578E"/>
    <w:rsid w:val="002F6192"/>
    <w:rsid w:val="002F7580"/>
    <w:rsid w:val="003013A3"/>
    <w:rsid w:val="00301471"/>
    <w:rsid w:val="00311875"/>
    <w:rsid w:val="00312A03"/>
    <w:rsid w:val="00314087"/>
    <w:rsid w:val="0031715E"/>
    <w:rsid w:val="00327BF9"/>
    <w:rsid w:val="00330653"/>
    <w:rsid w:val="00330C86"/>
    <w:rsid w:val="0033100A"/>
    <w:rsid w:val="00337594"/>
    <w:rsid w:val="00337896"/>
    <w:rsid w:val="00340912"/>
    <w:rsid w:val="003413C8"/>
    <w:rsid w:val="00351FD7"/>
    <w:rsid w:val="0035326B"/>
    <w:rsid w:val="00355D96"/>
    <w:rsid w:val="00356DFD"/>
    <w:rsid w:val="00357832"/>
    <w:rsid w:val="00361D80"/>
    <w:rsid w:val="003621A5"/>
    <w:rsid w:val="00362EED"/>
    <w:rsid w:val="003666B8"/>
    <w:rsid w:val="00370C6A"/>
    <w:rsid w:val="0037693E"/>
    <w:rsid w:val="003816A2"/>
    <w:rsid w:val="00381C50"/>
    <w:rsid w:val="00382642"/>
    <w:rsid w:val="00383807"/>
    <w:rsid w:val="0038435A"/>
    <w:rsid w:val="00384EE7"/>
    <w:rsid w:val="003901C5"/>
    <w:rsid w:val="00390C91"/>
    <w:rsid w:val="0039235C"/>
    <w:rsid w:val="003931C6"/>
    <w:rsid w:val="0039383C"/>
    <w:rsid w:val="00394100"/>
    <w:rsid w:val="00396589"/>
    <w:rsid w:val="003A00BE"/>
    <w:rsid w:val="003A189C"/>
    <w:rsid w:val="003A509A"/>
    <w:rsid w:val="003B14ED"/>
    <w:rsid w:val="003B33E4"/>
    <w:rsid w:val="003B37E6"/>
    <w:rsid w:val="003B5285"/>
    <w:rsid w:val="003C1609"/>
    <w:rsid w:val="003C2697"/>
    <w:rsid w:val="003C3CB7"/>
    <w:rsid w:val="003C4ECB"/>
    <w:rsid w:val="003C563E"/>
    <w:rsid w:val="003C7D38"/>
    <w:rsid w:val="003D50ED"/>
    <w:rsid w:val="003D6391"/>
    <w:rsid w:val="003D654B"/>
    <w:rsid w:val="003D6B49"/>
    <w:rsid w:val="003D7038"/>
    <w:rsid w:val="003D78D8"/>
    <w:rsid w:val="003D7F4C"/>
    <w:rsid w:val="003E03D4"/>
    <w:rsid w:val="003E06EA"/>
    <w:rsid w:val="003E0A09"/>
    <w:rsid w:val="003E19EB"/>
    <w:rsid w:val="003E1B26"/>
    <w:rsid w:val="003E2344"/>
    <w:rsid w:val="003E2AC2"/>
    <w:rsid w:val="003E2C57"/>
    <w:rsid w:val="003E3F55"/>
    <w:rsid w:val="003E4146"/>
    <w:rsid w:val="003E4528"/>
    <w:rsid w:val="003E6CB6"/>
    <w:rsid w:val="003F344A"/>
    <w:rsid w:val="003F4DB1"/>
    <w:rsid w:val="00401A10"/>
    <w:rsid w:val="0040403B"/>
    <w:rsid w:val="0040437F"/>
    <w:rsid w:val="00405906"/>
    <w:rsid w:val="00410582"/>
    <w:rsid w:val="00410D63"/>
    <w:rsid w:val="00410DCD"/>
    <w:rsid w:val="00412693"/>
    <w:rsid w:val="00415EEE"/>
    <w:rsid w:val="0041635F"/>
    <w:rsid w:val="00420D74"/>
    <w:rsid w:val="004218AE"/>
    <w:rsid w:val="00422E2D"/>
    <w:rsid w:val="00425976"/>
    <w:rsid w:val="004259B4"/>
    <w:rsid w:val="00426923"/>
    <w:rsid w:val="0043306C"/>
    <w:rsid w:val="0043467F"/>
    <w:rsid w:val="0044040C"/>
    <w:rsid w:val="00440766"/>
    <w:rsid w:val="004412D0"/>
    <w:rsid w:val="0044235F"/>
    <w:rsid w:val="004474BA"/>
    <w:rsid w:val="004506EB"/>
    <w:rsid w:val="004511B6"/>
    <w:rsid w:val="00453D1F"/>
    <w:rsid w:val="00455225"/>
    <w:rsid w:val="004558EB"/>
    <w:rsid w:val="00456E07"/>
    <w:rsid w:val="00457404"/>
    <w:rsid w:val="00457667"/>
    <w:rsid w:val="00457AEF"/>
    <w:rsid w:val="00461D1A"/>
    <w:rsid w:val="00462464"/>
    <w:rsid w:val="00463E34"/>
    <w:rsid w:val="004642F0"/>
    <w:rsid w:val="004644B6"/>
    <w:rsid w:val="00464647"/>
    <w:rsid w:val="00465574"/>
    <w:rsid w:val="00471FC4"/>
    <w:rsid w:val="00474504"/>
    <w:rsid w:val="00474BFE"/>
    <w:rsid w:val="0047653C"/>
    <w:rsid w:val="00480974"/>
    <w:rsid w:val="00481004"/>
    <w:rsid w:val="00481CAC"/>
    <w:rsid w:val="0048266F"/>
    <w:rsid w:val="00484B8E"/>
    <w:rsid w:val="004877CD"/>
    <w:rsid w:val="00493875"/>
    <w:rsid w:val="0049545E"/>
    <w:rsid w:val="004A2332"/>
    <w:rsid w:val="004A3F97"/>
    <w:rsid w:val="004A5BE9"/>
    <w:rsid w:val="004B0575"/>
    <w:rsid w:val="004C16DF"/>
    <w:rsid w:val="004C2A72"/>
    <w:rsid w:val="004C5EAE"/>
    <w:rsid w:val="004C620E"/>
    <w:rsid w:val="004C63CC"/>
    <w:rsid w:val="004D005E"/>
    <w:rsid w:val="004D08A4"/>
    <w:rsid w:val="004D0B98"/>
    <w:rsid w:val="004D2AEA"/>
    <w:rsid w:val="004D2DC3"/>
    <w:rsid w:val="004D315A"/>
    <w:rsid w:val="004D3921"/>
    <w:rsid w:val="004D3D9B"/>
    <w:rsid w:val="004D5335"/>
    <w:rsid w:val="004D55BA"/>
    <w:rsid w:val="004D6226"/>
    <w:rsid w:val="004D7590"/>
    <w:rsid w:val="004D7BC1"/>
    <w:rsid w:val="004E2B73"/>
    <w:rsid w:val="004E4955"/>
    <w:rsid w:val="004E575E"/>
    <w:rsid w:val="004F1591"/>
    <w:rsid w:val="004F640A"/>
    <w:rsid w:val="00502E0C"/>
    <w:rsid w:val="005038A6"/>
    <w:rsid w:val="00505E61"/>
    <w:rsid w:val="005070FC"/>
    <w:rsid w:val="00507827"/>
    <w:rsid w:val="0050798B"/>
    <w:rsid w:val="00507EC7"/>
    <w:rsid w:val="0051288B"/>
    <w:rsid w:val="0051409C"/>
    <w:rsid w:val="005141EA"/>
    <w:rsid w:val="00514FB0"/>
    <w:rsid w:val="005162EC"/>
    <w:rsid w:val="0052282B"/>
    <w:rsid w:val="00522BFE"/>
    <w:rsid w:val="005238EF"/>
    <w:rsid w:val="005265C2"/>
    <w:rsid w:val="005302DF"/>
    <w:rsid w:val="00534A56"/>
    <w:rsid w:val="00537B4B"/>
    <w:rsid w:val="00547078"/>
    <w:rsid w:val="00547377"/>
    <w:rsid w:val="00551CEE"/>
    <w:rsid w:val="005543DB"/>
    <w:rsid w:val="00554E08"/>
    <w:rsid w:val="00555729"/>
    <w:rsid w:val="00563ACB"/>
    <w:rsid w:val="00564889"/>
    <w:rsid w:val="00564FEA"/>
    <w:rsid w:val="00566477"/>
    <w:rsid w:val="00570083"/>
    <w:rsid w:val="00573615"/>
    <w:rsid w:val="0057651A"/>
    <w:rsid w:val="00580F31"/>
    <w:rsid w:val="005817FE"/>
    <w:rsid w:val="00581965"/>
    <w:rsid w:val="005837B4"/>
    <w:rsid w:val="005933BE"/>
    <w:rsid w:val="00593F0D"/>
    <w:rsid w:val="005947BF"/>
    <w:rsid w:val="00594D8C"/>
    <w:rsid w:val="005951C8"/>
    <w:rsid w:val="0059543B"/>
    <w:rsid w:val="00596BFD"/>
    <w:rsid w:val="005A744D"/>
    <w:rsid w:val="005A7A5C"/>
    <w:rsid w:val="005B0550"/>
    <w:rsid w:val="005B3006"/>
    <w:rsid w:val="005B43A8"/>
    <w:rsid w:val="005B566E"/>
    <w:rsid w:val="005B5754"/>
    <w:rsid w:val="005B62C9"/>
    <w:rsid w:val="005C1D83"/>
    <w:rsid w:val="005C2270"/>
    <w:rsid w:val="005C2389"/>
    <w:rsid w:val="005C32C9"/>
    <w:rsid w:val="005C59DA"/>
    <w:rsid w:val="005D29C2"/>
    <w:rsid w:val="005D5597"/>
    <w:rsid w:val="005D5805"/>
    <w:rsid w:val="005D7BF3"/>
    <w:rsid w:val="005E0A17"/>
    <w:rsid w:val="005E15BA"/>
    <w:rsid w:val="005E5214"/>
    <w:rsid w:val="005E783C"/>
    <w:rsid w:val="005F20D4"/>
    <w:rsid w:val="005F2158"/>
    <w:rsid w:val="005F3701"/>
    <w:rsid w:val="005F58ED"/>
    <w:rsid w:val="005F6ADA"/>
    <w:rsid w:val="005F6CE3"/>
    <w:rsid w:val="006010C7"/>
    <w:rsid w:val="0060262E"/>
    <w:rsid w:val="006032A8"/>
    <w:rsid w:val="006032E6"/>
    <w:rsid w:val="006035ED"/>
    <w:rsid w:val="00606600"/>
    <w:rsid w:val="006067CC"/>
    <w:rsid w:val="00606A3E"/>
    <w:rsid w:val="00610ED1"/>
    <w:rsid w:val="00612922"/>
    <w:rsid w:val="00612EE4"/>
    <w:rsid w:val="006134ED"/>
    <w:rsid w:val="00613ACC"/>
    <w:rsid w:val="006155F7"/>
    <w:rsid w:val="006156A6"/>
    <w:rsid w:val="006166B3"/>
    <w:rsid w:val="00616EC1"/>
    <w:rsid w:val="00625DD2"/>
    <w:rsid w:val="00626EDE"/>
    <w:rsid w:val="00627663"/>
    <w:rsid w:val="00631031"/>
    <w:rsid w:val="0063791F"/>
    <w:rsid w:val="00641214"/>
    <w:rsid w:val="00642984"/>
    <w:rsid w:val="00642F47"/>
    <w:rsid w:val="006446A5"/>
    <w:rsid w:val="00645289"/>
    <w:rsid w:val="00646E1A"/>
    <w:rsid w:val="0064792D"/>
    <w:rsid w:val="00647D8A"/>
    <w:rsid w:val="0065037F"/>
    <w:rsid w:val="00652001"/>
    <w:rsid w:val="0065290B"/>
    <w:rsid w:val="00652B24"/>
    <w:rsid w:val="00654C30"/>
    <w:rsid w:val="006562C7"/>
    <w:rsid w:val="00657A28"/>
    <w:rsid w:val="00660BE9"/>
    <w:rsid w:val="00661A6F"/>
    <w:rsid w:val="0066332E"/>
    <w:rsid w:val="00663EDB"/>
    <w:rsid w:val="00664C1F"/>
    <w:rsid w:val="00667FD5"/>
    <w:rsid w:val="00670045"/>
    <w:rsid w:val="006705BC"/>
    <w:rsid w:val="00671657"/>
    <w:rsid w:val="00671938"/>
    <w:rsid w:val="00672A9B"/>
    <w:rsid w:val="00675B02"/>
    <w:rsid w:val="0067791D"/>
    <w:rsid w:val="00677C6A"/>
    <w:rsid w:val="00687196"/>
    <w:rsid w:val="00690132"/>
    <w:rsid w:val="00691B65"/>
    <w:rsid w:val="006934E5"/>
    <w:rsid w:val="006964D9"/>
    <w:rsid w:val="0069651A"/>
    <w:rsid w:val="006A0BB1"/>
    <w:rsid w:val="006A3167"/>
    <w:rsid w:val="006A37F4"/>
    <w:rsid w:val="006A458A"/>
    <w:rsid w:val="006A570C"/>
    <w:rsid w:val="006A59E7"/>
    <w:rsid w:val="006A78B5"/>
    <w:rsid w:val="006A7BF9"/>
    <w:rsid w:val="006B0EA3"/>
    <w:rsid w:val="006B1446"/>
    <w:rsid w:val="006B19CD"/>
    <w:rsid w:val="006B1DF8"/>
    <w:rsid w:val="006B2C25"/>
    <w:rsid w:val="006B4991"/>
    <w:rsid w:val="006B5106"/>
    <w:rsid w:val="006B58EC"/>
    <w:rsid w:val="006B68F1"/>
    <w:rsid w:val="006C0175"/>
    <w:rsid w:val="006C2D69"/>
    <w:rsid w:val="006C3F2C"/>
    <w:rsid w:val="006C51CE"/>
    <w:rsid w:val="006C5659"/>
    <w:rsid w:val="006C58FE"/>
    <w:rsid w:val="006C6DFD"/>
    <w:rsid w:val="006D088C"/>
    <w:rsid w:val="006D4E10"/>
    <w:rsid w:val="006E0BEF"/>
    <w:rsid w:val="006E10D3"/>
    <w:rsid w:val="006E1506"/>
    <w:rsid w:val="006E296F"/>
    <w:rsid w:val="006E3E4F"/>
    <w:rsid w:val="006E7BC0"/>
    <w:rsid w:val="006F1B5F"/>
    <w:rsid w:val="006F24D6"/>
    <w:rsid w:val="006F2F75"/>
    <w:rsid w:val="006F3157"/>
    <w:rsid w:val="006F552B"/>
    <w:rsid w:val="00700921"/>
    <w:rsid w:val="00703813"/>
    <w:rsid w:val="00703EE6"/>
    <w:rsid w:val="00705711"/>
    <w:rsid w:val="00707BA7"/>
    <w:rsid w:val="00707C85"/>
    <w:rsid w:val="0071058D"/>
    <w:rsid w:val="007169AD"/>
    <w:rsid w:val="007220BD"/>
    <w:rsid w:val="00724E2D"/>
    <w:rsid w:val="00726551"/>
    <w:rsid w:val="00731754"/>
    <w:rsid w:val="00731FD9"/>
    <w:rsid w:val="00733C4C"/>
    <w:rsid w:val="00735E76"/>
    <w:rsid w:val="00736A52"/>
    <w:rsid w:val="0073727E"/>
    <w:rsid w:val="0073733C"/>
    <w:rsid w:val="00740094"/>
    <w:rsid w:val="00740B44"/>
    <w:rsid w:val="00744D85"/>
    <w:rsid w:val="00745F21"/>
    <w:rsid w:val="00746B6F"/>
    <w:rsid w:val="00750D56"/>
    <w:rsid w:val="00753CFD"/>
    <w:rsid w:val="007560A4"/>
    <w:rsid w:val="007609FB"/>
    <w:rsid w:val="0076314A"/>
    <w:rsid w:val="007641B9"/>
    <w:rsid w:val="007649DC"/>
    <w:rsid w:val="00765413"/>
    <w:rsid w:val="007701EE"/>
    <w:rsid w:val="007706C2"/>
    <w:rsid w:val="007709BC"/>
    <w:rsid w:val="00771D66"/>
    <w:rsid w:val="0077659A"/>
    <w:rsid w:val="00777F06"/>
    <w:rsid w:val="00782DAE"/>
    <w:rsid w:val="007831F0"/>
    <w:rsid w:val="00783C39"/>
    <w:rsid w:val="00784CBC"/>
    <w:rsid w:val="00786959"/>
    <w:rsid w:val="00786E09"/>
    <w:rsid w:val="007921E0"/>
    <w:rsid w:val="00793AD1"/>
    <w:rsid w:val="00794BA1"/>
    <w:rsid w:val="007955A9"/>
    <w:rsid w:val="007A0859"/>
    <w:rsid w:val="007A1621"/>
    <w:rsid w:val="007A1E32"/>
    <w:rsid w:val="007A4B3A"/>
    <w:rsid w:val="007A728F"/>
    <w:rsid w:val="007B03E6"/>
    <w:rsid w:val="007B19C6"/>
    <w:rsid w:val="007B3C34"/>
    <w:rsid w:val="007B4255"/>
    <w:rsid w:val="007B7CCB"/>
    <w:rsid w:val="007C0160"/>
    <w:rsid w:val="007C189D"/>
    <w:rsid w:val="007C18FE"/>
    <w:rsid w:val="007C2271"/>
    <w:rsid w:val="007C6022"/>
    <w:rsid w:val="007C6A16"/>
    <w:rsid w:val="007C770B"/>
    <w:rsid w:val="007C77C4"/>
    <w:rsid w:val="007C79C8"/>
    <w:rsid w:val="007D4E5A"/>
    <w:rsid w:val="007D6134"/>
    <w:rsid w:val="007D678C"/>
    <w:rsid w:val="007D74A2"/>
    <w:rsid w:val="007E05B1"/>
    <w:rsid w:val="007E10AB"/>
    <w:rsid w:val="007E129D"/>
    <w:rsid w:val="007E1F03"/>
    <w:rsid w:val="007E271A"/>
    <w:rsid w:val="007E3D36"/>
    <w:rsid w:val="007F361A"/>
    <w:rsid w:val="007F4C62"/>
    <w:rsid w:val="007F5831"/>
    <w:rsid w:val="007F5F92"/>
    <w:rsid w:val="007F7305"/>
    <w:rsid w:val="0080418A"/>
    <w:rsid w:val="00805BD3"/>
    <w:rsid w:val="00807F50"/>
    <w:rsid w:val="0081364F"/>
    <w:rsid w:val="00814B54"/>
    <w:rsid w:val="008155FD"/>
    <w:rsid w:val="008158D5"/>
    <w:rsid w:val="00816375"/>
    <w:rsid w:val="0081661C"/>
    <w:rsid w:val="00816E20"/>
    <w:rsid w:val="00816F93"/>
    <w:rsid w:val="0081782C"/>
    <w:rsid w:val="0081792B"/>
    <w:rsid w:val="0082210F"/>
    <w:rsid w:val="008243FF"/>
    <w:rsid w:val="0082475A"/>
    <w:rsid w:val="00827268"/>
    <w:rsid w:val="00830287"/>
    <w:rsid w:val="00832549"/>
    <w:rsid w:val="00832F31"/>
    <w:rsid w:val="008332C4"/>
    <w:rsid w:val="0083383E"/>
    <w:rsid w:val="00834E5C"/>
    <w:rsid w:val="008370F5"/>
    <w:rsid w:val="00837410"/>
    <w:rsid w:val="008414FA"/>
    <w:rsid w:val="00842E1B"/>
    <w:rsid w:val="0084490D"/>
    <w:rsid w:val="00845B20"/>
    <w:rsid w:val="0084794C"/>
    <w:rsid w:val="00853704"/>
    <w:rsid w:val="00854548"/>
    <w:rsid w:val="0086119D"/>
    <w:rsid w:val="0086155C"/>
    <w:rsid w:val="008622E0"/>
    <w:rsid w:val="00862862"/>
    <w:rsid w:val="00862FD6"/>
    <w:rsid w:val="00866201"/>
    <w:rsid w:val="00867D26"/>
    <w:rsid w:val="00870E74"/>
    <w:rsid w:val="008725F8"/>
    <w:rsid w:val="00874A4E"/>
    <w:rsid w:val="00876E21"/>
    <w:rsid w:val="008808EB"/>
    <w:rsid w:val="008816A1"/>
    <w:rsid w:val="00886759"/>
    <w:rsid w:val="0089023D"/>
    <w:rsid w:val="008908F8"/>
    <w:rsid w:val="00890D83"/>
    <w:rsid w:val="008923D0"/>
    <w:rsid w:val="00892422"/>
    <w:rsid w:val="0089312B"/>
    <w:rsid w:val="00895CFA"/>
    <w:rsid w:val="00895D7E"/>
    <w:rsid w:val="00896A73"/>
    <w:rsid w:val="008A0CC7"/>
    <w:rsid w:val="008A1CE1"/>
    <w:rsid w:val="008A2231"/>
    <w:rsid w:val="008A5DD8"/>
    <w:rsid w:val="008A66B4"/>
    <w:rsid w:val="008B3EB5"/>
    <w:rsid w:val="008B4919"/>
    <w:rsid w:val="008B5010"/>
    <w:rsid w:val="008B5F29"/>
    <w:rsid w:val="008B6FA4"/>
    <w:rsid w:val="008B78C9"/>
    <w:rsid w:val="008B7B84"/>
    <w:rsid w:val="008C112C"/>
    <w:rsid w:val="008C12CF"/>
    <w:rsid w:val="008C194A"/>
    <w:rsid w:val="008C2953"/>
    <w:rsid w:val="008C481F"/>
    <w:rsid w:val="008C6387"/>
    <w:rsid w:val="008C6A6E"/>
    <w:rsid w:val="008C703D"/>
    <w:rsid w:val="008C75BD"/>
    <w:rsid w:val="008D12D8"/>
    <w:rsid w:val="008D2BE1"/>
    <w:rsid w:val="008D4833"/>
    <w:rsid w:val="008D48D7"/>
    <w:rsid w:val="008D4FF8"/>
    <w:rsid w:val="008D568F"/>
    <w:rsid w:val="008D5B6D"/>
    <w:rsid w:val="008D6604"/>
    <w:rsid w:val="008E0DA0"/>
    <w:rsid w:val="008E3966"/>
    <w:rsid w:val="008F0747"/>
    <w:rsid w:val="008F07D6"/>
    <w:rsid w:val="008F45E5"/>
    <w:rsid w:val="008F56B2"/>
    <w:rsid w:val="008F6649"/>
    <w:rsid w:val="00901596"/>
    <w:rsid w:val="00901CAC"/>
    <w:rsid w:val="00903AAB"/>
    <w:rsid w:val="00903D51"/>
    <w:rsid w:val="00904202"/>
    <w:rsid w:val="009071D5"/>
    <w:rsid w:val="00910408"/>
    <w:rsid w:val="00911962"/>
    <w:rsid w:val="009131E9"/>
    <w:rsid w:val="0091520D"/>
    <w:rsid w:val="00916107"/>
    <w:rsid w:val="00924175"/>
    <w:rsid w:val="009242EA"/>
    <w:rsid w:val="00926531"/>
    <w:rsid w:val="00930CFB"/>
    <w:rsid w:val="0093581B"/>
    <w:rsid w:val="0093587A"/>
    <w:rsid w:val="00940FFA"/>
    <w:rsid w:val="009418CC"/>
    <w:rsid w:val="00950485"/>
    <w:rsid w:val="009514C2"/>
    <w:rsid w:val="00952501"/>
    <w:rsid w:val="0095356C"/>
    <w:rsid w:val="00953956"/>
    <w:rsid w:val="009539DE"/>
    <w:rsid w:val="009548A2"/>
    <w:rsid w:val="00960A29"/>
    <w:rsid w:val="00960D36"/>
    <w:rsid w:val="0096112C"/>
    <w:rsid w:val="0096115A"/>
    <w:rsid w:val="00962149"/>
    <w:rsid w:val="00964DB9"/>
    <w:rsid w:val="00966099"/>
    <w:rsid w:val="009667B1"/>
    <w:rsid w:val="0097219B"/>
    <w:rsid w:val="009741D9"/>
    <w:rsid w:val="0097494E"/>
    <w:rsid w:val="00987E45"/>
    <w:rsid w:val="00990BD4"/>
    <w:rsid w:val="00992838"/>
    <w:rsid w:val="009940B8"/>
    <w:rsid w:val="009968A3"/>
    <w:rsid w:val="009A16CF"/>
    <w:rsid w:val="009A23F2"/>
    <w:rsid w:val="009A3774"/>
    <w:rsid w:val="009A409A"/>
    <w:rsid w:val="009A7081"/>
    <w:rsid w:val="009B3F45"/>
    <w:rsid w:val="009B5430"/>
    <w:rsid w:val="009B5DD1"/>
    <w:rsid w:val="009B7B3B"/>
    <w:rsid w:val="009B7E09"/>
    <w:rsid w:val="009B7EF8"/>
    <w:rsid w:val="009C036C"/>
    <w:rsid w:val="009C0382"/>
    <w:rsid w:val="009C07B4"/>
    <w:rsid w:val="009C3D85"/>
    <w:rsid w:val="009C66C4"/>
    <w:rsid w:val="009D2106"/>
    <w:rsid w:val="009D265F"/>
    <w:rsid w:val="009D393D"/>
    <w:rsid w:val="009D4040"/>
    <w:rsid w:val="009D70F6"/>
    <w:rsid w:val="009E383D"/>
    <w:rsid w:val="009E3B46"/>
    <w:rsid w:val="009E4639"/>
    <w:rsid w:val="009E4A9E"/>
    <w:rsid w:val="009F0DFF"/>
    <w:rsid w:val="009F0F21"/>
    <w:rsid w:val="009F39C7"/>
    <w:rsid w:val="009F406F"/>
    <w:rsid w:val="009F43C4"/>
    <w:rsid w:val="009F6BA8"/>
    <w:rsid w:val="00A050A5"/>
    <w:rsid w:val="00A145E0"/>
    <w:rsid w:val="00A16693"/>
    <w:rsid w:val="00A20AEB"/>
    <w:rsid w:val="00A2174F"/>
    <w:rsid w:val="00A258DB"/>
    <w:rsid w:val="00A261CF"/>
    <w:rsid w:val="00A2648D"/>
    <w:rsid w:val="00A27E39"/>
    <w:rsid w:val="00A35146"/>
    <w:rsid w:val="00A403B5"/>
    <w:rsid w:val="00A40642"/>
    <w:rsid w:val="00A436C0"/>
    <w:rsid w:val="00A438A9"/>
    <w:rsid w:val="00A4422D"/>
    <w:rsid w:val="00A4569D"/>
    <w:rsid w:val="00A45734"/>
    <w:rsid w:val="00A464DA"/>
    <w:rsid w:val="00A50858"/>
    <w:rsid w:val="00A5236B"/>
    <w:rsid w:val="00A52959"/>
    <w:rsid w:val="00A5575A"/>
    <w:rsid w:val="00A5598F"/>
    <w:rsid w:val="00A60713"/>
    <w:rsid w:val="00A60A16"/>
    <w:rsid w:val="00A627CA"/>
    <w:rsid w:val="00A64923"/>
    <w:rsid w:val="00A64CC5"/>
    <w:rsid w:val="00A64E03"/>
    <w:rsid w:val="00A70832"/>
    <w:rsid w:val="00A70869"/>
    <w:rsid w:val="00A70F93"/>
    <w:rsid w:val="00A71E18"/>
    <w:rsid w:val="00A72C61"/>
    <w:rsid w:val="00A75728"/>
    <w:rsid w:val="00A75E94"/>
    <w:rsid w:val="00A75F47"/>
    <w:rsid w:val="00A7693A"/>
    <w:rsid w:val="00A76C02"/>
    <w:rsid w:val="00A8038D"/>
    <w:rsid w:val="00A8099B"/>
    <w:rsid w:val="00A81EAD"/>
    <w:rsid w:val="00A8252D"/>
    <w:rsid w:val="00A83CAC"/>
    <w:rsid w:val="00A84281"/>
    <w:rsid w:val="00A866A3"/>
    <w:rsid w:val="00A8705F"/>
    <w:rsid w:val="00A87E8B"/>
    <w:rsid w:val="00A92662"/>
    <w:rsid w:val="00A92ABD"/>
    <w:rsid w:val="00A9395F"/>
    <w:rsid w:val="00A93A98"/>
    <w:rsid w:val="00A94CD7"/>
    <w:rsid w:val="00A951E5"/>
    <w:rsid w:val="00AA28B8"/>
    <w:rsid w:val="00AA4953"/>
    <w:rsid w:val="00AA4C19"/>
    <w:rsid w:val="00AA6019"/>
    <w:rsid w:val="00AA79ED"/>
    <w:rsid w:val="00AB1309"/>
    <w:rsid w:val="00AB3CE9"/>
    <w:rsid w:val="00AB65AA"/>
    <w:rsid w:val="00AB6D9C"/>
    <w:rsid w:val="00AB7814"/>
    <w:rsid w:val="00AC0CA1"/>
    <w:rsid w:val="00AC20F9"/>
    <w:rsid w:val="00AC4054"/>
    <w:rsid w:val="00AC79B5"/>
    <w:rsid w:val="00AD0710"/>
    <w:rsid w:val="00AD11F1"/>
    <w:rsid w:val="00AD171B"/>
    <w:rsid w:val="00AD2623"/>
    <w:rsid w:val="00AD2D6B"/>
    <w:rsid w:val="00AD3D93"/>
    <w:rsid w:val="00AD3EFA"/>
    <w:rsid w:val="00AD49B4"/>
    <w:rsid w:val="00AD5057"/>
    <w:rsid w:val="00AD5565"/>
    <w:rsid w:val="00AE0367"/>
    <w:rsid w:val="00AE2C1A"/>
    <w:rsid w:val="00AE5D54"/>
    <w:rsid w:val="00AE606F"/>
    <w:rsid w:val="00AE63C5"/>
    <w:rsid w:val="00AE76F5"/>
    <w:rsid w:val="00AF1BC7"/>
    <w:rsid w:val="00AF267D"/>
    <w:rsid w:val="00AF541B"/>
    <w:rsid w:val="00AF63A3"/>
    <w:rsid w:val="00AF66F8"/>
    <w:rsid w:val="00AF70A1"/>
    <w:rsid w:val="00AF70ED"/>
    <w:rsid w:val="00AF7180"/>
    <w:rsid w:val="00B01645"/>
    <w:rsid w:val="00B0217F"/>
    <w:rsid w:val="00B02611"/>
    <w:rsid w:val="00B03B84"/>
    <w:rsid w:val="00B04645"/>
    <w:rsid w:val="00B069CB"/>
    <w:rsid w:val="00B06A9F"/>
    <w:rsid w:val="00B06CF3"/>
    <w:rsid w:val="00B06D95"/>
    <w:rsid w:val="00B0725A"/>
    <w:rsid w:val="00B0753E"/>
    <w:rsid w:val="00B076C5"/>
    <w:rsid w:val="00B07917"/>
    <w:rsid w:val="00B1079B"/>
    <w:rsid w:val="00B1369E"/>
    <w:rsid w:val="00B13C49"/>
    <w:rsid w:val="00B17E28"/>
    <w:rsid w:val="00B23821"/>
    <w:rsid w:val="00B247E1"/>
    <w:rsid w:val="00B26EBD"/>
    <w:rsid w:val="00B329C8"/>
    <w:rsid w:val="00B32A08"/>
    <w:rsid w:val="00B3327B"/>
    <w:rsid w:val="00B3477D"/>
    <w:rsid w:val="00B348F0"/>
    <w:rsid w:val="00B35D8A"/>
    <w:rsid w:val="00B36552"/>
    <w:rsid w:val="00B36663"/>
    <w:rsid w:val="00B3706E"/>
    <w:rsid w:val="00B43390"/>
    <w:rsid w:val="00B446B3"/>
    <w:rsid w:val="00B4496F"/>
    <w:rsid w:val="00B478FA"/>
    <w:rsid w:val="00B57A49"/>
    <w:rsid w:val="00B602A2"/>
    <w:rsid w:val="00B618CF"/>
    <w:rsid w:val="00B64EFD"/>
    <w:rsid w:val="00B6541E"/>
    <w:rsid w:val="00B657B4"/>
    <w:rsid w:val="00B65946"/>
    <w:rsid w:val="00B66340"/>
    <w:rsid w:val="00B701B1"/>
    <w:rsid w:val="00B71C73"/>
    <w:rsid w:val="00B72C4E"/>
    <w:rsid w:val="00B73DD8"/>
    <w:rsid w:val="00B73DE8"/>
    <w:rsid w:val="00B74B8A"/>
    <w:rsid w:val="00B750FD"/>
    <w:rsid w:val="00B776A5"/>
    <w:rsid w:val="00B81272"/>
    <w:rsid w:val="00B82899"/>
    <w:rsid w:val="00B84788"/>
    <w:rsid w:val="00B865D1"/>
    <w:rsid w:val="00B871BF"/>
    <w:rsid w:val="00B87538"/>
    <w:rsid w:val="00B90AEF"/>
    <w:rsid w:val="00B932ED"/>
    <w:rsid w:val="00B9614C"/>
    <w:rsid w:val="00B96AE6"/>
    <w:rsid w:val="00BA5E27"/>
    <w:rsid w:val="00BB1105"/>
    <w:rsid w:val="00BB272C"/>
    <w:rsid w:val="00BB5611"/>
    <w:rsid w:val="00BC2C57"/>
    <w:rsid w:val="00BC35CC"/>
    <w:rsid w:val="00BC3E07"/>
    <w:rsid w:val="00BC57C2"/>
    <w:rsid w:val="00BC5D8C"/>
    <w:rsid w:val="00BD1593"/>
    <w:rsid w:val="00BE0247"/>
    <w:rsid w:val="00BE3DA9"/>
    <w:rsid w:val="00BE4447"/>
    <w:rsid w:val="00BF2F84"/>
    <w:rsid w:val="00BF31E3"/>
    <w:rsid w:val="00BF53B2"/>
    <w:rsid w:val="00BF67F8"/>
    <w:rsid w:val="00BF6930"/>
    <w:rsid w:val="00BF7FD2"/>
    <w:rsid w:val="00C00725"/>
    <w:rsid w:val="00C029A2"/>
    <w:rsid w:val="00C050E4"/>
    <w:rsid w:val="00C06438"/>
    <w:rsid w:val="00C12A6F"/>
    <w:rsid w:val="00C13161"/>
    <w:rsid w:val="00C14D6A"/>
    <w:rsid w:val="00C1603A"/>
    <w:rsid w:val="00C1792A"/>
    <w:rsid w:val="00C179F8"/>
    <w:rsid w:val="00C20E43"/>
    <w:rsid w:val="00C222CE"/>
    <w:rsid w:val="00C30A57"/>
    <w:rsid w:val="00C3133F"/>
    <w:rsid w:val="00C33C39"/>
    <w:rsid w:val="00C345F7"/>
    <w:rsid w:val="00C35067"/>
    <w:rsid w:val="00C3723B"/>
    <w:rsid w:val="00C376F1"/>
    <w:rsid w:val="00C37CDA"/>
    <w:rsid w:val="00C45DB9"/>
    <w:rsid w:val="00C472DB"/>
    <w:rsid w:val="00C5403E"/>
    <w:rsid w:val="00C547D5"/>
    <w:rsid w:val="00C5689E"/>
    <w:rsid w:val="00C574D7"/>
    <w:rsid w:val="00C57529"/>
    <w:rsid w:val="00C62A13"/>
    <w:rsid w:val="00C663A1"/>
    <w:rsid w:val="00C70F7D"/>
    <w:rsid w:val="00C7370B"/>
    <w:rsid w:val="00C73867"/>
    <w:rsid w:val="00C739AE"/>
    <w:rsid w:val="00C73F24"/>
    <w:rsid w:val="00C73F59"/>
    <w:rsid w:val="00C806DD"/>
    <w:rsid w:val="00C809E6"/>
    <w:rsid w:val="00C8546B"/>
    <w:rsid w:val="00C90AC3"/>
    <w:rsid w:val="00C910AE"/>
    <w:rsid w:val="00C9206D"/>
    <w:rsid w:val="00C94747"/>
    <w:rsid w:val="00C95118"/>
    <w:rsid w:val="00C9674D"/>
    <w:rsid w:val="00CA0087"/>
    <w:rsid w:val="00CA639C"/>
    <w:rsid w:val="00CB0054"/>
    <w:rsid w:val="00CB2C11"/>
    <w:rsid w:val="00CB524A"/>
    <w:rsid w:val="00CB608E"/>
    <w:rsid w:val="00CB6AEF"/>
    <w:rsid w:val="00CB7160"/>
    <w:rsid w:val="00CB7A1B"/>
    <w:rsid w:val="00CC3BF5"/>
    <w:rsid w:val="00CC48DC"/>
    <w:rsid w:val="00CD02B6"/>
    <w:rsid w:val="00CD0B20"/>
    <w:rsid w:val="00CD300E"/>
    <w:rsid w:val="00CD6966"/>
    <w:rsid w:val="00CE0B91"/>
    <w:rsid w:val="00CE1207"/>
    <w:rsid w:val="00CE328E"/>
    <w:rsid w:val="00CE3AB1"/>
    <w:rsid w:val="00CE7531"/>
    <w:rsid w:val="00CF32A4"/>
    <w:rsid w:val="00CF3D6D"/>
    <w:rsid w:val="00CF53E5"/>
    <w:rsid w:val="00CF5C91"/>
    <w:rsid w:val="00CF64DA"/>
    <w:rsid w:val="00D00647"/>
    <w:rsid w:val="00D00CDB"/>
    <w:rsid w:val="00D010C0"/>
    <w:rsid w:val="00D01B69"/>
    <w:rsid w:val="00D025BC"/>
    <w:rsid w:val="00D03D82"/>
    <w:rsid w:val="00D05775"/>
    <w:rsid w:val="00D11857"/>
    <w:rsid w:val="00D17216"/>
    <w:rsid w:val="00D20B3A"/>
    <w:rsid w:val="00D212D5"/>
    <w:rsid w:val="00D2145C"/>
    <w:rsid w:val="00D25DB8"/>
    <w:rsid w:val="00D261EA"/>
    <w:rsid w:val="00D32D0D"/>
    <w:rsid w:val="00D32FDB"/>
    <w:rsid w:val="00D34A8C"/>
    <w:rsid w:val="00D354D2"/>
    <w:rsid w:val="00D37777"/>
    <w:rsid w:val="00D41300"/>
    <w:rsid w:val="00D417E1"/>
    <w:rsid w:val="00D42FEA"/>
    <w:rsid w:val="00D4613D"/>
    <w:rsid w:val="00D52475"/>
    <w:rsid w:val="00D53D56"/>
    <w:rsid w:val="00D54B03"/>
    <w:rsid w:val="00D5543F"/>
    <w:rsid w:val="00D57AF6"/>
    <w:rsid w:val="00D616C5"/>
    <w:rsid w:val="00D63FA7"/>
    <w:rsid w:val="00D642D1"/>
    <w:rsid w:val="00D6513A"/>
    <w:rsid w:val="00D66C84"/>
    <w:rsid w:val="00D7192F"/>
    <w:rsid w:val="00D74637"/>
    <w:rsid w:val="00D74FD2"/>
    <w:rsid w:val="00D82CB1"/>
    <w:rsid w:val="00D83754"/>
    <w:rsid w:val="00D837AC"/>
    <w:rsid w:val="00D85788"/>
    <w:rsid w:val="00D85ECB"/>
    <w:rsid w:val="00D87FBA"/>
    <w:rsid w:val="00D908F7"/>
    <w:rsid w:val="00D90C62"/>
    <w:rsid w:val="00D91540"/>
    <w:rsid w:val="00D915C2"/>
    <w:rsid w:val="00D9479A"/>
    <w:rsid w:val="00D95A23"/>
    <w:rsid w:val="00D962DE"/>
    <w:rsid w:val="00DA10BA"/>
    <w:rsid w:val="00DA19E7"/>
    <w:rsid w:val="00DA2CD7"/>
    <w:rsid w:val="00DA4B65"/>
    <w:rsid w:val="00DA7102"/>
    <w:rsid w:val="00DA7388"/>
    <w:rsid w:val="00DB2AA7"/>
    <w:rsid w:val="00DB2B56"/>
    <w:rsid w:val="00DB4C27"/>
    <w:rsid w:val="00DB51A3"/>
    <w:rsid w:val="00DB575C"/>
    <w:rsid w:val="00DB6B8F"/>
    <w:rsid w:val="00DC0442"/>
    <w:rsid w:val="00DC1047"/>
    <w:rsid w:val="00DC38A8"/>
    <w:rsid w:val="00DD0469"/>
    <w:rsid w:val="00DD0980"/>
    <w:rsid w:val="00DD09E4"/>
    <w:rsid w:val="00DD390D"/>
    <w:rsid w:val="00DD492F"/>
    <w:rsid w:val="00DD5448"/>
    <w:rsid w:val="00DD76FF"/>
    <w:rsid w:val="00DE06F0"/>
    <w:rsid w:val="00DE09F5"/>
    <w:rsid w:val="00DE116D"/>
    <w:rsid w:val="00DE2154"/>
    <w:rsid w:val="00DE4AD7"/>
    <w:rsid w:val="00DE6DE3"/>
    <w:rsid w:val="00DF1363"/>
    <w:rsid w:val="00DF4268"/>
    <w:rsid w:val="00DF5562"/>
    <w:rsid w:val="00DF66FB"/>
    <w:rsid w:val="00DF74EE"/>
    <w:rsid w:val="00E1213C"/>
    <w:rsid w:val="00E12FC1"/>
    <w:rsid w:val="00E149FC"/>
    <w:rsid w:val="00E14A69"/>
    <w:rsid w:val="00E15EE7"/>
    <w:rsid w:val="00E23CAB"/>
    <w:rsid w:val="00E24561"/>
    <w:rsid w:val="00E24B3B"/>
    <w:rsid w:val="00E25D1A"/>
    <w:rsid w:val="00E25D27"/>
    <w:rsid w:val="00E260E4"/>
    <w:rsid w:val="00E260F2"/>
    <w:rsid w:val="00E27BE1"/>
    <w:rsid w:val="00E31390"/>
    <w:rsid w:val="00E33CE5"/>
    <w:rsid w:val="00E34A0F"/>
    <w:rsid w:val="00E35D3C"/>
    <w:rsid w:val="00E35FF2"/>
    <w:rsid w:val="00E362CD"/>
    <w:rsid w:val="00E402A4"/>
    <w:rsid w:val="00E40C19"/>
    <w:rsid w:val="00E419B4"/>
    <w:rsid w:val="00E42653"/>
    <w:rsid w:val="00E42E3B"/>
    <w:rsid w:val="00E434D4"/>
    <w:rsid w:val="00E45E08"/>
    <w:rsid w:val="00E467AB"/>
    <w:rsid w:val="00E53A04"/>
    <w:rsid w:val="00E548C2"/>
    <w:rsid w:val="00E55412"/>
    <w:rsid w:val="00E56C32"/>
    <w:rsid w:val="00E605AD"/>
    <w:rsid w:val="00E6444B"/>
    <w:rsid w:val="00E66B2B"/>
    <w:rsid w:val="00E7244E"/>
    <w:rsid w:val="00E72562"/>
    <w:rsid w:val="00E734AF"/>
    <w:rsid w:val="00E746CC"/>
    <w:rsid w:val="00E747AF"/>
    <w:rsid w:val="00E753A1"/>
    <w:rsid w:val="00E753DB"/>
    <w:rsid w:val="00E75B56"/>
    <w:rsid w:val="00E7636E"/>
    <w:rsid w:val="00E81AB0"/>
    <w:rsid w:val="00E829AD"/>
    <w:rsid w:val="00E836D7"/>
    <w:rsid w:val="00E83AEF"/>
    <w:rsid w:val="00E84E82"/>
    <w:rsid w:val="00E86E41"/>
    <w:rsid w:val="00E91B9C"/>
    <w:rsid w:val="00E91BF0"/>
    <w:rsid w:val="00E9205B"/>
    <w:rsid w:val="00E9274B"/>
    <w:rsid w:val="00E928F6"/>
    <w:rsid w:val="00E9477C"/>
    <w:rsid w:val="00EA0645"/>
    <w:rsid w:val="00EA1510"/>
    <w:rsid w:val="00EA3651"/>
    <w:rsid w:val="00EA3ED3"/>
    <w:rsid w:val="00EA493F"/>
    <w:rsid w:val="00EB53FA"/>
    <w:rsid w:val="00EB746F"/>
    <w:rsid w:val="00EC2271"/>
    <w:rsid w:val="00EC2C42"/>
    <w:rsid w:val="00EC4007"/>
    <w:rsid w:val="00EC450C"/>
    <w:rsid w:val="00EC47CF"/>
    <w:rsid w:val="00EC7897"/>
    <w:rsid w:val="00EC7D41"/>
    <w:rsid w:val="00ED0290"/>
    <w:rsid w:val="00EE0FDD"/>
    <w:rsid w:val="00EE46A5"/>
    <w:rsid w:val="00EE6E12"/>
    <w:rsid w:val="00EE735F"/>
    <w:rsid w:val="00EE77BC"/>
    <w:rsid w:val="00EF09DA"/>
    <w:rsid w:val="00EF193C"/>
    <w:rsid w:val="00EF3F97"/>
    <w:rsid w:val="00EF50B3"/>
    <w:rsid w:val="00EF511F"/>
    <w:rsid w:val="00EF7062"/>
    <w:rsid w:val="00EF7DDF"/>
    <w:rsid w:val="00F00C61"/>
    <w:rsid w:val="00F00FCB"/>
    <w:rsid w:val="00F020C0"/>
    <w:rsid w:val="00F0253A"/>
    <w:rsid w:val="00F05681"/>
    <w:rsid w:val="00F0681E"/>
    <w:rsid w:val="00F06897"/>
    <w:rsid w:val="00F10A4C"/>
    <w:rsid w:val="00F12587"/>
    <w:rsid w:val="00F13B64"/>
    <w:rsid w:val="00F1496C"/>
    <w:rsid w:val="00F16204"/>
    <w:rsid w:val="00F1667C"/>
    <w:rsid w:val="00F166DF"/>
    <w:rsid w:val="00F17F78"/>
    <w:rsid w:val="00F22581"/>
    <w:rsid w:val="00F24049"/>
    <w:rsid w:val="00F2500E"/>
    <w:rsid w:val="00F26010"/>
    <w:rsid w:val="00F301E0"/>
    <w:rsid w:val="00F31DC5"/>
    <w:rsid w:val="00F33093"/>
    <w:rsid w:val="00F36D88"/>
    <w:rsid w:val="00F407CA"/>
    <w:rsid w:val="00F42644"/>
    <w:rsid w:val="00F43613"/>
    <w:rsid w:val="00F43A5E"/>
    <w:rsid w:val="00F45292"/>
    <w:rsid w:val="00F476E2"/>
    <w:rsid w:val="00F479FE"/>
    <w:rsid w:val="00F5227C"/>
    <w:rsid w:val="00F54220"/>
    <w:rsid w:val="00F54339"/>
    <w:rsid w:val="00F56648"/>
    <w:rsid w:val="00F56B34"/>
    <w:rsid w:val="00F57AA7"/>
    <w:rsid w:val="00F57F95"/>
    <w:rsid w:val="00F63686"/>
    <w:rsid w:val="00F63B1C"/>
    <w:rsid w:val="00F64B17"/>
    <w:rsid w:val="00F64C86"/>
    <w:rsid w:val="00F64FB1"/>
    <w:rsid w:val="00F67B60"/>
    <w:rsid w:val="00F70911"/>
    <w:rsid w:val="00F7598C"/>
    <w:rsid w:val="00F84FC8"/>
    <w:rsid w:val="00F85A48"/>
    <w:rsid w:val="00F869A6"/>
    <w:rsid w:val="00F86B3E"/>
    <w:rsid w:val="00F878C5"/>
    <w:rsid w:val="00F91046"/>
    <w:rsid w:val="00F9287F"/>
    <w:rsid w:val="00F9491A"/>
    <w:rsid w:val="00F95A9C"/>
    <w:rsid w:val="00F9630D"/>
    <w:rsid w:val="00F967AD"/>
    <w:rsid w:val="00FA0932"/>
    <w:rsid w:val="00FA0A2E"/>
    <w:rsid w:val="00FA1424"/>
    <w:rsid w:val="00FA2CEB"/>
    <w:rsid w:val="00FA36C5"/>
    <w:rsid w:val="00FA46B6"/>
    <w:rsid w:val="00FA536C"/>
    <w:rsid w:val="00FA5DD9"/>
    <w:rsid w:val="00FA7476"/>
    <w:rsid w:val="00FB24EC"/>
    <w:rsid w:val="00FB4D0C"/>
    <w:rsid w:val="00FC0AFE"/>
    <w:rsid w:val="00FC1DB3"/>
    <w:rsid w:val="00FC2250"/>
    <w:rsid w:val="00FC5C28"/>
    <w:rsid w:val="00FC612A"/>
    <w:rsid w:val="00FD0C8C"/>
    <w:rsid w:val="00FD2659"/>
    <w:rsid w:val="00FD2F22"/>
    <w:rsid w:val="00FD51E3"/>
    <w:rsid w:val="00FE178D"/>
    <w:rsid w:val="00FE3ED1"/>
    <w:rsid w:val="00FE7385"/>
    <w:rsid w:val="00FE78A2"/>
    <w:rsid w:val="00FF3488"/>
    <w:rsid w:val="00FF4C12"/>
    <w:rsid w:val="00FF57FA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DE34F"/>
  <w15:docId w15:val="{DD6F68D4-9FD6-4905-9B92-1F112ECD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81"/>
    <w:pPr>
      <w:spacing w:after="24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81"/>
  </w:style>
  <w:style w:type="paragraph" w:styleId="Footer">
    <w:name w:val="footer"/>
    <w:basedOn w:val="Normal"/>
    <w:link w:val="FooterChar"/>
    <w:uiPriority w:val="99"/>
    <w:unhideWhenUsed/>
    <w:rsid w:val="000A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81"/>
  </w:style>
  <w:style w:type="character" w:customStyle="1" w:styleId="A4">
    <w:name w:val="A4"/>
    <w:uiPriority w:val="99"/>
    <w:rsid w:val="00107EE4"/>
    <w:rPr>
      <w:rFonts w:cs="Trebuchet MS"/>
      <w:b/>
      <w:bCs/>
      <w:color w:val="531752"/>
      <w:sz w:val="26"/>
      <w:szCs w:val="26"/>
    </w:rPr>
  </w:style>
  <w:style w:type="character" w:styleId="Emphasis">
    <w:name w:val="Emphasis"/>
    <w:basedOn w:val="DefaultParagraphFont"/>
    <w:qFormat/>
    <w:rsid w:val="00F31DC5"/>
    <w:rPr>
      <w:i/>
      <w:iCs/>
    </w:rPr>
  </w:style>
  <w:style w:type="character" w:customStyle="1" w:styleId="st1">
    <w:name w:val="st1"/>
    <w:basedOn w:val="DefaultParagraphFont"/>
    <w:rsid w:val="00F31DC5"/>
  </w:style>
  <w:style w:type="character" w:styleId="CommentReference">
    <w:name w:val="annotation reference"/>
    <w:basedOn w:val="DefaultParagraphFont"/>
    <w:uiPriority w:val="99"/>
    <w:semiHidden/>
    <w:unhideWhenUsed/>
    <w:rsid w:val="00F31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DC5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D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1DC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5664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5664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B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5E783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783C"/>
    <w:rPr>
      <w:rFonts w:ascii="Calibri" w:hAnsi="Calibri" w:cs="Consolas"/>
      <w:szCs w:val="21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D2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D2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423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2693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C06438"/>
    <w:pPr>
      <w:spacing w:after="0"/>
      <w:jc w:val="center"/>
    </w:pPr>
    <w:rPr>
      <w:rFonts w:ascii="Times New Roman" w:hAnsi="Times New Roman"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06438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06438"/>
    <w:pPr>
      <w:spacing w:line="240" w:lineRule="auto"/>
    </w:pPr>
    <w:rPr>
      <w:rFonts w:ascii="Times New Roman" w:hAnsi="Times New Roman"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06438"/>
    <w:rPr>
      <w:rFonts w:ascii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A0963FA69A646AA916D2E41284FC10000E95918A93E02F449A3031BF38FFB23DC" ma:contentTypeVersion="0" ma:contentTypeDescription="Create a new document." ma:contentTypeScope="" ma:versionID="d05e24e07c902d83e19b29b16b7b88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F9FE-441E-46EC-A1FC-839A61D6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9764D-6EF7-4B43-9C2B-B1D4D1141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16D09-28DB-4CCF-B6D8-3EC175FAD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A54D2-77A4-48C3-9199-46F6A61A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Interpublic</Company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Pedder, Amanda (MAN-CMC)</dc:creator>
  <cp:lastModifiedBy>Bandana Sharma</cp:lastModifiedBy>
  <cp:revision>2</cp:revision>
  <cp:lastPrinted>2018-04-24T14:35:00Z</cp:lastPrinted>
  <dcterms:created xsi:type="dcterms:W3CDTF">2018-10-31T05:29:00Z</dcterms:created>
  <dcterms:modified xsi:type="dcterms:W3CDTF">2018-10-31T05:29:00Z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0x010100FA0963FA69A646AA916D2E41284FC10000E95918A93E02F449A3031BF38FFB23DC</vt:lpwstr>
  </property>
</Properties>
</file>