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B" w:rsidRPr="00393879" w:rsidRDefault="0039751B" w:rsidP="0039751B">
      <w:pPr>
        <w:jc w:val="both"/>
        <w:rPr>
          <w:rFonts w:ascii="Arial" w:hAnsi="Arial" w:cs="Arial"/>
          <w:b/>
          <w:sz w:val="24"/>
          <w:szCs w:val="24"/>
        </w:rPr>
      </w:pPr>
      <w:r w:rsidRPr="00393879">
        <w:rPr>
          <w:rFonts w:ascii="Arial" w:hAnsi="Arial" w:cs="Arial"/>
          <w:b/>
          <w:sz w:val="24"/>
          <w:szCs w:val="24"/>
        </w:rPr>
        <w:t>Anexo 1</w:t>
      </w:r>
    </w:p>
    <w:p w:rsidR="0039751B" w:rsidRDefault="0039751B" w:rsidP="0039751B">
      <w:pPr>
        <w:tabs>
          <w:tab w:val="center" w:pos="2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KMO y prueba de Bartlett</w:t>
      </w:r>
    </w:p>
    <w:p w:rsidR="0039751B" w:rsidRDefault="0039751B" w:rsidP="0039751B">
      <w:pPr>
        <w:tabs>
          <w:tab w:val="center" w:pos="28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93" w:type="dxa"/>
          <w:right w:w="93" w:type="dxa"/>
        </w:tblCellMar>
        <w:tblLook w:val="0000"/>
      </w:tblPr>
      <w:tblGrid>
        <w:gridCol w:w="2188"/>
        <w:gridCol w:w="2189"/>
        <w:gridCol w:w="1080"/>
      </w:tblGrid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3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Medida de adecuación muestral de </w:t>
            </w:r>
            <w:proofErr w:type="spellStart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Kaiser</w:t>
            </w:r>
            <w:proofErr w:type="spellEnd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-Meyer-</w:t>
            </w:r>
            <w:proofErr w:type="spellStart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8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Prueba de esfericidad de Bartlett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Chi-cuadrado aproximado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95,843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tabs>
          <w:tab w:val="center" w:pos="27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Comunalidades</w:t>
      </w:r>
      <w:proofErr w:type="spellEnd"/>
    </w:p>
    <w:tbl>
      <w:tblPr>
        <w:tblpPr w:leftFromText="141" w:rightFromText="141" w:vertAnchor="text" w:horzAnchor="page" w:tblpX="1586" w:tblpY="160"/>
        <w:tblW w:w="0" w:type="auto"/>
        <w:tblLayout w:type="fixed"/>
        <w:tblCellMar>
          <w:left w:w="93" w:type="dxa"/>
          <w:right w:w="93" w:type="dxa"/>
        </w:tblCellMar>
        <w:tblLook w:val="0000"/>
      </w:tblPr>
      <w:tblGrid>
        <w:gridCol w:w="2289"/>
        <w:gridCol w:w="1080"/>
        <w:gridCol w:w="1108"/>
      </w:tblGrid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Inicial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Extracción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Ventilación artificial mecánica (VAM)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infección intrahospitalaria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,668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tratamiento quirúrgico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,652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nutrición parenteral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Diagnóstico de sepsis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,476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Edad de riesgo de más de 65 años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Diagnóstico neurológico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</w:tr>
    </w:tbl>
    <w:p w:rsidR="0039751B" w:rsidRDefault="0039751B" w:rsidP="0039751B">
      <w:pPr>
        <w:tabs>
          <w:tab w:val="center" w:pos="27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Método de extracción: Análisis de Componentes principales.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tabs>
          <w:tab w:val="center" w:pos="61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Varianza total explicada</w:t>
      </w:r>
    </w:p>
    <w:p w:rsidR="0039751B" w:rsidRDefault="0039751B" w:rsidP="0039751B">
      <w:pPr>
        <w:tabs>
          <w:tab w:val="center" w:pos="61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1084" w:type="dxa"/>
        <w:tblInd w:w="-864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276"/>
        <w:gridCol w:w="1157"/>
        <w:gridCol w:w="1080"/>
        <w:gridCol w:w="1165"/>
        <w:gridCol w:w="851"/>
        <w:gridCol w:w="992"/>
        <w:gridCol w:w="1276"/>
        <w:gridCol w:w="850"/>
        <w:gridCol w:w="1162"/>
        <w:gridCol w:w="1275"/>
      </w:tblGrid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Autovalores</w:t>
            </w:r>
            <w:proofErr w:type="spellEnd"/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iniciales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Sumas de las saturaciones al cuadrado de la extracción</w:t>
            </w:r>
          </w:p>
        </w:tc>
        <w:tc>
          <w:tcPr>
            <w:tcW w:w="32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Suma de las saturaciones al cuadrado de la rotación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de la varianza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acumulado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de la varianza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acumulado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de la varianza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% acumulado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23,092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23,092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23,092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23,092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1,578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22,543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22,543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1,253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17,907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40,998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1,253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17,907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40,998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1,258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17,971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40,514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14,586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55,584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14,586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55,584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15,071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55,584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,954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13,635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69,220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,849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12,126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81,345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10,515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91,860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8,140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Método de extracción: Análisis de Componentes principales.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Pr="00393879" w:rsidRDefault="0039751B" w:rsidP="0039751B">
      <w:pPr>
        <w:jc w:val="both"/>
        <w:rPr>
          <w:rFonts w:ascii="Arial" w:hAnsi="Arial" w:cs="Arial"/>
          <w:b/>
          <w:sz w:val="24"/>
          <w:szCs w:val="24"/>
        </w:rPr>
      </w:pPr>
      <w:r w:rsidRPr="00393879">
        <w:rPr>
          <w:rFonts w:ascii="Arial" w:hAnsi="Arial" w:cs="Arial"/>
          <w:b/>
          <w:sz w:val="24"/>
          <w:szCs w:val="24"/>
        </w:rPr>
        <w:lastRenderedPageBreak/>
        <w:t>Anexo 2.</w:t>
      </w:r>
    </w:p>
    <w:p w:rsidR="0039751B" w:rsidRDefault="0039751B" w:rsidP="0039751B">
      <w:pPr>
        <w:tabs>
          <w:tab w:val="center" w:pos="2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Matriz de componentes rotados(a)</w:t>
      </w:r>
    </w:p>
    <w:p w:rsidR="0039751B" w:rsidRDefault="0039751B" w:rsidP="0039751B">
      <w:pPr>
        <w:tabs>
          <w:tab w:val="center" w:pos="2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751B" w:rsidRDefault="0039751B" w:rsidP="0039751B">
      <w:pPr>
        <w:tabs>
          <w:tab w:val="center" w:pos="2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751B" w:rsidRDefault="0039751B" w:rsidP="0039751B">
      <w:pPr>
        <w:tabs>
          <w:tab w:val="center" w:pos="2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524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2289"/>
        <w:gridCol w:w="1080"/>
        <w:gridCol w:w="1080"/>
        <w:gridCol w:w="1080"/>
      </w:tblGrid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Componente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Ventilación artificial mecánica (VAM)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-,625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infección intrahospitalaria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tratamiento quirúrgico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,725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Presencia de nutrición parenteral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Diagnóstico de sepsis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-,279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Edad de riesgo de más de 65 años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-,137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,881</w:t>
            </w:r>
          </w:p>
        </w:tc>
      </w:tr>
      <w:tr w:rsidR="0039751B" w:rsidRPr="00E600B3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Diagnóstico neurológico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-,131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,707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E600B3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0B3">
              <w:rPr>
                <w:rFonts w:ascii="Arial" w:hAnsi="Arial" w:cs="Arial"/>
                <w:color w:val="000000"/>
                <w:sz w:val="18"/>
                <w:szCs w:val="18"/>
              </w:rPr>
              <w:t>-,254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Método de extracción: Análisis de componentes principales. 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Método de rotación: Normalización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Kaiser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La rotación ha convergido en 5 iteraciones.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Pr="00393879" w:rsidRDefault="0039751B" w:rsidP="0039751B">
      <w:pPr>
        <w:jc w:val="both"/>
        <w:rPr>
          <w:rFonts w:ascii="Arial" w:hAnsi="Arial" w:cs="Arial"/>
          <w:b/>
          <w:sz w:val="24"/>
          <w:szCs w:val="24"/>
        </w:rPr>
      </w:pPr>
      <w:r w:rsidRPr="00393879">
        <w:rPr>
          <w:rFonts w:ascii="Arial" w:hAnsi="Arial" w:cs="Arial"/>
          <w:b/>
          <w:sz w:val="24"/>
          <w:szCs w:val="24"/>
        </w:rPr>
        <w:lastRenderedPageBreak/>
        <w:t xml:space="preserve">Anexo 3.  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9751B" w:rsidRDefault="0039751B" w:rsidP="0039751B">
      <w:pPr>
        <w:tabs>
          <w:tab w:val="center" w:pos="26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ab/>
        <w:t>Resumen de los modelos</w:t>
      </w:r>
    </w:p>
    <w:p w:rsidR="0039751B" w:rsidRDefault="0039751B" w:rsidP="0039751B">
      <w:pPr>
        <w:tabs>
          <w:tab w:val="center" w:pos="26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440"/>
        <w:gridCol w:w="1440"/>
        <w:gridCol w:w="1324"/>
      </w:tblGrid>
      <w:tr w:rsidR="0039751B" w:rsidTr="001B43F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Paso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-2 log de la verosimilitud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R cuadrado de Cox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Snell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R cuadrado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Nagelkerke</w:t>
            </w:r>
            <w:proofErr w:type="spellEnd"/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251,718(a)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,189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,253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es-ES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La estimación ha finalizado en el número de iteración 4 porque las estimaciones de los parámetros han cambiado en menos de ,001.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9751B" w:rsidRDefault="0039751B" w:rsidP="0039751B">
      <w:pPr>
        <w:jc w:val="both"/>
        <w:rPr>
          <w:rFonts w:ascii="System" w:hAnsi="System" w:cs="System"/>
          <w:b/>
          <w:bCs/>
          <w:sz w:val="20"/>
          <w:szCs w:val="20"/>
          <w:lang w:eastAsia="es-ES"/>
        </w:rPr>
      </w:pPr>
      <w:r>
        <w:rPr>
          <w:rFonts w:ascii="System" w:hAnsi="System" w:cs="System"/>
          <w:b/>
          <w:bCs/>
          <w:noProof/>
          <w:sz w:val="20"/>
          <w:szCs w:val="20"/>
          <w:lang w:val="es-US" w:eastAsia="es-US"/>
        </w:rPr>
        <w:drawing>
          <wp:inline distT="0" distB="0" distL="0" distR="0">
            <wp:extent cx="2896870" cy="768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1B" w:rsidRDefault="0039751B" w:rsidP="0039751B">
      <w:pPr>
        <w:tabs>
          <w:tab w:val="center" w:pos="45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Tabla de clasificación(a)</w:t>
      </w:r>
    </w:p>
    <w:p w:rsidR="0039751B" w:rsidRDefault="0039751B" w:rsidP="0039751B">
      <w:pPr>
        <w:tabs>
          <w:tab w:val="center" w:pos="45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864"/>
        <w:gridCol w:w="1713"/>
        <w:gridCol w:w="2131"/>
        <w:gridCol w:w="1440"/>
        <w:gridCol w:w="1440"/>
        <w:gridCol w:w="1626"/>
      </w:tblGrid>
      <w:tr w:rsidR="0039751B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Observado</w:t>
            </w:r>
          </w:p>
        </w:tc>
        <w:tc>
          <w:tcPr>
            <w:tcW w:w="45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Pronosticado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Estado nutricional al egreso</w:t>
            </w:r>
          </w:p>
        </w:tc>
        <w:tc>
          <w:tcPr>
            <w:tcW w:w="1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Porcentaje correcto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Ausencia de desnutrición al egreso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Presencia de desnutrición al egreso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Ausencia de desnutrición al egreso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Paso 1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Estado nutricional al egreso</w:t>
            </w:r>
          </w:p>
        </w:tc>
        <w:tc>
          <w:tcPr>
            <w:tcW w:w="21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Ausencia de desnutrición al egreso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81,1 (Especificidad)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Presencia de desnutrición al egreso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626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63,9 (Sensibilidad)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Porcentaje global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5965BF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5965BF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72,4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es-ES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El valor de corte es ,500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Variables en la ecuación</w:t>
      </w:r>
    </w:p>
    <w:p w:rsidR="0039751B" w:rsidRDefault="0039751B" w:rsidP="0039751B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0" w:type="auto"/>
        <w:tblInd w:w="-576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48"/>
        <w:gridCol w:w="1124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E.T.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Wald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gl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Sig.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(B)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I.C. 95,0% para EXP(B)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Inferior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Superior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Inferior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Superior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Inferior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Superior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Inferior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Superior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Paso 1(a)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vam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1,090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,348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9,801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,002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2,976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1,503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5,890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diagnost1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1,976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,431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21,004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7,212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3,098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16,789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ttoquierur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8,831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,003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2,729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1,407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5,291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tiponutric2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,334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,819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,366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1,397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,677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9751B" w:rsidRPr="00306BB1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06BB1">
              <w:rPr>
                <w:rFonts w:ascii="Arial" w:hAnsi="Arial" w:cs="Arial"/>
                <w:sz w:val="18"/>
                <w:szCs w:val="18"/>
                <w:lang w:eastAsia="es-ES"/>
              </w:rPr>
              <w:t>2,881</w:t>
            </w:r>
          </w:p>
        </w:tc>
      </w:tr>
      <w:tr w:rsidR="0039751B" w:rsidTr="001B43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Constante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-1,694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,382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19,685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,184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9751B" w:rsidRDefault="0039751B" w:rsidP="001B4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es-ES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Variable(s) introducida(s) en el paso 1: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es-ES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, diagnost1,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es-ES"/>
        </w:rPr>
        <w:t>ttoquierur</w:t>
      </w:r>
      <w:proofErr w:type="spellEnd"/>
      <w:r>
        <w:rPr>
          <w:rFonts w:ascii="Arial" w:hAnsi="Arial" w:cs="Arial"/>
          <w:color w:val="000000"/>
          <w:sz w:val="18"/>
          <w:szCs w:val="18"/>
          <w:lang w:eastAsia="es-ES"/>
        </w:rPr>
        <w:t>, tiponutric2.</w:t>
      </w:r>
    </w:p>
    <w:p w:rsidR="0039751B" w:rsidRDefault="0039751B" w:rsidP="00397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39751B" w:rsidRDefault="0039751B" w:rsidP="0039751B">
      <w:pPr>
        <w:jc w:val="both"/>
        <w:rPr>
          <w:rFonts w:ascii="Arial" w:hAnsi="Arial" w:cs="Arial"/>
          <w:sz w:val="24"/>
          <w:szCs w:val="24"/>
        </w:rPr>
      </w:pPr>
    </w:p>
    <w:p w:rsidR="00463EF1" w:rsidRDefault="00463EF1"/>
    <w:sectPr w:rsidR="00463EF1" w:rsidSect="00463E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751B"/>
    <w:rsid w:val="00236529"/>
    <w:rsid w:val="0039751B"/>
    <w:rsid w:val="0046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1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1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2018-10-31T06:26:00Z</dcterms:created>
  <dcterms:modified xsi:type="dcterms:W3CDTF">2018-10-31T06:27:00Z</dcterms:modified>
</cp:coreProperties>
</file>