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1B" w:rsidRPr="00393879" w:rsidRDefault="0039751B" w:rsidP="0039751B">
      <w:pPr>
        <w:jc w:val="both"/>
        <w:rPr>
          <w:rFonts w:ascii="Arial" w:hAnsi="Arial" w:cs="Arial"/>
          <w:b/>
          <w:sz w:val="24"/>
          <w:szCs w:val="24"/>
        </w:rPr>
      </w:pPr>
      <w:r w:rsidRPr="00393879">
        <w:rPr>
          <w:rFonts w:ascii="Arial" w:hAnsi="Arial" w:cs="Arial"/>
          <w:b/>
          <w:sz w:val="24"/>
          <w:szCs w:val="24"/>
        </w:rPr>
        <w:t>Anexo 1</w:t>
      </w:r>
    </w:p>
    <w:p w:rsidR="0039751B" w:rsidRDefault="0039751B" w:rsidP="0039751B">
      <w:pPr>
        <w:tabs>
          <w:tab w:val="center" w:pos="28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KMO y prueba de Bartlett</w:t>
      </w:r>
    </w:p>
    <w:p w:rsidR="0039751B" w:rsidRDefault="0039751B" w:rsidP="0039751B">
      <w:pPr>
        <w:tabs>
          <w:tab w:val="center" w:pos="28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Layout w:type="fixed"/>
        <w:tblCellMar>
          <w:left w:w="93" w:type="dxa"/>
          <w:right w:w="93" w:type="dxa"/>
        </w:tblCellMar>
        <w:tblLook w:val="0000"/>
      </w:tblPr>
      <w:tblGrid>
        <w:gridCol w:w="2188"/>
        <w:gridCol w:w="2189"/>
        <w:gridCol w:w="1080"/>
      </w:tblGrid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437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Medida de adecuación muestral de </w:t>
            </w:r>
            <w:proofErr w:type="spellStart"/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Kaiser</w:t>
            </w:r>
            <w:proofErr w:type="spellEnd"/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-Meyer-</w:t>
            </w:r>
            <w:proofErr w:type="spellStart"/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Olkin</w:t>
            </w:r>
            <w:proofErr w:type="spellEnd"/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,544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18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Prueba de esfericidad de Bartlett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Chi-cuadrado aproximado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95,843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18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gl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1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</w:tbl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tabs>
          <w:tab w:val="center" w:pos="276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Comunalidades</w:t>
      </w:r>
      <w:proofErr w:type="spellEnd"/>
    </w:p>
    <w:tbl>
      <w:tblPr>
        <w:tblpPr w:leftFromText="141" w:rightFromText="141" w:vertAnchor="text" w:horzAnchor="page" w:tblpX="1586" w:tblpY="160"/>
        <w:tblW w:w="0" w:type="auto"/>
        <w:tblLayout w:type="fixed"/>
        <w:tblCellMar>
          <w:left w:w="93" w:type="dxa"/>
          <w:right w:w="93" w:type="dxa"/>
        </w:tblCellMar>
        <w:tblLook w:val="0000"/>
      </w:tblPr>
      <w:tblGrid>
        <w:gridCol w:w="2289"/>
        <w:gridCol w:w="1080"/>
        <w:gridCol w:w="1108"/>
      </w:tblGrid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2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Inicial</w:t>
            </w:r>
          </w:p>
        </w:tc>
        <w:tc>
          <w:tcPr>
            <w:tcW w:w="11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Extracción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2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Ventilación artificial mecánica (VAM)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0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,396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2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Presencia de infección intrahospitalaria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08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,668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2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Presencia de tratamiento quirúrgico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08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,652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2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Presencia de nutrición parenteral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08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,324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2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Diagnóstico de sepsis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08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,476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2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Edad de riesgo de más de 65 años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08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,795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28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Diagnóstico neurológico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0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,581</w:t>
            </w:r>
          </w:p>
        </w:tc>
      </w:tr>
    </w:tbl>
    <w:p w:rsidR="0039751B" w:rsidRDefault="0039751B" w:rsidP="0039751B">
      <w:pPr>
        <w:tabs>
          <w:tab w:val="center" w:pos="276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</w:t>
      </w: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Método de extracción: Análisis de Componentes principales.</w:t>
      </w: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tabs>
          <w:tab w:val="center" w:pos="61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        Varianza total explicada</w:t>
      </w:r>
    </w:p>
    <w:p w:rsidR="0039751B" w:rsidRDefault="0039751B" w:rsidP="0039751B">
      <w:pPr>
        <w:tabs>
          <w:tab w:val="center" w:pos="61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1084" w:type="dxa"/>
        <w:tblInd w:w="-864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1276"/>
        <w:gridCol w:w="1157"/>
        <w:gridCol w:w="1080"/>
        <w:gridCol w:w="1165"/>
        <w:gridCol w:w="851"/>
        <w:gridCol w:w="992"/>
        <w:gridCol w:w="1276"/>
        <w:gridCol w:w="850"/>
        <w:gridCol w:w="1162"/>
        <w:gridCol w:w="1275"/>
      </w:tblGrid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Componente</w:t>
            </w: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Autovalores</w:t>
            </w:r>
            <w:proofErr w:type="spellEnd"/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iniciales</w:t>
            </w:r>
          </w:p>
        </w:tc>
        <w:tc>
          <w:tcPr>
            <w:tcW w:w="3119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Sumas de las saturaciones al cuadrado de la extracción</w:t>
            </w:r>
          </w:p>
        </w:tc>
        <w:tc>
          <w:tcPr>
            <w:tcW w:w="328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Suma de las saturaciones al cuadrado de la rotación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2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% de la varianza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% acumulado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% de la varianza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% acumulado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% de la varianza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% acumulado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1,616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23,092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23,092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1,616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23,092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23,092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1,578</w:t>
            </w:r>
          </w:p>
        </w:tc>
        <w:tc>
          <w:tcPr>
            <w:tcW w:w="116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22,543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22,543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2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7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1,253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17,907</w:t>
            </w:r>
          </w:p>
        </w:tc>
        <w:tc>
          <w:tcPr>
            <w:tcW w:w="116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40,998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1,253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17,907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40,998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1,258</w:t>
            </w:r>
          </w:p>
        </w:tc>
        <w:tc>
          <w:tcPr>
            <w:tcW w:w="11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17,971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40,514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2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57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1,021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14,586</w:t>
            </w:r>
          </w:p>
        </w:tc>
        <w:tc>
          <w:tcPr>
            <w:tcW w:w="116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55,584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1,021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14,586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55,584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1,055</w:t>
            </w:r>
          </w:p>
        </w:tc>
        <w:tc>
          <w:tcPr>
            <w:tcW w:w="11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15,071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55,584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2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57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,954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13,635</w:t>
            </w:r>
          </w:p>
        </w:tc>
        <w:tc>
          <w:tcPr>
            <w:tcW w:w="116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69,220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2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57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,849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12,126</w:t>
            </w:r>
          </w:p>
        </w:tc>
        <w:tc>
          <w:tcPr>
            <w:tcW w:w="116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81,345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2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57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,736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10,515</w:t>
            </w:r>
          </w:p>
        </w:tc>
        <w:tc>
          <w:tcPr>
            <w:tcW w:w="116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91,860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2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5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,570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8,140</w:t>
            </w:r>
          </w:p>
        </w:tc>
        <w:tc>
          <w:tcPr>
            <w:tcW w:w="1165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Método de extracción: Análisis de Componentes principales.</w:t>
      </w: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jc w:val="both"/>
        <w:rPr>
          <w:rFonts w:ascii="Arial" w:hAnsi="Arial" w:cs="Arial"/>
          <w:sz w:val="24"/>
          <w:szCs w:val="24"/>
        </w:rPr>
      </w:pPr>
    </w:p>
    <w:p w:rsidR="0039751B" w:rsidRPr="00393879" w:rsidRDefault="0039751B" w:rsidP="0039751B">
      <w:pPr>
        <w:jc w:val="both"/>
        <w:rPr>
          <w:rFonts w:ascii="Arial" w:hAnsi="Arial" w:cs="Arial"/>
          <w:b/>
          <w:sz w:val="24"/>
          <w:szCs w:val="24"/>
        </w:rPr>
      </w:pPr>
      <w:r w:rsidRPr="00393879">
        <w:rPr>
          <w:rFonts w:ascii="Arial" w:hAnsi="Arial" w:cs="Arial"/>
          <w:b/>
          <w:sz w:val="24"/>
          <w:szCs w:val="24"/>
        </w:rPr>
        <w:lastRenderedPageBreak/>
        <w:t>Anexo 2.</w:t>
      </w:r>
    </w:p>
    <w:p w:rsidR="0039751B" w:rsidRDefault="0039751B" w:rsidP="0039751B">
      <w:pPr>
        <w:tabs>
          <w:tab w:val="center" w:pos="29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Matriz de componentes rotados(a)</w:t>
      </w:r>
    </w:p>
    <w:p w:rsidR="0039751B" w:rsidRDefault="0039751B" w:rsidP="0039751B">
      <w:pPr>
        <w:tabs>
          <w:tab w:val="center" w:pos="29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9751B" w:rsidRDefault="0039751B" w:rsidP="0039751B">
      <w:pPr>
        <w:tabs>
          <w:tab w:val="center" w:pos="29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9751B" w:rsidRDefault="0039751B" w:rsidP="0039751B">
      <w:pPr>
        <w:tabs>
          <w:tab w:val="center" w:pos="29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524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2289"/>
        <w:gridCol w:w="1080"/>
        <w:gridCol w:w="1080"/>
        <w:gridCol w:w="1080"/>
      </w:tblGrid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2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Componente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28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2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Ventilación artificial mecánica (VAM)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-,625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,061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,035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2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Presencia de infección intrahospitalaria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,184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,744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,283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2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Presencia de tratamiento quirúrgico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,725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,350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-,067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2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Presencia de nutrición parenteral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,566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-,060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2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Diagnóstico de sepsis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,522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-,279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,354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2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Edad de riesgo de más de 65 años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-,137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,022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,881</w:t>
            </w:r>
          </w:p>
        </w:tc>
      </w:tr>
      <w:tr w:rsidR="0039751B" w:rsidRPr="00E600B3" w:rsidTr="001B43F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28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Diagnóstico neurológico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-,131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,707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E600B3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0B3">
              <w:rPr>
                <w:rFonts w:ascii="Arial" w:hAnsi="Arial" w:cs="Arial"/>
                <w:color w:val="000000"/>
                <w:sz w:val="18"/>
                <w:szCs w:val="18"/>
              </w:rPr>
              <w:t>-,254</w:t>
            </w:r>
          </w:p>
        </w:tc>
      </w:tr>
    </w:tbl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Método de extracción: Análisis de componentes principales. </w:t>
      </w: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Método de rotación: Normalización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Varimax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Kaiser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a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La rotación ha convergido en 5 iteraciones.</w:t>
      </w: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jc w:val="both"/>
        <w:rPr>
          <w:rFonts w:ascii="Arial" w:hAnsi="Arial" w:cs="Arial"/>
          <w:sz w:val="24"/>
          <w:szCs w:val="24"/>
        </w:rPr>
      </w:pPr>
    </w:p>
    <w:p w:rsidR="0039751B" w:rsidRDefault="0039751B" w:rsidP="003975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39751B" w:rsidRDefault="0039751B" w:rsidP="0039751B">
      <w:pPr>
        <w:jc w:val="both"/>
        <w:rPr>
          <w:rFonts w:ascii="Arial" w:hAnsi="Arial" w:cs="Arial"/>
          <w:sz w:val="24"/>
          <w:szCs w:val="24"/>
        </w:rPr>
      </w:pPr>
    </w:p>
    <w:p w:rsidR="0039751B" w:rsidRDefault="0039751B" w:rsidP="0039751B">
      <w:pPr>
        <w:jc w:val="both"/>
        <w:rPr>
          <w:rFonts w:ascii="Arial" w:hAnsi="Arial" w:cs="Arial"/>
          <w:sz w:val="24"/>
          <w:szCs w:val="24"/>
        </w:rPr>
      </w:pPr>
    </w:p>
    <w:p w:rsidR="0039751B" w:rsidRDefault="0039751B" w:rsidP="0039751B">
      <w:pPr>
        <w:jc w:val="both"/>
        <w:rPr>
          <w:rFonts w:ascii="Arial" w:hAnsi="Arial" w:cs="Arial"/>
          <w:sz w:val="24"/>
          <w:szCs w:val="24"/>
        </w:rPr>
      </w:pPr>
    </w:p>
    <w:p w:rsidR="0039751B" w:rsidRDefault="0039751B" w:rsidP="0039751B">
      <w:pPr>
        <w:jc w:val="both"/>
        <w:rPr>
          <w:rFonts w:ascii="Arial" w:hAnsi="Arial" w:cs="Arial"/>
          <w:sz w:val="24"/>
          <w:szCs w:val="24"/>
        </w:rPr>
      </w:pPr>
    </w:p>
    <w:p w:rsidR="0039751B" w:rsidRDefault="0039751B" w:rsidP="0039751B">
      <w:pPr>
        <w:jc w:val="both"/>
        <w:rPr>
          <w:rFonts w:ascii="Arial" w:hAnsi="Arial" w:cs="Arial"/>
          <w:sz w:val="24"/>
          <w:szCs w:val="24"/>
        </w:rPr>
      </w:pPr>
    </w:p>
    <w:p w:rsidR="0039751B" w:rsidRDefault="0039751B" w:rsidP="0039751B">
      <w:pPr>
        <w:jc w:val="both"/>
        <w:rPr>
          <w:rFonts w:ascii="Arial" w:hAnsi="Arial" w:cs="Arial"/>
          <w:sz w:val="24"/>
          <w:szCs w:val="24"/>
        </w:rPr>
      </w:pPr>
    </w:p>
    <w:p w:rsidR="0039751B" w:rsidRDefault="0039751B" w:rsidP="0039751B">
      <w:pPr>
        <w:jc w:val="both"/>
        <w:rPr>
          <w:rFonts w:ascii="Arial" w:hAnsi="Arial" w:cs="Arial"/>
          <w:sz w:val="24"/>
          <w:szCs w:val="24"/>
        </w:rPr>
      </w:pPr>
    </w:p>
    <w:p w:rsidR="0039751B" w:rsidRDefault="0039751B" w:rsidP="0039751B">
      <w:pPr>
        <w:jc w:val="both"/>
        <w:rPr>
          <w:rFonts w:ascii="Arial" w:hAnsi="Arial" w:cs="Arial"/>
          <w:sz w:val="24"/>
          <w:szCs w:val="24"/>
        </w:rPr>
      </w:pPr>
    </w:p>
    <w:p w:rsidR="0039751B" w:rsidRDefault="0039751B" w:rsidP="0039751B">
      <w:pPr>
        <w:jc w:val="both"/>
        <w:rPr>
          <w:rFonts w:ascii="Arial" w:hAnsi="Arial" w:cs="Arial"/>
          <w:sz w:val="24"/>
          <w:szCs w:val="24"/>
        </w:rPr>
      </w:pPr>
    </w:p>
    <w:p w:rsidR="0039751B" w:rsidRDefault="0039751B" w:rsidP="0039751B">
      <w:pPr>
        <w:jc w:val="both"/>
        <w:rPr>
          <w:rFonts w:ascii="Arial" w:hAnsi="Arial" w:cs="Arial"/>
          <w:sz w:val="24"/>
          <w:szCs w:val="24"/>
        </w:rPr>
      </w:pPr>
    </w:p>
    <w:p w:rsidR="0039751B" w:rsidRDefault="0039751B" w:rsidP="0039751B">
      <w:pPr>
        <w:jc w:val="both"/>
        <w:rPr>
          <w:rFonts w:ascii="Arial" w:hAnsi="Arial" w:cs="Arial"/>
          <w:sz w:val="24"/>
          <w:szCs w:val="24"/>
        </w:rPr>
      </w:pPr>
    </w:p>
    <w:p w:rsidR="0039751B" w:rsidRDefault="0039751B" w:rsidP="0039751B">
      <w:pPr>
        <w:jc w:val="both"/>
        <w:rPr>
          <w:rFonts w:ascii="Arial" w:hAnsi="Arial" w:cs="Arial"/>
          <w:sz w:val="24"/>
          <w:szCs w:val="24"/>
        </w:rPr>
      </w:pPr>
    </w:p>
    <w:p w:rsidR="0039751B" w:rsidRPr="00393879" w:rsidRDefault="0039751B" w:rsidP="0039751B">
      <w:pPr>
        <w:jc w:val="both"/>
        <w:rPr>
          <w:rFonts w:ascii="Arial" w:hAnsi="Arial" w:cs="Arial"/>
          <w:b/>
          <w:sz w:val="24"/>
          <w:szCs w:val="24"/>
        </w:rPr>
      </w:pPr>
      <w:r w:rsidRPr="00393879">
        <w:rPr>
          <w:rFonts w:ascii="Arial" w:hAnsi="Arial" w:cs="Arial"/>
          <w:b/>
          <w:sz w:val="24"/>
          <w:szCs w:val="24"/>
        </w:rPr>
        <w:lastRenderedPageBreak/>
        <w:t xml:space="preserve">Anexo 3.  </w:t>
      </w: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9751B" w:rsidRDefault="0039751B" w:rsidP="0039751B">
      <w:pPr>
        <w:tabs>
          <w:tab w:val="center" w:pos="26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es-ES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z w:val="18"/>
          <w:szCs w:val="18"/>
          <w:lang w:eastAsia="es-ES"/>
        </w:rPr>
        <w:tab/>
        <w:t>Resumen de los modelos</w:t>
      </w:r>
    </w:p>
    <w:p w:rsidR="0039751B" w:rsidRDefault="0039751B" w:rsidP="0039751B">
      <w:pPr>
        <w:tabs>
          <w:tab w:val="center" w:pos="26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es-ES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1440"/>
        <w:gridCol w:w="1440"/>
        <w:gridCol w:w="1324"/>
      </w:tblGrid>
      <w:tr w:rsidR="0039751B" w:rsidTr="001B43F6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Paso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-2 log de la verosimilitud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R cuadrado de Cox y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Snell</w:t>
            </w:r>
            <w:proofErr w:type="spellEnd"/>
          </w:p>
        </w:tc>
        <w:tc>
          <w:tcPr>
            <w:tcW w:w="13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R cuadrado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Nagelkerke</w:t>
            </w:r>
            <w:proofErr w:type="spellEnd"/>
          </w:p>
        </w:tc>
      </w:tr>
      <w:tr w:rsidR="0039751B" w:rsidTr="001B43F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251,718(a)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,189</w:t>
            </w:r>
          </w:p>
        </w:tc>
        <w:tc>
          <w:tcPr>
            <w:tcW w:w="13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,253</w:t>
            </w:r>
          </w:p>
        </w:tc>
      </w:tr>
    </w:tbl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eastAsia="es-ES"/>
        </w:rPr>
      </w:pPr>
      <w:proofErr w:type="gramStart"/>
      <w:r>
        <w:rPr>
          <w:rFonts w:ascii="Arial" w:hAnsi="Arial" w:cs="Arial"/>
          <w:color w:val="000000"/>
          <w:sz w:val="18"/>
          <w:szCs w:val="18"/>
          <w:lang w:eastAsia="es-ES"/>
        </w:rPr>
        <w:t>a</w:t>
      </w:r>
      <w:proofErr w:type="gramEnd"/>
      <w:r>
        <w:rPr>
          <w:rFonts w:ascii="Arial" w:hAnsi="Arial" w:cs="Arial"/>
          <w:color w:val="000000"/>
          <w:sz w:val="18"/>
          <w:szCs w:val="18"/>
          <w:lang w:eastAsia="es-ES"/>
        </w:rPr>
        <w:t xml:space="preserve"> La estimación ha finalizado en el número de iteración 4 porque las estimaciones de los parámetros han cambiado en menos de ,001.</w:t>
      </w: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eastAsia="es-ES"/>
        </w:rPr>
      </w:pP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39751B" w:rsidRDefault="0039751B" w:rsidP="0039751B">
      <w:pPr>
        <w:jc w:val="both"/>
        <w:rPr>
          <w:rFonts w:ascii="System" w:hAnsi="System" w:cs="System"/>
          <w:b/>
          <w:bCs/>
          <w:sz w:val="20"/>
          <w:szCs w:val="20"/>
          <w:lang w:eastAsia="es-ES"/>
        </w:rPr>
      </w:pPr>
      <w:r>
        <w:rPr>
          <w:rFonts w:ascii="System" w:hAnsi="System" w:cs="System"/>
          <w:b/>
          <w:bCs/>
          <w:noProof/>
          <w:sz w:val="20"/>
          <w:szCs w:val="20"/>
          <w:lang w:val="es-US" w:eastAsia="es-US"/>
        </w:rPr>
        <w:drawing>
          <wp:inline distT="0" distB="0" distL="0" distR="0">
            <wp:extent cx="2896870" cy="7683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51B" w:rsidRDefault="0039751B" w:rsidP="0039751B">
      <w:pPr>
        <w:tabs>
          <w:tab w:val="center" w:pos="45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es-ES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es-ES"/>
        </w:rPr>
        <w:t>Tabla de clasificación(a)</w:t>
      </w:r>
    </w:p>
    <w:p w:rsidR="0039751B" w:rsidRDefault="0039751B" w:rsidP="0039751B">
      <w:pPr>
        <w:tabs>
          <w:tab w:val="center" w:pos="45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es-ES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864"/>
        <w:gridCol w:w="1713"/>
        <w:gridCol w:w="2131"/>
        <w:gridCol w:w="1440"/>
        <w:gridCol w:w="1440"/>
        <w:gridCol w:w="1626"/>
      </w:tblGrid>
      <w:tr w:rsidR="0039751B" w:rsidTr="001B43F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8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3844" w:type="dxa"/>
            <w:gridSpan w:val="2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Observado</w:t>
            </w:r>
          </w:p>
        </w:tc>
        <w:tc>
          <w:tcPr>
            <w:tcW w:w="45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Pronosticado</w:t>
            </w:r>
          </w:p>
        </w:tc>
      </w:tr>
      <w:tr w:rsidR="0039751B" w:rsidTr="001B43F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86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3844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Estado nutricional al egreso</w:t>
            </w:r>
          </w:p>
        </w:tc>
        <w:tc>
          <w:tcPr>
            <w:tcW w:w="1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Porcentaje correcto</w:t>
            </w:r>
          </w:p>
        </w:tc>
      </w:tr>
      <w:tr w:rsidR="0039751B" w:rsidTr="001B43F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86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384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Ausencia de desnutrición al egreso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Presencia de desnutrición al egreso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Ausencia de desnutrición al egreso</w:t>
            </w:r>
          </w:p>
        </w:tc>
      </w:tr>
      <w:tr w:rsidR="0039751B" w:rsidTr="001B43F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86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Paso 1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Estado nutricional al egreso</w:t>
            </w:r>
          </w:p>
        </w:tc>
        <w:tc>
          <w:tcPr>
            <w:tcW w:w="2131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Ausencia de desnutrición al egreso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86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306BB1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:rsidR="0039751B" w:rsidRPr="00306BB1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06BB1">
              <w:rPr>
                <w:rFonts w:ascii="Arial" w:hAnsi="Arial" w:cs="Arial"/>
                <w:sz w:val="18"/>
                <w:szCs w:val="18"/>
                <w:lang w:eastAsia="es-ES"/>
              </w:rPr>
              <w:t>81,1 (Especificidad)</w:t>
            </w:r>
          </w:p>
        </w:tc>
      </w:tr>
      <w:tr w:rsidR="0039751B" w:rsidTr="001B43F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86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Presencia de desnutrición al egreso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39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69</w:t>
            </w:r>
          </w:p>
        </w:tc>
        <w:tc>
          <w:tcPr>
            <w:tcW w:w="1626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306BB1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:rsidR="0039751B" w:rsidRPr="00306BB1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06BB1">
              <w:rPr>
                <w:rFonts w:ascii="Arial" w:hAnsi="Arial" w:cs="Arial"/>
                <w:sz w:val="18"/>
                <w:szCs w:val="18"/>
                <w:lang w:eastAsia="es-ES"/>
              </w:rPr>
              <w:t>63,9 (Sensibilidad)</w:t>
            </w:r>
          </w:p>
        </w:tc>
      </w:tr>
      <w:tr w:rsidR="0039751B" w:rsidTr="001B43F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86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384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Porcentaje global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5965BF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5965BF">
              <w:rPr>
                <w:rFonts w:ascii="Arial" w:hAnsi="Arial" w:cs="Arial"/>
                <w:b/>
                <w:color w:val="000000"/>
                <w:sz w:val="18"/>
                <w:szCs w:val="18"/>
                <w:lang w:eastAsia="es-ES"/>
              </w:rPr>
              <w:t>72,4</w:t>
            </w:r>
          </w:p>
        </w:tc>
      </w:tr>
    </w:tbl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eastAsia="es-ES"/>
        </w:rPr>
      </w:pPr>
      <w:proofErr w:type="gramStart"/>
      <w:r>
        <w:rPr>
          <w:rFonts w:ascii="Arial" w:hAnsi="Arial" w:cs="Arial"/>
          <w:color w:val="000000"/>
          <w:sz w:val="18"/>
          <w:szCs w:val="18"/>
          <w:lang w:eastAsia="es-ES"/>
        </w:rPr>
        <w:t>a</w:t>
      </w:r>
      <w:proofErr w:type="gramEnd"/>
      <w:r>
        <w:rPr>
          <w:rFonts w:ascii="Arial" w:hAnsi="Arial" w:cs="Arial"/>
          <w:color w:val="000000"/>
          <w:sz w:val="18"/>
          <w:szCs w:val="18"/>
          <w:lang w:eastAsia="es-ES"/>
        </w:rPr>
        <w:t xml:space="preserve"> El valor de corte es ,500</w:t>
      </w: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eastAsia="es-ES"/>
        </w:rPr>
      </w:pPr>
    </w:p>
    <w:p w:rsidR="0039751B" w:rsidRDefault="0039751B" w:rsidP="0039751B">
      <w:pPr>
        <w:tabs>
          <w:tab w:val="center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es-ES"/>
        </w:rPr>
      </w:pPr>
    </w:p>
    <w:p w:rsidR="0039751B" w:rsidRDefault="0039751B" w:rsidP="0039751B">
      <w:pPr>
        <w:tabs>
          <w:tab w:val="center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es-ES"/>
        </w:rPr>
      </w:pPr>
    </w:p>
    <w:p w:rsidR="0039751B" w:rsidRDefault="0039751B" w:rsidP="0039751B">
      <w:pPr>
        <w:tabs>
          <w:tab w:val="center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es-ES"/>
        </w:rPr>
      </w:pPr>
    </w:p>
    <w:p w:rsidR="0039751B" w:rsidRDefault="0039751B" w:rsidP="0039751B">
      <w:pPr>
        <w:tabs>
          <w:tab w:val="center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es-ES"/>
        </w:rPr>
      </w:pPr>
    </w:p>
    <w:p w:rsidR="0039751B" w:rsidRDefault="0039751B" w:rsidP="0039751B">
      <w:pPr>
        <w:tabs>
          <w:tab w:val="center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es-ES"/>
        </w:rPr>
      </w:pPr>
    </w:p>
    <w:p w:rsidR="0039751B" w:rsidRDefault="0039751B" w:rsidP="0039751B">
      <w:pPr>
        <w:tabs>
          <w:tab w:val="center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es-ES"/>
        </w:rPr>
      </w:pPr>
    </w:p>
    <w:p w:rsidR="0039751B" w:rsidRDefault="0039751B" w:rsidP="0039751B">
      <w:pPr>
        <w:tabs>
          <w:tab w:val="center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es-ES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es-ES"/>
        </w:rPr>
        <w:t>Variables en la ecuación</w:t>
      </w:r>
    </w:p>
    <w:p w:rsidR="0039751B" w:rsidRDefault="0039751B" w:rsidP="0039751B">
      <w:pPr>
        <w:tabs>
          <w:tab w:val="center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es-ES"/>
        </w:rPr>
      </w:pPr>
    </w:p>
    <w:tbl>
      <w:tblPr>
        <w:tblW w:w="0" w:type="auto"/>
        <w:tblInd w:w="-576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48"/>
        <w:gridCol w:w="1124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39751B" w:rsidTr="001B43F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87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B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E.T.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Wald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gl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Sig.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Exp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(B)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I.C. 95,0% para EXP(B)</w:t>
            </w:r>
          </w:p>
        </w:tc>
      </w:tr>
      <w:tr w:rsidR="0039751B" w:rsidTr="001B43F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87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Inferior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Superior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Inferior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Superior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Inferior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Superior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Inferior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Superior</w:t>
            </w:r>
          </w:p>
        </w:tc>
      </w:tr>
      <w:tr w:rsidR="0039751B" w:rsidTr="001B43F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4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Paso 1(a)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vam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1,090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,348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9,801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306BB1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06BB1">
              <w:rPr>
                <w:rFonts w:ascii="Arial" w:hAnsi="Arial" w:cs="Arial"/>
                <w:sz w:val="18"/>
                <w:szCs w:val="18"/>
                <w:lang w:eastAsia="es-ES"/>
              </w:rPr>
              <w:t>,002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306BB1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06BB1">
              <w:rPr>
                <w:rFonts w:ascii="Arial" w:hAnsi="Arial" w:cs="Arial"/>
                <w:sz w:val="18"/>
                <w:szCs w:val="18"/>
                <w:lang w:eastAsia="es-ES"/>
              </w:rPr>
              <w:t>2,976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306BB1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06BB1">
              <w:rPr>
                <w:rFonts w:ascii="Arial" w:hAnsi="Arial" w:cs="Arial"/>
                <w:sz w:val="18"/>
                <w:szCs w:val="18"/>
                <w:lang w:eastAsia="es-ES"/>
              </w:rPr>
              <w:t>1,503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306BB1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06BB1">
              <w:rPr>
                <w:rFonts w:ascii="Arial" w:hAnsi="Arial" w:cs="Arial"/>
                <w:sz w:val="18"/>
                <w:szCs w:val="18"/>
                <w:lang w:eastAsia="es-ES"/>
              </w:rPr>
              <w:t>5,890</w:t>
            </w:r>
          </w:p>
        </w:tc>
      </w:tr>
      <w:tr w:rsidR="0039751B" w:rsidTr="001B43F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4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diagnost1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1,976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,431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21,004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306BB1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06BB1">
              <w:rPr>
                <w:rFonts w:ascii="Arial" w:hAnsi="Arial" w:cs="Arial"/>
                <w:sz w:val="18"/>
                <w:szCs w:val="18"/>
                <w:lang w:eastAsia="es-ES"/>
              </w:rPr>
              <w:t>,000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306BB1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06BB1">
              <w:rPr>
                <w:rFonts w:ascii="Arial" w:hAnsi="Arial" w:cs="Arial"/>
                <w:sz w:val="18"/>
                <w:szCs w:val="18"/>
                <w:lang w:eastAsia="es-ES"/>
              </w:rPr>
              <w:t>7,212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306BB1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06BB1">
              <w:rPr>
                <w:rFonts w:ascii="Arial" w:hAnsi="Arial" w:cs="Arial"/>
                <w:sz w:val="18"/>
                <w:szCs w:val="18"/>
                <w:lang w:eastAsia="es-ES"/>
              </w:rPr>
              <w:t>3,098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306BB1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06BB1">
              <w:rPr>
                <w:rFonts w:ascii="Arial" w:hAnsi="Arial" w:cs="Arial"/>
                <w:sz w:val="18"/>
                <w:szCs w:val="18"/>
                <w:lang w:eastAsia="es-ES"/>
              </w:rPr>
              <w:t>16,789</w:t>
            </w:r>
          </w:p>
        </w:tc>
      </w:tr>
      <w:tr w:rsidR="0039751B" w:rsidTr="001B43F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4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ttoquierur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1,004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,338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8,831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306BB1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06BB1">
              <w:rPr>
                <w:rFonts w:ascii="Arial" w:hAnsi="Arial" w:cs="Arial"/>
                <w:sz w:val="18"/>
                <w:szCs w:val="18"/>
                <w:lang w:eastAsia="es-ES"/>
              </w:rPr>
              <w:t>,003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306BB1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06BB1">
              <w:rPr>
                <w:rFonts w:ascii="Arial" w:hAnsi="Arial" w:cs="Arial"/>
                <w:sz w:val="18"/>
                <w:szCs w:val="18"/>
                <w:lang w:eastAsia="es-ES"/>
              </w:rPr>
              <w:t>2,729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306BB1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06BB1">
              <w:rPr>
                <w:rFonts w:ascii="Arial" w:hAnsi="Arial" w:cs="Arial"/>
                <w:sz w:val="18"/>
                <w:szCs w:val="18"/>
                <w:lang w:eastAsia="es-ES"/>
              </w:rPr>
              <w:t>1,407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306BB1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06BB1">
              <w:rPr>
                <w:rFonts w:ascii="Arial" w:hAnsi="Arial" w:cs="Arial"/>
                <w:sz w:val="18"/>
                <w:szCs w:val="18"/>
                <w:lang w:eastAsia="es-ES"/>
              </w:rPr>
              <w:t>5,291</w:t>
            </w:r>
          </w:p>
        </w:tc>
      </w:tr>
      <w:tr w:rsidR="0039751B" w:rsidTr="001B43F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4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tiponutric2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,334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,369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,819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306BB1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06BB1">
              <w:rPr>
                <w:rFonts w:ascii="Arial" w:hAnsi="Arial" w:cs="Arial"/>
                <w:sz w:val="18"/>
                <w:szCs w:val="18"/>
                <w:lang w:eastAsia="es-ES"/>
              </w:rPr>
              <w:t>,366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306BB1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06BB1">
              <w:rPr>
                <w:rFonts w:ascii="Arial" w:hAnsi="Arial" w:cs="Arial"/>
                <w:sz w:val="18"/>
                <w:szCs w:val="18"/>
                <w:lang w:eastAsia="es-ES"/>
              </w:rPr>
              <w:t>1,397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39751B" w:rsidRPr="00306BB1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06BB1">
              <w:rPr>
                <w:rFonts w:ascii="Arial" w:hAnsi="Arial" w:cs="Arial"/>
                <w:sz w:val="18"/>
                <w:szCs w:val="18"/>
                <w:lang w:eastAsia="es-ES"/>
              </w:rPr>
              <w:t>,677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39751B" w:rsidRPr="00306BB1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06BB1">
              <w:rPr>
                <w:rFonts w:ascii="Arial" w:hAnsi="Arial" w:cs="Arial"/>
                <w:sz w:val="18"/>
                <w:szCs w:val="18"/>
                <w:lang w:eastAsia="es-ES"/>
              </w:rPr>
              <w:t>2,881</w:t>
            </w:r>
          </w:p>
        </w:tc>
      </w:tr>
      <w:tr w:rsidR="0039751B" w:rsidTr="001B43F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4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Constante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-1,694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,382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19,685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,184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39751B" w:rsidRDefault="0039751B" w:rsidP="001B4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</w:tr>
    </w:tbl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eastAsia="es-ES"/>
        </w:rPr>
      </w:pPr>
      <w:proofErr w:type="gramStart"/>
      <w:r>
        <w:rPr>
          <w:rFonts w:ascii="Arial" w:hAnsi="Arial" w:cs="Arial"/>
          <w:color w:val="000000"/>
          <w:sz w:val="18"/>
          <w:szCs w:val="18"/>
          <w:lang w:eastAsia="es-ES"/>
        </w:rPr>
        <w:t>a</w:t>
      </w:r>
      <w:proofErr w:type="gramEnd"/>
      <w:r>
        <w:rPr>
          <w:rFonts w:ascii="Arial" w:hAnsi="Arial" w:cs="Arial"/>
          <w:color w:val="000000"/>
          <w:sz w:val="18"/>
          <w:szCs w:val="18"/>
          <w:lang w:eastAsia="es-ES"/>
        </w:rPr>
        <w:t xml:space="preserve"> Variable(s) introducida(s) en el paso 1: </w:t>
      </w:r>
      <w:proofErr w:type="spellStart"/>
      <w:r>
        <w:rPr>
          <w:rFonts w:ascii="Arial" w:hAnsi="Arial" w:cs="Arial"/>
          <w:color w:val="000000"/>
          <w:sz w:val="18"/>
          <w:szCs w:val="18"/>
          <w:lang w:eastAsia="es-ES"/>
        </w:rPr>
        <w:t>vam</w:t>
      </w:r>
      <w:proofErr w:type="spellEnd"/>
      <w:r>
        <w:rPr>
          <w:rFonts w:ascii="Arial" w:hAnsi="Arial" w:cs="Arial"/>
          <w:color w:val="000000"/>
          <w:sz w:val="18"/>
          <w:szCs w:val="18"/>
          <w:lang w:eastAsia="es-ES"/>
        </w:rPr>
        <w:t xml:space="preserve">, diagnost1, </w:t>
      </w:r>
      <w:proofErr w:type="spellStart"/>
      <w:r>
        <w:rPr>
          <w:rFonts w:ascii="Arial" w:hAnsi="Arial" w:cs="Arial"/>
          <w:color w:val="000000"/>
          <w:sz w:val="18"/>
          <w:szCs w:val="18"/>
          <w:lang w:eastAsia="es-ES"/>
        </w:rPr>
        <w:t>ttoquierur</w:t>
      </w:r>
      <w:proofErr w:type="spellEnd"/>
      <w:r>
        <w:rPr>
          <w:rFonts w:ascii="Arial" w:hAnsi="Arial" w:cs="Arial"/>
          <w:color w:val="000000"/>
          <w:sz w:val="18"/>
          <w:szCs w:val="18"/>
          <w:lang w:eastAsia="es-ES"/>
        </w:rPr>
        <w:t>, tiponutric2.</w:t>
      </w:r>
    </w:p>
    <w:p w:rsidR="0039751B" w:rsidRDefault="0039751B" w:rsidP="00397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eastAsia="es-ES"/>
        </w:rPr>
      </w:pPr>
    </w:p>
    <w:p w:rsidR="0039751B" w:rsidRDefault="0039751B" w:rsidP="0039751B">
      <w:pPr>
        <w:jc w:val="both"/>
        <w:rPr>
          <w:rFonts w:ascii="Arial" w:hAnsi="Arial" w:cs="Arial"/>
          <w:sz w:val="24"/>
          <w:szCs w:val="24"/>
        </w:rPr>
      </w:pPr>
    </w:p>
    <w:p w:rsidR="0039751B" w:rsidRDefault="0039751B" w:rsidP="0039751B">
      <w:pPr>
        <w:jc w:val="both"/>
        <w:rPr>
          <w:rFonts w:ascii="Arial" w:hAnsi="Arial" w:cs="Arial"/>
          <w:sz w:val="24"/>
          <w:szCs w:val="24"/>
        </w:rPr>
      </w:pPr>
    </w:p>
    <w:p w:rsidR="0039751B" w:rsidRDefault="0039751B" w:rsidP="0039751B">
      <w:pPr>
        <w:jc w:val="both"/>
        <w:rPr>
          <w:rFonts w:ascii="Arial" w:hAnsi="Arial" w:cs="Arial"/>
          <w:sz w:val="24"/>
          <w:szCs w:val="24"/>
        </w:rPr>
      </w:pPr>
    </w:p>
    <w:p w:rsidR="00463EF1" w:rsidRDefault="00463EF1"/>
    <w:sectPr w:rsidR="00463EF1" w:rsidSect="00463EF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9751B"/>
    <w:rsid w:val="00236529"/>
    <w:rsid w:val="0039751B"/>
    <w:rsid w:val="00463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51B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51B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1</cp:revision>
  <dcterms:created xsi:type="dcterms:W3CDTF">2018-10-31T06:26:00Z</dcterms:created>
  <dcterms:modified xsi:type="dcterms:W3CDTF">2018-10-31T06:27:00Z</dcterms:modified>
</cp:coreProperties>
</file>