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both"/>
        <w:rPr>
          <w:rFonts w:ascii="Arial Narrow" w:hAnsi="Arial Narrow" w:cs="Arial Narrow" w:eastAsia="Arial Narrow"/>
          <w:color w:val="auto"/>
          <w:spacing w:val="0"/>
          <w:position w:val="0"/>
          <w:sz w:val="24"/>
          <w:shd w:fill="auto" w:val="clear"/>
        </w:rPr>
      </w:pPr>
    </w:p>
    <w:p>
      <w:pPr>
        <w:spacing w:before="0" w:after="0" w:line="240"/>
        <w:ind w:right="0" w:left="0" w:firstLine="0"/>
        <w:jc w:val="both"/>
        <w:rPr>
          <w:rFonts w:ascii="Arial Narrow" w:hAnsi="Arial Narrow" w:cs="Arial Narrow" w:eastAsia="Arial Narrow"/>
          <w:b/>
          <w:color w:val="auto"/>
          <w:spacing w:val="0"/>
          <w:position w:val="0"/>
          <w:sz w:val="24"/>
          <w:shd w:fill="auto" w:val="clear"/>
        </w:rPr>
      </w:pPr>
      <w:r>
        <w:rPr>
          <w:rFonts w:ascii="Arial Narrow" w:hAnsi="Arial Narrow" w:cs="Arial Narrow" w:eastAsia="Arial Narrow"/>
          <w:b/>
          <w:color w:val="auto"/>
          <w:spacing w:val="0"/>
          <w:position w:val="0"/>
          <w:sz w:val="24"/>
          <w:shd w:fill="auto" w:val="clear"/>
        </w:rPr>
        <w:t xml:space="preserve">ANEXOS</w:t>
      </w:r>
    </w:p>
    <w:p>
      <w:pPr>
        <w:spacing w:before="0" w:after="0" w:line="240"/>
        <w:ind w:right="0" w:left="0" w:firstLine="0"/>
        <w:jc w:val="both"/>
        <w:rPr>
          <w:rFonts w:ascii="Arial Narrow" w:hAnsi="Arial Narrow" w:cs="Arial Narrow" w:eastAsia="Arial Narrow"/>
          <w:b/>
          <w:color w:val="auto"/>
          <w:spacing w:val="0"/>
          <w:position w:val="0"/>
          <w:sz w:val="24"/>
          <w:shd w:fill="auto" w:val="clear"/>
        </w:rPr>
      </w:pPr>
    </w:p>
    <w:p>
      <w:pPr>
        <w:spacing w:before="0" w:after="0" w:line="240"/>
        <w:ind w:right="0" w:left="0" w:firstLine="0"/>
        <w:jc w:val="left"/>
        <w:rPr>
          <w:rFonts w:ascii="Arial Narrow" w:hAnsi="Arial Narrow" w:cs="Arial Narrow" w:eastAsia="Arial Narrow"/>
          <w:color w:val="auto"/>
          <w:spacing w:val="0"/>
          <w:position w:val="0"/>
          <w:sz w:val="24"/>
          <w:shd w:fill="auto" w:val="clear"/>
        </w:rPr>
      </w:pPr>
      <w:r>
        <w:rPr>
          <w:rFonts w:ascii="Calibri" w:hAnsi="Calibri" w:cs="Calibri" w:eastAsia="Calibri"/>
          <w:b/>
          <w:color w:val="auto"/>
          <w:spacing w:val="0"/>
          <w:position w:val="0"/>
          <w:sz w:val="22"/>
          <w:shd w:fill="auto" w:val="clear"/>
        </w:rPr>
        <w:t xml:space="preserve"> </w:t>
      </w:r>
      <w:r>
        <w:rPr>
          <w:rFonts w:ascii="Arial Narrow" w:hAnsi="Arial Narrow" w:cs="Arial Narrow" w:eastAsia="Arial Narrow"/>
          <w:b/>
          <w:color w:val="auto"/>
          <w:spacing w:val="0"/>
          <w:position w:val="0"/>
          <w:sz w:val="24"/>
          <w:shd w:fill="auto" w:val="clear"/>
        </w:rPr>
        <w:t xml:space="preserve">Anexo 1.</w:t>
      </w:r>
      <w:r>
        <w:rPr>
          <w:rFonts w:ascii="Arial Narrow" w:hAnsi="Arial Narrow" w:cs="Arial Narrow" w:eastAsia="Arial Narrow"/>
          <w:color w:val="auto"/>
          <w:spacing w:val="0"/>
          <w:position w:val="0"/>
          <w:sz w:val="24"/>
          <w:shd w:fill="auto" w:val="clear"/>
        </w:rPr>
        <w:t xml:space="preserve"> Clasificación KDIGO del daño renal agudo </w:t>
      </w:r>
    </w:p>
    <w:tbl>
      <w:tblPr/>
      <w:tblGrid>
        <w:gridCol w:w="687"/>
        <w:gridCol w:w="2039"/>
        <w:gridCol w:w="1851"/>
        <w:gridCol w:w="1645"/>
        <w:gridCol w:w="2039"/>
      </w:tblGrid>
      <w:tr>
        <w:trPr>
          <w:trHeight w:val="1" w:hRule="atLeast"/>
          <w:jc w:val="center"/>
        </w:trPr>
        <w:tc>
          <w:tcPr>
            <w:tcW w:w="687" w:type="dxa"/>
            <w:tcBorders>
              <w:top w:val="single" w:color="000000" w:sz="4"/>
              <w:left w:val="single" w:color="000000" w:sz="4"/>
              <w:bottom w:val="single" w:color="000000" w:sz="4"/>
              <w:right w:val="single" w:color="000000" w:sz="4"/>
            </w:tcBorders>
            <w:shd w:color="000000" w:fill="ffffff" w:val="clear"/>
            <w:tcMar>
              <w:left w:w="14" w:type="dxa"/>
              <w:right w:w="14"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535" w:type="dxa"/>
            <w:gridSpan w:val="3"/>
            <w:tcBorders>
              <w:top w:val="single" w:color="000000" w:sz="4"/>
              <w:left w:val="single" w:color="000000" w:sz="4"/>
              <w:bottom w:val="single" w:color="000000" w:sz="4"/>
              <w:right w:val="single" w:color="000000" w:sz="4"/>
            </w:tcBorders>
            <w:shd w:color="000000" w:fill="ffffff" w:val="clear"/>
            <w:tcMar>
              <w:left w:w="14" w:type="dxa"/>
              <w:right w:w="14" w:type="dxa"/>
            </w:tcMar>
            <w:vAlign w:val="center"/>
          </w:tcPr>
          <w:p>
            <w:pPr>
              <w:spacing w:before="0" w:after="0" w:line="240"/>
              <w:ind w:right="0" w:left="0" w:firstLine="0"/>
              <w:jc w:val="left"/>
              <w:rPr>
                <w:color w:val="auto"/>
                <w:spacing w:val="0"/>
                <w:position w:val="0"/>
                <w:shd w:fill="auto" w:val="clear"/>
              </w:rPr>
            </w:pPr>
            <w:r>
              <w:rPr>
                <w:rFonts w:ascii="Arial Narrow" w:hAnsi="Arial Narrow" w:cs="Arial Narrow" w:eastAsia="Arial Narrow"/>
                <w:color w:val="auto"/>
                <w:spacing w:val="0"/>
                <w:position w:val="0"/>
                <w:sz w:val="24"/>
                <w:shd w:fill="auto" w:val="clear"/>
              </w:rPr>
              <w:t xml:space="preserve">Cr sérica / ClCr</w:t>
            </w:r>
          </w:p>
        </w:tc>
        <w:tc>
          <w:tcPr>
            <w:tcW w:w="2039" w:type="dxa"/>
            <w:tcBorders>
              <w:top w:val="single" w:color="000000" w:sz="4"/>
              <w:left w:val="single" w:color="000000" w:sz="4"/>
              <w:bottom w:val="single" w:color="000000" w:sz="4"/>
              <w:right w:val="single" w:color="000000" w:sz="4"/>
            </w:tcBorders>
            <w:shd w:color="000000" w:fill="ffffff" w:val="clear"/>
            <w:tcMar>
              <w:left w:w="14" w:type="dxa"/>
              <w:right w:w="14" w:type="dxa"/>
            </w:tcMar>
            <w:vAlign w:val="center"/>
          </w:tcPr>
          <w:p>
            <w:pPr>
              <w:spacing w:before="0" w:after="0" w:line="240"/>
              <w:ind w:right="0" w:left="0" w:firstLine="0"/>
              <w:jc w:val="left"/>
              <w:rPr>
                <w:color w:val="auto"/>
                <w:spacing w:val="0"/>
                <w:position w:val="0"/>
                <w:shd w:fill="auto" w:val="clear"/>
              </w:rPr>
            </w:pPr>
            <w:r>
              <w:rPr>
                <w:rFonts w:ascii="Arial Narrow" w:hAnsi="Arial Narrow" w:cs="Arial Narrow" w:eastAsia="Arial Narrow"/>
                <w:color w:val="auto"/>
                <w:spacing w:val="0"/>
                <w:position w:val="0"/>
                <w:sz w:val="24"/>
                <w:shd w:fill="auto" w:val="clear"/>
              </w:rPr>
              <w:t xml:space="preserve">Diuresis</w:t>
            </w:r>
          </w:p>
        </w:tc>
      </w:tr>
      <w:tr>
        <w:trPr>
          <w:trHeight w:val="1" w:hRule="atLeast"/>
          <w:jc w:val="center"/>
        </w:trPr>
        <w:tc>
          <w:tcPr>
            <w:tcW w:w="687" w:type="dxa"/>
            <w:tcBorders>
              <w:top w:val="single" w:color="000000" w:sz="4"/>
              <w:left w:val="single" w:color="000000" w:sz="4"/>
              <w:bottom w:val="single" w:color="000000" w:sz="4"/>
              <w:right w:val="single" w:color="000000" w:sz="4"/>
            </w:tcBorders>
            <w:shd w:color="000000" w:fill="ffffff" w:val="clear"/>
            <w:tcMar>
              <w:left w:w="14" w:type="dxa"/>
              <w:right w:w="14" w:type="dxa"/>
            </w:tcMar>
            <w:vAlign w:val="center"/>
          </w:tcPr>
          <w:p>
            <w:pPr>
              <w:spacing w:before="0" w:after="0" w:line="240"/>
              <w:ind w:right="0" w:left="0" w:firstLine="0"/>
              <w:jc w:val="left"/>
              <w:rPr>
                <w:color w:val="auto"/>
                <w:spacing w:val="0"/>
                <w:position w:val="0"/>
                <w:shd w:fill="auto" w:val="clear"/>
              </w:rPr>
            </w:pPr>
            <w:r>
              <w:rPr>
                <w:rFonts w:ascii="Arial Narrow" w:hAnsi="Arial Narrow" w:cs="Arial Narrow" w:eastAsia="Arial Narrow"/>
                <w:color w:val="auto"/>
                <w:spacing w:val="0"/>
                <w:position w:val="0"/>
                <w:sz w:val="24"/>
                <w:shd w:fill="auto" w:val="clear"/>
              </w:rPr>
              <w:t xml:space="preserve">Estadio</w:t>
            </w:r>
          </w:p>
        </w:tc>
        <w:tc>
          <w:tcPr>
            <w:tcW w:w="2039" w:type="dxa"/>
            <w:tcBorders>
              <w:top w:val="single" w:color="000000" w:sz="4"/>
              <w:left w:val="single" w:color="000000" w:sz="4"/>
              <w:bottom w:val="single" w:color="000000" w:sz="4"/>
              <w:right w:val="single" w:color="000000" w:sz="4"/>
            </w:tcBorders>
            <w:shd w:color="000000" w:fill="ffffff" w:val="clear"/>
            <w:tcMar>
              <w:left w:w="14" w:type="dxa"/>
              <w:right w:w="14" w:type="dxa"/>
            </w:tcMar>
            <w:vAlign w:val="center"/>
          </w:tcPr>
          <w:p>
            <w:pPr>
              <w:spacing w:before="0" w:after="0" w:line="240"/>
              <w:ind w:right="0" w:left="0" w:firstLine="0"/>
              <w:jc w:val="left"/>
              <w:rPr>
                <w:color w:val="auto"/>
                <w:spacing w:val="0"/>
                <w:position w:val="0"/>
                <w:shd w:fill="auto" w:val="clear"/>
              </w:rPr>
            </w:pPr>
            <w:r>
              <w:rPr>
                <w:rFonts w:ascii="Arial Narrow" w:hAnsi="Arial Narrow" w:cs="Arial Narrow" w:eastAsia="Arial Narrow"/>
                <w:color w:val="auto"/>
                <w:spacing w:val="0"/>
                <w:position w:val="0"/>
                <w:sz w:val="24"/>
                <w:shd w:fill="auto" w:val="clear"/>
              </w:rPr>
              <w:t xml:space="preserve">RIFLE (2004)</w:t>
            </w:r>
          </w:p>
        </w:tc>
        <w:tc>
          <w:tcPr>
            <w:tcW w:w="1851" w:type="dxa"/>
            <w:tcBorders>
              <w:top w:val="single" w:color="000000" w:sz="4"/>
              <w:left w:val="single" w:color="000000" w:sz="4"/>
              <w:bottom w:val="single" w:color="000000" w:sz="4"/>
              <w:right w:val="single" w:color="000000" w:sz="4"/>
            </w:tcBorders>
            <w:shd w:color="000000" w:fill="ffffff" w:val="clear"/>
            <w:tcMar>
              <w:left w:w="14" w:type="dxa"/>
              <w:right w:w="14" w:type="dxa"/>
            </w:tcMar>
            <w:vAlign w:val="center"/>
          </w:tcPr>
          <w:p>
            <w:pPr>
              <w:spacing w:before="0" w:after="0" w:line="240"/>
              <w:ind w:right="0" w:left="0" w:firstLine="0"/>
              <w:jc w:val="left"/>
              <w:rPr>
                <w:color w:val="auto"/>
                <w:spacing w:val="0"/>
                <w:position w:val="0"/>
                <w:shd w:fill="auto" w:val="clear"/>
              </w:rPr>
            </w:pPr>
            <w:r>
              <w:rPr>
                <w:rFonts w:ascii="Arial Narrow" w:hAnsi="Arial Narrow" w:cs="Arial Narrow" w:eastAsia="Arial Narrow"/>
                <w:color w:val="auto"/>
                <w:spacing w:val="0"/>
                <w:position w:val="0"/>
                <w:sz w:val="24"/>
                <w:shd w:fill="auto" w:val="clear"/>
              </w:rPr>
              <w:t xml:space="preserve">AKIN (2007)</w:t>
            </w:r>
          </w:p>
        </w:tc>
        <w:tc>
          <w:tcPr>
            <w:tcW w:w="1645" w:type="dxa"/>
            <w:tcBorders>
              <w:top w:val="single" w:color="000000" w:sz="4"/>
              <w:left w:val="single" w:color="000000" w:sz="4"/>
              <w:bottom w:val="single" w:color="000000" w:sz="4"/>
              <w:right w:val="single" w:color="000000" w:sz="4"/>
            </w:tcBorders>
            <w:shd w:color="000000" w:fill="ffffff" w:val="clear"/>
            <w:tcMar>
              <w:left w:w="14" w:type="dxa"/>
              <w:right w:w="14" w:type="dxa"/>
            </w:tcMar>
            <w:vAlign w:val="center"/>
          </w:tcPr>
          <w:p>
            <w:pPr>
              <w:spacing w:before="0" w:after="0" w:line="240"/>
              <w:ind w:right="0" w:left="0" w:firstLine="0"/>
              <w:jc w:val="left"/>
              <w:rPr>
                <w:color w:val="auto"/>
                <w:spacing w:val="0"/>
                <w:position w:val="0"/>
                <w:shd w:fill="auto" w:val="clear"/>
              </w:rPr>
            </w:pPr>
            <w:r>
              <w:rPr>
                <w:rFonts w:ascii="Arial Narrow" w:hAnsi="Arial Narrow" w:cs="Arial Narrow" w:eastAsia="Arial Narrow"/>
                <w:color w:val="auto"/>
                <w:spacing w:val="0"/>
                <w:position w:val="0"/>
                <w:sz w:val="24"/>
                <w:shd w:fill="auto" w:val="clear"/>
              </w:rPr>
              <w:t xml:space="preserve">KDIGO (2012)</w:t>
            </w:r>
          </w:p>
        </w:tc>
        <w:tc>
          <w:tcPr>
            <w:tcW w:w="2039" w:type="dxa"/>
            <w:tcBorders>
              <w:top w:val="single" w:color="000000" w:sz="4"/>
              <w:left w:val="single" w:color="000000" w:sz="4"/>
              <w:bottom w:val="single" w:color="000000" w:sz="4"/>
              <w:right w:val="single" w:color="000000" w:sz="4"/>
            </w:tcBorders>
            <w:shd w:color="000000" w:fill="ffffff" w:val="clear"/>
            <w:tcMar>
              <w:left w:w="14" w:type="dxa"/>
              <w:right w:w="14" w:type="dxa"/>
            </w:tcMar>
            <w:vAlign w:val="center"/>
          </w:tcPr>
          <w:p>
            <w:pPr>
              <w:spacing w:before="0" w:after="0" w:line="240"/>
              <w:ind w:right="0" w:left="0" w:firstLine="0"/>
              <w:jc w:val="left"/>
              <w:rPr>
                <w:color w:val="auto"/>
                <w:spacing w:val="0"/>
                <w:position w:val="0"/>
                <w:shd w:fill="auto" w:val="clear"/>
              </w:rPr>
            </w:pPr>
            <w:r>
              <w:rPr>
                <w:rFonts w:ascii="Arial Narrow" w:hAnsi="Arial Narrow" w:cs="Arial Narrow" w:eastAsia="Arial Narrow"/>
                <w:color w:val="auto"/>
                <w:spacing w:val="0"/>
                <w:position w:val="0"/>
                <w:sz w:val="24"/>
                <w:shd w:fill="auto" w:val="clear"/>
              </w:rPr>
              <w:t xml:space="preserve">pRIFLE/AKIN/KDIGO</w:t>
            </w:r>
          </w:p>
        </w:tc>
      </w:tr>
      <w:tr>
        <w:trPr>
          <w:trHeight w:val="1" w:hRule="atLeast"/>
          <w:jc w:val="center"/>
        </w:trPr>
        <w:tc>
          <w:tcPr>
            <w:tcW w:w="687" w:type="dxa"/>
            <w:tcBorders>
              <w:top w:val="single" w:color="000000" w:sz="4"/>
              <w:left w:val="single" w:color="000000" w:sz="4"/>
              <w:bottom w:val="single" w:color="000000" w:sz="4"/>
              <w:right w:val="single" w:color="000000" w:sz="4"/>
            </w:tcBorders>
            <w:shd w:color="000000" w:fill="ffffff" w:val="clear"/>
            <w:tcMar>
              <w:left w:w="14" w:type="dxa"/>
              <w:right w:w="14" w:type="dxa"/>
            </w:tcMar>
            <w:vAlign w:val="center"/>
          </w:tcPr>
          <w:p>
            <w:pPr>
              <w:spacing w:before="0" w:after="0" w:line="240"/>
              <w:ind w:right="0" w:left="0" w:firstLine="0"/>
              <w:jc w:val="left"/>
              <w:rPr>
                <w:color w:val="auto"/>
                <w:spacing w:val="0"/>
                <w:position w:val="0"/>
                <w:shd w:fill="auto" w:val="clear"/>
              </w:rPr>
            </w:pPr>
            <w:r>
              <w:rPr>
                <w:rFonts w:ascii="Arial Narrow" w:hAnsi="Arial Narrow" w:cs="Arial Narrow" w:eastAsia="Arial Narrow"/>
                <w:color w:val="auto"/>
                <w:spacing w:val="0"/>
                <w:position w:val="0"/>
                <w:sz w:val="24"/>
                <w:shd w:fill="auto" w:val="clear"/>
              </w:rPr>
              <w:t xml:space="preserve">1 (R) </w:t>
            </w:r>
          </w:p>
        </w:tc>
        <w:tc>
          <w:tcPr>
            <w:tcW w:w="2039" w:type="dxa"/>
            <w:tcBorders>
              <w:top w:val="single" w:color="000000" w:sz="4"/>
              <w:left w:val="single" w:color="000000" w:sz="4"/>
              <w:bottom w:val="single" w:color="000000" w:sz="4"/>
              <w:right w:val="single" w:color="000000" w:sz="4"/>
            </w:tcBorders>
            <w:shd w:color="000000" w:fill="ffffff" w:val="clear"/>
            <w:tcMar>
              <w:left w:w="14" w:type="dxa"/>
              <w:right w:w="14" w:type="dxa"/>
            </w:tcMar>
            <w:vAlign w:val="center"/>
          </w:tcPr>
          <w:p>
            <w:pPr>
              <w:spacing w:before="0" w:after="0" w:line="240"/>
              <w:ind w:right="0" w:left="0" w:firstLine="0"/>
              <w:jc w:val="left"/>
              <w:rPr>
                <w:color w:val="auto"/>
                <w:spacing w:val="0"/>
                <w:position w:val="0"/>
                <w:shd w:fill="auto" w:val="clear"/>
              </w:rPr>
            </w:pPr>
            <w:r>
              <w:rPr>
                <w:rFonts w:ascii="Arial Narrow" w:hAnsi="Arial Narrow" w:cs="Arial Narrow" w:eastAsia="Arial Narrow"/>
                <w:color w:val="auto"/>
                <w:spacing w:val="0"/>
                <w:position w:val="0"/>
                <w:sz w:val="24"/>
                <w:shd w:fill="auto" w:val="clear"/>
              </w:rPr>
              <w:t xml:space="preserve">Cr basal × 1,5 o Disminución ClCr &gt;25% </w:t>
            </w:r>
          </w:p>
        </w:tc>
        <w:tc>
          <w:tcPr>
            <w:tcW w:w="1851" w:type="dxa"/>
            <w:tcBorders>
              <w:top w:val="single" w:color="000000" w:sz="4"/>
              <w:left w:val="single" w:color="000000" w:sz="4"/>
              <w:bottom w:val="single" w:color="000000" w:sz="4"/>
              <w:right w:val="single" w:color="000000" w:sz="4"/>
            </w:tcBorders>
            <w:shd w:color="000000" w:fill="ffffff" w:val="clear"/>
            <w:tcMar>
              <w:left w:w="14" w:type="dxa"/>
              <w:right w:w="14" w:type="dxa"/>
            </w:tcMar>
            <w:vAlign w:val="center"/>
          </w:tcPr>
          <w:p>
            <w:pPr>
              <w:spacing w:before="0" w:after="0" w:line="240"/>
              <w:ind w:right="0" w:left="0" w:firstLine="0"/>
              <w:jc w:val="left"/>
              <w:rPr>
                <w:color w:val="auto"/>
                <w:spacing w:val="0"/>
                <w:position w:val="0"/>
                <w:shd w:fill="auto" w:val="clear"/>
              </w:rPr>
            </w:pPr>
            <w:r>
              <w:rPr>
                <w:rFonts w:ascii="Arial Narrow" w:hAnsi="Arial Narrow" w:cs="Arial Narrow" w:eastAsia="Arial Narrow"/>
                <w:color w:val="auto"/>
                <w:spacing w:val="0"/>
                <w:position w:val="0"/>
                <w:sz w:val="24"/>
                <w:shd w:fill="auto" w:val="clear"/>
              </w:rPr>
              <w:t xml:space="preserve">Cr basal × 1,5-2 o Aumento &gt;0,3 mg/dl (26,5 umol/l) </w:t>
            </w:r>
          </w:p>
        </w:tc>
        <w:tc>
          <w:tcPr>
            <w:tcW w:w="1645" w:type="dxa"/>
            <w:tcBorders>
              <w:top w:val="single" w:color="000000" w:sz="4"/>
              <w:left w:val="single" w:color="000000" w:sz="4"/>
              <w:bottom w:val="single" w:color="000000" w:sz="4"/>
              <w:right w:val="single" w:color="000000" w:sz="4"/>
            </w:tcBorders>
            <w:shd w:color="000000" w:fill="ffffff" w:val="clear"/>
            <w:tcMar>
              <w:left w:w="14" w:type="dxa"/>
              <w:right w:w="14" w:type="dxa"/>
            </w:tcMar>
            <w:vAlign w:val="center"/>
          </w:tcPr>
          <w:p>
            <w:pPr>
              <w:spacing w:before="0" w:after="0" w:line="240"/>
              <w:ind w:right="0" w:left="0" w:firstLine="0"/>
              <w:jc w:val="left"/>
              <w:rPr>
                <w:color w:val="auto"/>
                <w:spacing w:val="0"/>
                <w:position w:val="0"/>
                <w:shd w:fill="auto" w:val="clear"/>
              </w:rPr>
            </w:pPr>
            <w:r>
              <w:rPr>
                <w:rFonts w:ascii="Arial Narrow" w:hAnsi="Arial Narrow" w:cs="Arial Narrow" w:eastAsia="Arial Narrow"/>
                <w:color w:val="auto"/>
                <w:spacing w:val="0"/>
                <w:position w:val="0"/>
                <w:sz w:val="24"/>
                <w:shd w:fill="auto" w:val="clear"/>
              </w:rPr>
              <w:t xml:space="preserve">Cr basal × 1,5-1,9 o Aumento &gt;0,3 mg/dl (26,5 umol/l) en 48 h </w:t>
            </w:r>
          </w:p>
        </w:tc>
        <w:tc>
          <w:tcPr>
            <w:tcW w:w="2039" w:type="dxa"/>
            <w:tcBorders>
              <w:top w:val="single" w:color="000000" w:sz="4"/>
              <w:left w:val="single" w:color="000000" w:sz="4"/>
              <w:bottom w:val="single" w:color="000000" w:sz="4"/>
              <w:right w:val="single" w:color="000000" w:sz="4"/>
            </w:tcBorders>
            <w:shd w:color="000000" w:fill="ffffff" w:val="clear"/>
            <w:tcMar>
              <w:left w:w="14" w:type="dxa"/>
              <w:right w:w="14" w:type="dxa"/>
            </w:tcMar>
            <w:vAlign w:val="center"/>
          </w:tcPr>
          <w:p>
            <w:pPr>
              <w:spacing w:before="0" w:after="0" w:line="240"/>
              <w:ind w:right="0" w:left="0" w:firstLine="0"/>
              <w:jc w:val="left"/>
              <w:rPr>
                <w:color w:val="auto"/>
                <w:spacing w:val="0"/>
                <w:position w:val="0"/>
                <w:shd w:fill="auto" w:val="clear"/>
              </w:rPr>
            </w:pPr>
            <w:r>
              <w:rPr>
                <w:rFonts w:ascii="Arial Narrow" w:hAnsi="Arial Narrow" w:cs="Arial Narrow" w:eastAsia="Arial Narrow"/>
                <w:color w:val="auto"/>
                <w:spacing w:val="0"/>
                <w:position w:val="0"/>
                <w:sz w:val="24"/>
                <w:shd w:fill="auto" w:val="clear"/>
              </w:rPr>
              <w:t xml:space="preserve">&lt;0,5 ml/kg/h × 6-12 h </w:t>
            </w:r>
          </w:p>
        </w:tc>
      </w:tr>
      <w:tr>
        <w:trPr>
          <w:trHeight w:val="1" w:hRule="atLeast"/>
          <w:jc w:val="center"/>
        </w:trPr>
        <w:tc>
          <w:tcPr>
            <w:tcW w:w="687" w:type="dxa"/>
            <w:tcBorders>
              <w:top w:val="single" w:color="000000" w:sz="4"/>
              <w:left w:val="single" w:color="000000" w:sz="4"/>
              <w:bottom w:val="single" w:color="000000" w:sz="4"/>
              <w:right w:val="single" w:color="000000" w:sz="4"/>
            </w:tcBorders>
            <w:shd w:color="000000" w:fill="ffffff" w:val="clear"/>
            <w:tcMar>
              <w:left w:w="14" w:type="dxa"/>
              <w:right w:w="14" w:type="dxa"/>
            </w:tcMar>
            <w:vAlign w:val="center"/>
          </w:tcPr>
          <w:p>
            <w:pPr>
              <w:spacing w:before="0" w:after="0" w:line="240"/>
              <w:ind w:right="0" w:left="0" w:firstLine="0"/>
              <w:jc w:val="left"/>
              <w:rPr>
                <w:color w:val="auto"/>
                <w:spacing w:val="0"/>
                <w:position w:val="0"/>
                <w:shd w:fill="auto" w:val="clear"/>
              </w:rPr>
            </w:pPr>
            <w:r>
              <w:rPr>
                <w:rFonts w:ascii="Arial Narrow" w:hAnsi="Arial Narrow" w:cs="Arial Narrow" w:eastAsia="Arial Narrow"/>
                <w:color w:val="auto"/>
                <w:spacing w:val="0"/>
                <w:position w:val="0"/>
                <w:sz w:val="24"/>
                <w:shd w:fill="auto" w:val="clear"/>
              </w:rPr>
              <w:t xml:space="preserve">2 (I) </w:t>
            </w:r>
          </w:p>
        </w:tc>
        <w:tc>
          <w:tcPr>
            <w:tcW w:w="2039" w:type="dxa"/>
            <w:tcBorders>
              <w:top w:val="single" w:color="000000" w:sz="4"/>
              <w:left w:val="single" w:color="000000" w:sz="4"/>
              <w:bottom w:val="single" w:color="000000" w:sz="4"/>
              <w:right w:val="single" w:color="000000" w:sz="4"/>
            </w:tcBorders>
            <w:shd w:color="000000" w:fill="ffffff" w:val="clear"/>
            <w:tcMar>
              <w:left w:w="14" w:type="dxa"/>
              <w:right w:w="14" w:type="dxa"/>
            </w:tcMar>
            <w:vAlign w:val="center"/>
          </w:tcPr>
          <w:p>
            <w:pPr>
              <w:spacing w:before="0" w:after="0" w:line="240"/>
              <w:ind w:right="0" w:left="0" w:firstLine="0"/>
              <w:jc w:val="left"/>
              <w:rPr>
                <w:color w:val="auto"/>
                <w:spacing w:val="0"/>
                <w:position w:val="0"/>
                <w:shd w:fill="auto" w:val="clear"/>
              </w:rPr>
            </w:pPr>
            <w:r>
              <w:rPr>
                <w:rFonts w:ascii="Arial Narrow" w:hAnsi="Arial Narrow" w:cs="Arial Narrow" w:eastAsia="Arial Narrow"/>
                <w:color w:val="auto"/>
                <w:spacing w:val="0"/>
                <w:position w:val="0"/>
                <w:sz w:val="24"/>
                <w:shd w:fill="auto" w:val="clear"/>
              </w:rPr>
              <w:t xml:space="preserve">Cr basal × 2 o Disminución ClCr &gt;50% </w:t>
            </w:r>
          </w:p>
        </w:tc>
        <w:tc>
          <w:tcPr>
            <w:tcW w:w="1851" w:type="dxa"/>
            <w:tcBorders>
              <w:top w:val="single" w:color="000000" w:sz="4"/>
              <w:left w:val="single" w:color="000000" w:sz="4"/>
              <w:bottom w:val="single" w:color="000000" w:sz="4"/>
              <w:right w:val="single" w:color="000000" w:sz="4"/>
            </w:tcBorders>
            <w:shd w:color="000000" w:fill="ffffff" w:val="clear"/>
            <w:tcMar>
              <w:left w:w="14" w:type="dxa"/>
              <w:right w:w="14" w:type="dxa"/>
            </w:tcMar>
            <w:vAlign w:val="center"/>
          </w:tcPr>
          <w:p>
            <w:pPr>
              <w:spacing w:before="0" w:after="0" w:line="240"/>
              <w:ind w:right="0" w:left="0" w:firstLine="0"/>
              <w:jc w:val="left"/>
              <w:rPr>
                <w:color w:val="auto"/>
                <w:spacing w:val="0"/>
                <w:position w:val="0"/>
                <w:shd w:fill="auto" w:val="clear"/>
              </w:rPr>
            </w:pPr>
            <w:r>
              <w:rPr>
                <w:rFonts w:ascii="Arial Narrow" w:hAnsi="Arial Narrow" w:cs="Arial Narrow" w:eastAsia="Arial Narrow"/>
                <w:color w:val="auto"/>
                <w:spacing w:val="0"/>
                <w:position w:val="0"/>
                <w:sz w:val="24"/>
                <w:shd w:fill="auto" w:val="clear"/>
              </w:rPr>
              <w:t xml:space="preserve">Cr basal × 2-3 </w:t>
            </w:r>
          </w:p>
        </w:tc>
        <w:tc>
          <w:tcPr>
            <w:tcW w:w="1645" w:type="dxa"/>
            <w:tcBorders>
              <w:top w:val="single" w:color="000000" w:sz="4"/>
              <w:left w:val="single" w:color="000000" w:sz="4"/>
              <w:bottom w:val="single" w:color="000000" w:sz="4"/>
              <w:right w:val="single" w:color="000000" w:sz="4"/>
            </w:tcBorders>
            <w:shd w:color="000000" w:fill="ffffff" w:val="clear"/>
            <w:tcMar>
              <w:left w:w="14" w:type="dxa"/>
              <w:right w:w="14" w:type="dxa"/>
            </w:tcMar>
            <w:vAlign w:val="center"/>
          </w:tcPr>
          <w:p>
            <w:pPr>
              <w:spacing w:before="0" w:after="0" w:line="240"/>
              <w:ind w:right="0" w:left="0" w:firstLine="0"/>
              <w:jc w:val="left"/>
              <w:rPr>
                <w:color w:val="auto"/>
                <w:spacing w:val="0"/>
                <w:position w:val="0"/>
                <w:shd w:fill="auto" w:val="clear"/>
              </w:rPr>
            </w:pPr>
            <w:r>
              <w:rPr>
                <w:rFonts w:ascii="Arial Narrow" w:hAnsi="Arial Narrow" w:cs="Arial Narrow" w:eastAsia="Arial Narrow"/>
                <w:color w:val="auto"/>
                <w:spacing w:val="0"/>
                <w:position w:val="0"/>
                <w:sz w:val="24"/>
                <w:shd w:fill="auto" w:val="clear"/>
              </w:rPr>
              <w:t xml:space="preserve">Cr basal × 2-2,9 </w:t>
            </w:r>
          </w:p>
        </w:tc>
        <w:tc>
          <w:tcPr>
            <w:tcW w:w="2039" w:type="dxa"/>
            <w:tcBorders>
              <w:top w:val="single" w:color="000000" w:sz="4"/>
              <w:left w:val="single" w:color="000000" w:sz="4"/>
              <w:bottom w:val="single" w:color="000000" w:sz="4"/>
              <w:right w:val="single" w:color="000000" w:sz="4"/>
            </w:tcBorders>
            <w:shd w:color="000000" w:fill="ffffff" w:val="clear"/>
            <w:tcMar>
              <w:left w:w="14" w:type="dxa"/>
              <w:right w:w="14" w:type="dxa"/>
            </w:tcMar>
            <w:vAlign w:val="center"/>
          </w:tcPr>
          <w:p>
            <w:pPr>
              <w:spacing w:before="0" w:after="0" w:line="240"/>
              <w:ind w:right="0" w:left="0" w:firstLine="0"/>
              <w:jc w:val="left"/>
              <w:rPr>
                <w:color w:val="auto"/>
                <w:spacing w:val="0"/>
                <w:position w:val="0"/>
                <w:shd w:fill="auto" w:val="clear"/>
              </w:rPr>
            </w:pPr>
            <w:r>
              <w:rPr>
                <w:rFonts w:ascii="Arial Narrow" w:hAnsi="Arial Narrow" w:cs="Arial Narrow" w:eastAsia="Arial Narrow"/>
                <w:color w:val="auto"/>
                <w:spacing w:val="0"/>
                <w:position w:val="0"/>
                <w:sz w:val="24"/>
                <w:shd w:fill="auto" w:val="clear"/>
              </w:rPr>
              <w:t xml:space="preserve">&lt;0,5 ml/kg/h × 12 h </w:t>
            </w:r>
          </w:p>
        </w:tc>
      </w:tr>
      <w:tr>
        <w:trPr>
          <w:trHeight w:val="1" w:hRule="atLeast"/>
          <w:jc w:val="center"/>
        </w:trPr>
        <w:tc>
          <w:tcPr>
            <w:tcW w:w="687" w:type="dxa"/>
            <w:tcBorders>
              <w:top w:val="single" w:color="000000" w:sz="4"/>
              <w:left w:val="single" w:color="000000" w:sz="4"/>
              <w:bottom w:val="single" w:color="000000" w:sz="4"/>
              <w:right w:val="single" w:color="000000" w:sz="4"/>
            </w:tcBorders>
            <w:shd w:color="000000" w:fill="ffffff" w:val="clear"/>
            <w:tcMar>
              <w:left w:w="14" w:type="dxa"/>
              <w:right w:w="14" w:type="dxa"/>
            </w:tcMar>
            <w:vAlign w:val="center"/>
          </w:tcPr>
          <w:p>
            <w:pPr>
              <w:spacing w:before="0" w:after="0" w:line="240"/>
              <w:ind w:right="0" w:left="0" w:firstLine="0"/>
              <w:jc w:val="left"/>
              <w:rPr>
                <w:color w:val="auto"/>
                <w:spacing w:val="0"/>
                <w:position w:val="0"/>
                <w:shd w:fill="auto" w:val="clear"/>
              </w:rPr>
            </w:pPr>
            <w:r>
              <w:rPr>
                <w:rFonts w:ascii="Arial Narrow" w:hAnsi="Arial Narrow" w:cs="Arial Narrow" w:eastAsia="Arial Narrow"/>
                <w:color w:val="auto"/>
                <w:spacing w:val="0"/>
                <w:position w:val="0"/>
                <w:sz w:val="24"/>
                <w:shd w:fill="auto" w:val="clear"/>
              </w:rPr>
              <w:t xml:space="preserve">3 (F) </w:t>
            </w:r>
          </w:p>
        </w:tc>
        <w:tc>
          <w:tcPr>
            <w:tcW w:w="2039" w:type="dxa"/>
            <w:tcBorders>
              <w:top w:val="single" w:color="000000" w:sz="4"/>
              <w:left w:val="single" w:color="000000" w:sz="4"/>
              <w:bottom w:val="single" w:color="000000" w:sz="4"/>
              <w:right w:val="single" w:color="000000" w:sz="4"/>
            </w:tcBorders>
            <w:shd w:color="000000" w:fill="ffffff" w:val="clear"/>
            <w:tcMar>
              <w:left w:w="14" w:type="dxa"/>
              <w:right w:w="14" w:type="dxa"/>
            </w:tcMar>
            <w:vAlign w:val="center"/>
          </w:tcPr>
          <w:p>
            <w:pPr>
              <w:spacing w:before="0" w:after="0" w:line="240"/>
              <w:ind w:right="0" w:left="0" w:firstLine="0"/>
              <w:jc w:val="left"/>
              <w:rPr>
                <w:color w:val="auto"/>
                <w:spacing w:val="0"/>
                <w:position w:val="0"/>
                <w:shd w:fill="auto" w:val="clear"/>
              </w:rPr>
            </w:pPr>
            <w:r>
              <w:rPr>
                <w:rFonts w:ascii="Arial Narrow" w:hAnsi="Arial Narrow" w:cs="Arial Narrow" w:eastAsia="Arial Narrow"/>
                <w:color w:val="auto"/>
                <w:spacing w:val="0"/>
                <w:position w:val="0"/>
                <w:sz w:val="24"/>
                <w:shd w:fill="auto" w:val="clear"/>
              </w:rPr>
              <w:t xml:space="preserve">Cr basal × 3 o</w:t>
              <w:br/>
              <w:t xml:space="preserve">Crs &gt;4 mg/dl (354 umol/l) Aumento agudo &gt;0,5 mg/ dl (44 umol/l) o Disminución ClCr &gt;75%</w:t>
              <w:br/>
              <w:t xml:space="preserve">–</w:t>
              <w:br/>
              <w:t xml:space="preserve">ClCr &lt;35 ml/min/1,73 m2 </w:t>
            </w:r>
          </w:p>
        </w:tc>
        <w:tc>
          <w:tcPr>
            <w:tcW w:w="1851" w:type="dxa"/>
            <w:tcBorders>
              <w:top w:val="single" w:color="000000" w:sz="4"/>
              <w:left w:val="single" w:color="000000" w:sz="4"/>
              <w:bottom w:val="single" w:color="000000" w:sz="4"/>
              <w:right w:val="single" w:color="000000" w:sz="4"/>
            </w:tcBorders>
            <w:shd w:color="000000" w:fill="ffffff" w:val="clear"/>
            <w:tcMar>
              <w:left w:w="14" w:type="dxa"/>
              <w:right w:w="14" w:type="dxa"/>
            </w:tcMar>
            <w:vAlign w:val="center"/>
          </w:tcPr>
          <w:p>
            <w:pPr>
              <w:spacing w:before="0" w:after="0" w:line="240"/>
              <w:ind w:right="0" w:left="0" w:firstLine="0"/>
              <w:jc w:val="left"/>
              <w:rPr>
                <w:color w:val="auto"/>
                <w:spacing w:val="0"/>
                <w:position w:val="0"/>
                <w:shd w:fill="auto" w:val="clear"/>
              </w:rPr>
            </w:pPr>
            <w:r>
              <w:rPr>
                <w:rFonts w:ascii="Arial Narrow" w:hAnsi="Arial Narrow" w:cs="Arial Narrow" w:eastAsia="Arial Narrow"/>
                <w:color w:val="auto"/>
                <w:spacing w:val="0"/>
                <w:position w:val="0"/>
                <w:sz w:val="24"/>
                <w:shd w:fill="auto" w:val="clear"/>
              </w:rPr>
              <w:t xml:space="preserve">Cr basal &gt;× 3 (&gt;300%) o Crs &gt;4 mg/dl (354 umol/l) Aumento agudo &gt;0,5 mg/ dl (44 umol/)</w:t>
              <w:br/>
              <w:t xml:space="preserve">o</w:t>
              <w:br/>
              <w:t xml:space="preserve">terapia renal sustitutiva </w:t>
            </w:r>
          </w:p>
        </w:tc>
        <w:tc>
          <w:tcPr>
            <w:tcW w:w="1645" w:type="dxa"/>
            <w:tcBorders>
              <w:top w:val="single" w:color="000000" w:sz="4"/>
              <w:left w:val="single" w:color="000000" w:sz="4"/>
              <w:bottom w:val="single" w:color="000000" w:sz="4"/>
              <w:right w:val="single" w:color="000000" w:sz="4"/>
            </w:tcBorders>
            <w:shd w:color="000000" w:fill="ffffff" w:val="clear"/>
            <w:tcMar>
              <w:left w:w="14" w:type="dxa"/>
              <w:right w:w="14" w:type="dxa"/>
            </w:tcMar>
            <w:vAlign w:val="center"/>
          </w:tcPr>
          <w:p>
            <w:pPr>
              <w:spacing w:before="0" w:after="0" w:line="240"/>
              <w:ind w:right="0" w:left="0" w:firstLine="0"/>
              <w:jc w:val="left"/>
              <w:rPr>
                <w:color w:val="auto"/>
                <w:spacing w:val="0"/>
                <w:position w:val="0"/>
                <w:shd w:fill="auto" w:val="clear"/>
              </w:rPr>
            </w:pPr>
            <w:r>
              <w:rPr>
                <w:rFonts w:ascii="Arial Narrow" w:hAnsi="Arial Narrow" w:cs="Arial Narrow" w:eastAsia="Arial Narrow"/>
                <w:color w:val="auto"/>
                <w:spacing w:val="0"/>
                <w:position w:val="0"/>
                <w:sz w:val="24"/>
                <w:shd w:fill="auto" w:val="clear"/>
              </w:rPr>
              <w:t xml:space="preserve">Cr basal &gt; × 3 o</w:t>
              <w:br/>
              <w:t xml:space="preserve">Crs &gt;4 mg/dl (354 umol/l) o</w:t>
              <w:br/>
              <w:t xml:space="preserve">Terapia renal sustitutiva –</w:t>
              <w:br/>
              <w:t xml:space="preserve">En menores de 18 años: FGe &lt;35 ml/min/1,73 m2 </w:t>
            </w:r>
          </w:p>
        </w:tc>
        <w:tc>
          <w:tcPr>
            <w:tcW w:w="2039" w:type="dxa"/>
            <w:tcBorders>
              <w:top w:val="single" w:color="000000" w:sz="4"/>
              <w:left w:val="single" w:color="000000" w:sz="4"/>
              <w:bottom w:val="single" w:color="000000" w:sz="4"/>
              <w:right w:val="single" w:color="000000" w:sz="4"/>
            </w:tcBorders>
            <w:shd w:color="000000" w:fill="ffffff" w:val="clear"/>
            <w:tcMar>
              <w:left w:w="14" w:type="dxa"/>
              <w:right w:w="14" w:type="dxa"/>
            </w:tcMar>
            <w:vAlign w:val="center"/>
          </w:tcPr>
          <w:p>
            <w:pPr>
              <w:spacing w:before="0" w:after="0" w:line="240"/>
              <w:ind w:right="0" w:left="0" w:firstLine="0"/>
              <w:jc w:val="left"/>
              <w:rPr>
                <w:color w:val="auto"/>
                <w:spacing w:val="0"/>
                <w:position w:val="0"/>
                <w:shd w:fill="auto" w:val="clear"/>
              </w:rPr>
            </w:pPr>
            <w:r>
              <w:rPr>
                <w:rFonts w:ascii="Arial Narrow" w:hAnsi="Arial Narrow" w:cs="Arial Narrow" w:eastAsia="Arial Narrow"/>
                <w:color w:val="auto"/>
                <w:spacing w:val="0"/>
                <w:position w:val="0"/>
                <w:sz w:val="24"/>
                <w:shd w:fill="auto" w:val="clear"/>
              </w:rPr>
              <w:t xml:space="preserve">&lt;0,3 ml/kg/h × 24 h o anuria 12 h </w:t>
            </w:r>
          </w:p>
        </w:tc>
      </w:tr>
    </w:tbl>
    <w:p>
      <w:pPr>
        <w:spacing w:before="0" w:after="0" w:line="240"/>
        <w:ind w:right="0" w:left="0" w:firstLine="0"/>
        <w:jc w:val="both"/>
        <w:rPr>
          <w:rFonts w:ascii="Arial Narrow" w:hAnsi="Arial Narrow" w:cs="Arial Narrow" w:eastAsia="Arial Narrow"/>
          <w:color w:val="auto"/>
          <w:spacing w:val="0"/>
          <w:position w:val="0"/>
          <w:sz w:val="24"/>
          <w:shd w:fill="auto" w:val="clear"/>
        </w:rPr>
      </w:pPr>
      <w:r>
        <w:rPr>
          <w:rFonts w:ascii="Arial Narrow" w:hAnsi="Arial Narrow" w:cs="Arial Narrow" w:eastAsia="Arial Narrow"/>
          <w:color w:val="auto"/>
          <w:spacing w:val="0"/>
          <w:position w:val="0"/>
          <w:sz w:val="24"/>
          <w:shd w:fill="auto" w:val="clear"/>
        </w:rPr>
        <w:t xml:space="preserve">Tomado de </w:t>
      </w:r>
      <w:hyperlink xmlns:r="http://schemas.openxmlformats.org/officeDocument/2006/relationships" r:id="docRId0">
        <w:r>
          <w:rPr>
            <w:rFonts w:ascii="Arial Narrow" w:hAnsi="Arial Narrow" w:cs="Arial Narrow" w:eastAsia="Arial Narrow"/>
            <w:color w:val="0000FF"/>
            <w:spacing w:val="0"/>
            <w:position w:val="0"/>
            <w:sz w:val="24"/>
            <w:u w:val="single"/>
            <w:shd w:fill="auto" w:val="clear"/>
          </w:rPr>
          <w:t xml:space="preserve">https://www.aeped.es/sites/default/files/documentos/22_dano_renal_agudo.pdf</w:t>
        </w:r>
      </w:hyperlink>
      <w:r>
        <w:rPr>
          <w:rFonts w:ascii="Arial Narrow" w:hAnsi="Arial Narrow" w:cs="Arial Narrow" w:eastAsia="Arial Narrow"/>
          <w:color w:val="auto"/>
          <w:spacing w:val="0"/>
          <w:position w:val="0"/>
          <w:sz w:val="24"/>
          <w:u w:val="single"/>
          <w:shd w:fill="auto" w:val="clear"/>
        </w:rPr>
        <w:t xml:space="preserve">. Integración de los criterios RIFLE, pRIFLE y AKIN en la guía KDIGO de DRA (ClCr: aclaramiento de creatinina; Cr: creatinina sérica; FGe: filtrado glomerular estimado; h: horas) (8).</w:t>
      </w:r>
    </w:p>
    <w:p>
      <w:pPr>
        <w:spacing w:before="0" w:after="0" w:line="240"/>
        <w:ind w:right="0" w:left="0" w:firstLine="0"/>
        <w:jc w:val="both"/>
        <w:rPr>
          <w:rFonts w:ascii="Arial Narrow" w:hAnsi="Arial Narrow" w:cs="Arial Narrow" w:eastAsia="Arial Narrow"/>
          <w:b/>
          <w:color w:val="auto"/>
          <w:spacing w:val="0"/>
          <w:position w:val="0"/>
          <w:sz w:val="24"/>
          <w:shd w:fill="auto" w:val="clear"/>
        </w:rPr>
      </w:pPr>
    </w:p>
    <w:p>
      <w:pPr>
        <w:spacing w:before="0" w:after="0" w:line="240"/>
        <w:ind w:right="0" w:left="0" w:firstLine="0"/>
        <w:jc w:val="left"/>
        <w:rPr>
          <w:rFonts w:ascii="Arial Narrow" w:hAnsi="Arial Narrow" w:cs="Arial Narrow" w:eastAsia="Arial Narrow"/>
          <w:color w:val="auto"/>
          <w:spacing w:val="0"/>
          <w:position w:val="0"/>
          <w:sz w:val="24"/>
          <w:shd w:fill="auto" w:val="clear"/>
        </w:rPr>
      </w:pPr>
      <w:r>
        <w:rPr>
          <w:rFonts w:ascii="Arial Narrow" w:hAnsi="Arial Narrow" w:cs="Arial Narrow" w:eastAsia="Arial Narrow"/>
          <w:b/>
          <w:color w:val="auto"/>
          <w:spacing w:val="0"/>
          <w:position w:val="0"/>
          <w:sz w:val="24"/>
          <w:shd w:fill="auto" w:val="clear"/>
        </w:rPr>
        <w:t xml:space="preserve">Anexo 2.</w:t>
      </w:r>
      <w:r>
        <w:rPr>
          <w:rFonts w:ascii="Arial Narrow" w:hAnsi="Arial Narrow" w:cs="Arial Narrow" w:eastAsia="Arial Narrow"/>
          <w:color w:val="auto"/>
          <w:spacing w:val="0"/>
          <w:position w:val="0"/>
          <w:sz w:val="24"/>
          <w:shd w:fill="auto" w:val="clear"/>
        </w:rPr>
        <w:t xml:space="preserve"> Cálculo del puntaje vasoactivo-inotrópico.</w:t>
      </w:r>
    </w:p>
    <w:p>
      <w:pPr>
        <w:spacing w:before="0" w:after="0" w:line="240"/>
        <w:ind w:right="0" w:left="0" w:firstLine="0"/>
        <w:jc w:val="left"/>
        <w:rPr>
          <w:rFonts w:ascii="Arial Narrow" w:hAnsi="Arial Narrow" w:cs="Arial Narrow" w:eastAsia="Arial Narrow"/>
          <w:color w:val="auto"/>
          <w:spacing w:val="0"/>
          <w:position w:val="0"/>
          <w:sz w:val="24"/>
          <w:shd w:fill="auto" w:val="clear"/>
        </w:rPr>
      </w:pPr>
    </w:p>
    <w:p>
      <w:pPr>
        <w:spacing w:before="0" w:after="0" w:line="240"/>
        <w:ind w:right="0" w:left="0" w:firstLine="0"/>
        <w:jc w:val="left"/>
        <w:rPr>
          <w:rFonts w:ascii="Arial Narrow" w:hAnsi="Arial Narrow" w:cs="Arial Narrow" w:eastAsia="Arial Narrow"/>
          <w:color w:val="auto"/>
          <w:spacing w:val="0"/>
          <w:position w:val="0"/>
          <w:sz w:val="24"/>
          <w:shd w:fill="auto" w:val="clear"/>
        </w:rPr>
      </w:pPr>
    </w:p>
    <w:p>
      <w:pPr>
        <w:spacing w:before="0" w:after="0" w:line="240"/>
        <w:ind w:right="0" w:left="0" w:firstLine="0"/>
        <w:jc w:val="left"/>
        <w:rPr>
          <w:rFonts w:ascii="Arial Narrow" w:hAnsi="Arial Narrow" w:cs="Arial Narrow" w:eastAsia="Arial Narrow"/>
          <w:color w:val="auto"/>
          <w:spacing w:val="0"/>
          <w:position w:val="0"/>
          <w:sz w:val="24"/>
          <w:shd w:fill="auto" w:val="clear"/>
        </w:rPr>
      </w:pPr>
    </w:p>
    <w:p>
      <w:pPr>
        <w:spacing w:before="0" w:after="0" w:line="240"/>
        <w:ind w:right="0" w:left="0" w:firstLine="0"/>
        <w:jc w:val="left"/>
        <w:rPr>
          <w:rFonts w:ascii="Arial Narrow" w:hAnsi="Arial Narrow" w:cs="Arial Narrow" w:eastAsia="Arial Narrow"/>
          <w:color w:val="auto"/>
          <w:spacing w:val="0"/>
          <w:position w:val="0"/>
          <w:sz w:val="24"/>
          <w:shd w:fill="auto" w:val="clear"/>
        </w:rPr>
      </w:pPr>
    </w:p>
    <w:p>
      <w:pPr>
        <w:spacing w:before="0" w:after="0" w:line="240"/>
        <w:ind w:right="0" w:left="0" w:firstLine="0"/>
        <w:jc w:val="left"/>
        <w:rPr>
          <w:rFonts w:ascii="Arial Narrow" w:hAnsi="Arial Narrow" w:cs="Arial Narrow" w:eastAsia="Arial Narrow"/>
          <w:color w:val="auto"/>
          <w:spacing w:val="0"/>
          <w:position w:val="0"/>
          <w:sz w:val="24"/>
          <w:shd w:fill="auto" w:val="clear"/>
        </w:rPr>
      </w:pPr>
    </w:p>
    <w:p>
      <w:pPr>
        <w:spacing w:before="0" w:after="0" w:line="240"/>
        <w:ind w:right="0" w:left="0" w:firstLine="0"/>
        <w:jc w:val="left"/>
        <w:rPr>
          <w:rFonts w:ascii="Arial Narrow" w:hAnsi="Arial Narrow" w:cs="Arial Narrow" w:eastAsia="Arial Narrow"/>
          <w:color w:val="auto"/>
          <w:spacing w:val="0"/>
          <w:position w:val="0"/>
          <w:sz w:val="24"/>
          <w:shd w:fill="auto" w:val="clear"/>
        </w:rPr>
      </w:pPr>
    </w:p>
    <w:p>
      <w:pPr>
        <w:spacing w:before="0" w:after="0" w:line="240"/>
        <w:ind w:right="0" w:left="0" w:firstLine="0"/>
        <w:jc w:val="left"/>
        <w:rPr>
          <w:rFonts w:ascii="Arial Narrow" w:hAnsi="Arial Narrow" w:cs="Arial Narrow" w:eastAsia="Arial Narrow"/>
          <w:color w:val="auto"/>
          <w:spacing w:val="0"/>
          <w:position w:val="0"/>
          <w:sz w:val="24"/>
          <w:shd w:fill="auto" w:val="clear"/>
        </w:rPr>
      </w:pPr>
    </w:p>
    <w:p>
      <w:pPr>
        <w:spacing w:before="0" w:after="0" w:line="240"/>
        <w:ind w:right="0" w:left="0" w:firstLine="0"/>
        <w:jc w:val="both"/>
        <w:rPr>
          <w:rFonts w:ascii="Arial Narrow" w:hAnsi="Arial Narrow" w:cs="Arial Narrow" w:eastAsia="Arial Narrow"/>
          <w:color w:val="auto"/>
          <w:spacing w:val="0"/>
          <w:position w:val="0"/>
          <w:sz w:val="24"/>
          <w:shd w:fill="auto" w:val="clear"/>
        </w:rPr>
      </w:pPr>
      <w:r>
        <w:rPr>
          <w:rFonts w:ascii="Arial Narrow" w:hAnsi="Arial Narrow" w:cs="Arial Narrow" w:eastAsia="Arial Narrow"/>
          <w:color w:val="auto"/>
          <w:spacing w:val="0"/>
          <w:position w:val="0"/>
          <w:sz w:val="24"/>
          <w:shd w:fill="auto" w:val="clear"/>
        </w:rPr>
        <w:t xml:space="preserve">Tomado de Davidson J, Tong S, Hancock H, Hauck A, et al. Prospective validation of the vasoactive inotropic score and correlation to short term outcomes in neonates and infants after cardiothoracic surgery. </w:t>
      </w:r>
      <w:r>
        <w:rPr>
          <w:rFonts w:ascii="Arial Narrow" w:hAnsi="Arial Narrow" w:cs="Arial Narrow" w:eastAsia="Arial Narrow"/>
          <w:i/>
          <w:color w:val="auto"/>
          <w:spacing w:val="0"/>
          <w:position w:val="0"/>
          <w:sz w:val="24"/>
          <w:shd w:fill="auto" w:val="clear"/>
        </w:rPr>
        <w:t xml:space="preserve">Intensive Care Med</w:t>
      </w:r>
      <w:r>
        <w:rPr>
          <w:rFonts w:ascii="Arial Narrow" w:hAnsi="Arial Narrow" w:cs="Arial Narrow" w:eastAsia="Arial Narrow"/>
          <w:color w:val="auto"/>
          <w:spacing w:val="0"/>
          <w:position w:val="0"/>
          <w:sz w:val="24"/>
          <w:shd w:fill="auto" w:val="clear"/>
        </w:rPr>
        <w:t xml:space="preserve">. 2012; 38:1184-1190. Favia I, Vitale V, Ricci Z. The vasoactive –inotropic score and levosimendán: time for LVIS? </w:t>
      </w:r>
      <w:r>
        <w:rPr>
          <w:rFonts w:ascii="Arial Narrow" w:hAnsi="Arial Narrow" w:cs="Arial Narrow" w:eastAsia="Arial Narrow"/>
          <w:i/>
          <w:color w:val="auto"/>
          <w:spacing w:val="0"/>
          <w:position w:val="0"/>
          <w:sz w:val="24"/>
          <w:shd w:fill="auto" w:val="clear"/>
        </w:rPr>
        <w:t xml:space="preserve">J Cardiothorac Vasc Anesth</w:t>
      </w:r>
      <w:r>
        <w:rPr>
          <w:rFonts w:ascii="Arial Narrow" w:hAnsi="Arial Narrow" w:cs="Arial Narrow" w:eastAsia="Arial Narrow"/>
          <w:color w:val="auto"/>
          <w:spacing w:val="0"/>
          <w:position w:val="0"/>
          <w:sz w:val="24"/>
          <w:shd w:fill="auto" w:val="clear"/>
        </w:rPr>
        <w:t xml:space="preserve">. 2013; 27(2):e15-6.</w:t>
      </w:r>
    </w:p>
    <w:p>
      <w:pPr>
        <w:spacing w:before="0" w:after="0" w:line="240"/>
        <w:ind w:right="0" w:left="0" w:firstLine="0"/>
        <w:jc w:val="both"/>
        <w:rPr>
          <w:rFonts w:ascii="Arial Narrow" w:hAnsi="Arial Narrow" w:cs="Arial Narrow" w:eastAsia="Arial Narrow"/>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Mode="External" Target="https://www.aeped.es/sites/default/files/documentos/22_dano_renal_agudo.pdf" Id="docRId0" Type="http://schemas.openxmlformats.org/officeDocument/2006/relationships/hyperlink"/><Relationship Target="numbering.xml" Id="docRId1" Type="http://schemas.openxmlformats.org/officeDocument/2006/relationships/numbering"/><Relationship Target="styles.xml" Id="docRId2" Type="http://schemas.openxmlformats.org/officeDocument/2006/relationships/styles"/></Relationships>
</file>