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66995" w14:textId="77777777" w:rsidR="00621189" w:rsidRPr="00621189" w:rsidRDefault="00621189" w:rsidP="00621189">
      <w:pPr>
        <w:spacing w:after="120"/>
        <w:rPr>
          <w:rFonts w:ascii="Times New Roman" w:eastAsia="Calibri" w:hAnsi="Times New Roman" w:cs="Times New Roman"/>
          <w:lang w:val="en-US"/>
        </w:rPr>
      </w:pPr>
      <w:r w:rsidRPr="00621189">
        <w:rPr>
          <w:rFonts w:ascii="Times New Roman" w:eastAsia="Calibri" w:hAnsi="Times New Roman" w:cs="Times New Roman"/>
          <w:b/>
          <w:bCs/>
          <w:lang w:val="en-US"/>
        </w:rPr>
        <w:t xml:space="preserve">Supplemental Table. Comparison across the US, China and Spain studies </w:t>
      </w:r>
    </w:p>
    <w:tbl>
      <w:tblPr>
        <w:tblW w:w="0" w:type="auto"/>
        <w:tblCellMar>
          <w:left w:w="0" w:type="dxa"/>
          <w:right w:w="0" w:type="dxa"/>
        </w:tblCellMar>
        <w:tblLook w:val="04A0" w:firstRow="1" w:lastRow="0" w:firstColumn="1" w:lastColumn="0" w:noHBand="0" w:noVBand="1"/>
      </w:tblPr>
      <w:tblGrid>
        <w:gridCol w:w="1728"/>
        <w:gridCol w:w="2340"/>
        <w:gridCol w:w="2520"/>
        <w:gridCol w:w="2713"/>
      </w:tblGrid>
      <w:tr w:rsidR="00621189" w:rsidRPr="00621189" w14:paraId="007CC5C9" w14:textId="77777777" w:rsidTr="005E414B">
        <w:trPr>
          <w:trHeight w:val="580"/>
        </w:trPr>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1D5F7B" w14:textId="77777777" w:rsidR="00621189" w:rsidRPr="00621189" w:rsidRDefault="00621189" w:rsidP="00621189">
            <w:pPr>
              <w:spacing w:after="0" w:line="240" w:lineRule="auto"/>
              <w:rPr>
                <w:rFonts w:ascii="Times New Roman" w:eastAsia="Calibri" w:hAnsi="Times New Roman" w:cs="Times New Roman"/>
                <w:sz w:val="20"/>
                <w:szCs w:val="20"/>
                <w:lang w:val="en-US"/>
              </w:rPr>
            </w:pPr>
            <w:r w:rsidRPr="00621189">
              <w:rPr>
                <w:rFonts w:ascii="Times New Roman" w:eastAsia="Calibri" w:hAnsi="Times New Roman" w:cs="Times New Roman"/>
                <w:b/>
                <w:bCs/>
                <w:sz w:val="20"/>
                <w:szCs w:val="20"/>
                <w:lang w:val="en-US"/>
              </w:rPr>
              <w:t>Paper title</w:t>
            </w:r>
          </w:p>
        </w:tc>
        <w:tc>
          <w:tcPr>
            <w:tcW w:w="234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33E4D02B" w14:textId="77777777" w:rsidR="00621189" w:rsidRPr="00621189" w:rsidRDefault="00621189" w:rsidP="00621189">
            <w:pPr>
              <w:spacing w:after="0" w:line="240" w:lineRule="auto"/>
              <w:rPr>
                <w:rFonts w:ascii="Times New Roman" w:eastAsia="Calibri" w:hAnsi="Times New Roman" w:cs="Times New Roman"/>
                <w:sz w:val="20"/>
                <w:szCs w:val="20"/>
                <w:lang w:val="en-US"/>
              </w:rPr>
            </w:pPr>
            <w:r w:rsidRPr="00621189">
              <w:rPr>
                <w:rFonts w:ascii="Times New Roman" w:eastAsia="Calibri" w:hAnsi="Times New Roman" w:cs="Times New Roman"/>
                <w:sz w:val="18"/>
                <w:szCs w:val="24"/>
                <w:lang w:val="en-US"/>
              </w:rPr>
              <w:t xml:space="preserve">Health Economic Evaluation of Patients Treated for Nosocomial Pneumonia Caused by Methicillin-resistant </w:t>
            </w:r>
            <w:r w:rsidRPr="00621189">
              <w:rPr>
                <w:rFonts w:ascii="Times New Roman" w:eastAsia="Calibri" w:hAnsi="Times New Roman" w:cs="Times New Roman"/>
                <w:i/>
                <w:sz w:val="18"/>
                <w:szCs w:val="24"/>
                <w:lang w:val="en-US"/>
              </w:rPr>
              <w:t>Staphylococcus aureus</w:t>
            </w:r>
            <w:r w:rsidRPr="00621189">
              <w:rPr>
                <w:rFonts w:ascii="Times New Roman" w:eastAsia="Calibri" w:hAnsi="Times New Roman" w:cs="Times New Roman"/>
                <w:sz w:val="18"/>
                <w:szCs w:val="24"/>
                <w:lang w:val="en-US"/>
              </w:rPr>
              <w:t xml:space="preserve">: Secondary Analysis of a Multicenter Randomized Clinical Trial of </w:t>
            </w:r>
            <w:proofErr w:type="spellStart"/>
            <w:r w:rsidRPr="00621189">
              <w:rPr>
                <w:rFonts w:ascii="Times New Roman" w:eastAsia="Calibri" w:hAnsi="Times New Roman" w:cs="Times New Roman"/>
                <w:sz w:val="18"/>
                <w:szCs w:val="24"/>
                <w:lang w:val="en-US"/>
              </w:rPr>
              <w:t>Vancomycin</w:t>
            </w:r>
            <w:proofErr w:type="spellEnd"/>
            <w:r w:rsidRPr="00621189">
              <w:rPr>
                <w:rFonts w:ascii="Times New Roman" w:eastAsia="Calibri" w:hAnsi="Times New Roman" w:cs="Times New Roman"/>
                <w:sz w:val="18"/>
                <w:szCs w:val="24"/>
                <w:lang w:val="en-US"/>
              </w:rPr>
              <w:t xml:space="preserve"> and Linezolid </w:t>
            </w:r>
            <w:r w:rsidRPr="00621189">
              <w:rPr>
                <w:rFonts w:ascii="Times New Roman" w:eastAsia="Calibri" w:hAnsi="Times New Roman" w:cs="Times New Roman"/>
                <w:i/>
                <w:sz w:val="16"/>
                <w:szCs w:val="16"/>
                <w:lang w:val="en-US"/>
              </w:rPr>
              <w:t>(</w:t>
            </w:r>
            <w:proofErr w:type="spellStart"/>
            <w:r w:rsidRPr="00621189">
              <w:rPr>
                <w:rFonts w:ascii="Times New Roman" w:eastAsia="Calibri" w:hAnsi="Times New Roman" w:cs="Times New Roman"/>
                <w:i/>
                <w:sz w:val="16"/>
                <w:szCs w:val="16"/>
                <w:lang w:val="en-US"/>
              </w:rPr>
              <w:t>Niederman</w:t>
            </w:r>
            <w:proofErr w:type="spellEnd"/>
            <w:r w:rsidRPr="00621189">
              <w:rPr>
                <w:rFonts w:ascii="Times New Roman" w:eastAsia="Calibri" w:hAnsi="Times New Roman" w:cs="Times New Roman"/>
                <w:i/>
                <w:sz w:val="16"/>
                <w:szCs w:val="16"/>
                <w:lang w:val="en-US"/>
              </w:rPr>
              <w:t xml:space="preserve"> et al, Clinical therapeutics, 2014)</w:t>
            </w:r>
            <w:r w:rsidRPr="00621189">
              <w:rPr>
                <w:rFonts w:ascii="Times New Roman" w:eastAsia="Calibri" w:hAnsi="Times New Roman" w:cs="Times New Roman"/>
                <w:bCs/>
                <w:i/>
                <w:sz w:val="16"/>
                <w:szCs w:val="16"/>
                <w:vertAlign w:val="superscript"/>
                <w:lang w:val="en-US"/>
              </w:rPr>
              <w:t>14</w:t>
            </w:r>
          </w:p>
        </w:tc>
        <w:tc>
          <w:tcPr>
            <w:tcW w:w="252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6C12DD55" w14:textId="77777777" w:rsidR="00621189" w:rsidRPr="00621189" w:rsidRDefault="00621189" w:rsidP="00621189">
            <w:pPr>
              <w:spacing w:after="0" w:line="240" w:lineRule="auto"/>
              <w:rPr>
                <w:rFonts w:ascii="Times New Roman" w:eastAsia="Calibri" w:hAnsi="Times New Roman" w:cs="Times New Roman"/>
                <w:sz w:val="18"/>
                <w:szCs w:val="24"/>
                <w:lang w:val="en-US"/>
              </w:rPr>
            </w:pPr>
            <w:r w:rsidRPr="00621189">
              <w:rPr>
                <w:rFonts w:ascii="Times New Roman" w:eastAsia="Calibri" w:hAnsi="Times New Roman" w:cs="Times New Roman"/>
                <w:sz w:val="18"/>
                <w:szCs w:val="24"/>
                <w:lang w:val="en-US"/>
              </w:rPr>
              <w:t>Economic evaluation among Chinese patients with</w:t>
            </w:r>
          </w:p>
          <w:p w14:paraId="2AC1EC4F" w14:textId="77777777" w:rsidR="00621189" w:rsidRPr="00621189" w:rsidRDefault="00621189" w:rsidP="00621189">
            <w:pPr>
              <w:spacing w:after="0" w:line="240" w:lineRule="auto"/>
              <w:rPr>
                <w:rFonts w:ascii="Times New Roman" w:eastAsia="Calibri" w:hAnsi="Times New Roman" w:cs="Times New Roman"/>
                <w:sz w:val="18"/>
                <w:szCs w:val="24"/>
                <w:lang w:val="en-US"/>
              </w:rPr>
            </w:pPr>
            <w:r w:rsidRPr="00621189">
              <w:rPr>
                <w:rFonts w:ascii="Times New Roman" w:eastAsia="Calibri" w:hAnsi="Times New Roman" w:cs="Times New Roman"/>
                <w:sz w:val="18"/>
                <w:szCs w:val="24"/>
                <w:lang w:val="en-US"/>
              </w:rPr>
              <w:t>nosocomial pneumonia caused by methicillin resistant</w:t>
            </w:r>
          </w:p>
          <w:p w14:paraId="6C9351DD" w14:textId="77777777" w:rsidR="00621189" w:rsidRPr="00621189" w:rsidRDefault="00621189" w:rsidP="00621189">
            <w:pPr>
              <w:spacing w:after="0" w:line="240" w:lineRule="auto"/>
              <w:rPr>
                <w:rFonts w:ascii="Times New Roman" w:eastAsia="Calibri" w:hAnsi="Times New Roman" w:cs="Times New Roman"/>
                <w:sz w:val="18"/>
                <w:szCs w:val="24"/>
                <w:lang w:val="en-US"/>
              </w:rPr>
            </w:pPr>
            <w:r w:rsidRPr="00621189">
              <w:rPr>
                <w:rFonts w:ascii="Times New Roman" w:eastAsia="Calibri" w:hAnsi="Times New Roman" w:cs="Times New Roman"/>
                <w:i/>
                <w:sz w:val="18"/>
                <w:szCs w:val="24"/>
                <w:lang w:val="en-US"/>
              </w:rPr>
              <w:t>staphylococcus aureus</w:t>
            </w:r>
            <w:r w:rsidRPr="00621189">
              <w:rPr>
                <w:rFonts w:ascii="Times New Roman" w:eastAsia="Calibri" w:hAnsi="Times New Roman" w:cs="Times New Roman"/>
                <w:sz w:val="18"/>
                <w:szCs w:val="24"/>
                <w:lang w:val="en-US"/>
              </w:rPr>
              <w:t xml:space="preserve"> and treated with linezolid or </w:t>
            </w:r>
            <w:proofErr w:type="spellStart"/>
            <w:r w:rsidRPr="00621189">
              <w:rPr>
                <w:rFonts w:ascii="Times New Roman" w:eastAsia="Calibri" w:hAnsi="Times New Roman" w:cs="Times New Roman"/>
                <w:sz w:val="18"/>
                <w:szCs w:val="24"/>
                <w:lang w:val="en-US"/>
              </w:rPr>
              <w:t>vancomycin</w:t>
            </w:r>
            <w:proofErr w:type="spellEnd"/>
            <w:r w:rsidRPr="00621189">
              <w:rPr>
                <w:rFonts w:ascii="Times New Roman" w:eastAsia="Calibri" w:hAnsi="Times New Roman" w:cs="Times New Roman"/>
                <w:sz w:val="18"/>
                <w:szCs w:val="24"/>
                <w:lang w:val="en-US"/>
              </w:rPr>
              <w:t>: a secondary, post-hoc analysis based on a Phase 4 clinical trial study</w:t>
            </w:r>
          </w:p>
          <w:p w14:paraId="6AB869D8"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r w:rsidRPr="00621189">
              <w:rPr>
                <w:rFonts w:ascii="Times New Roman" w:eastAsia="Calibri" w:hAnsi="Times New Roman" w:cs="Times New Roman"/>
                <w:i/>
                <w:sz w:val="16"/>
                <w:szCs w:val="24"/>
              </w:rPr>
              <w:t>(Wan et al, JME, 2015)</w:t>
            </w:r>
            <w:r w:rsidRPr="00621189">
              <w:rPr>
                <w:rFonts w:ascii="Times New Roman" w:eastAsia="Calibri" w:hAnsi="Times New Roman" w:cs="Times New Roman"/>
                <w:i/>
                <w:sz w:val="16"/>
                <w:szCs w:val="24"/>
                <w:vertAlign w:val="superscript"/>
              </w:rPr>
              <w:t>25</w:t>
            </w:r>
          </w:p>
        </w:tc>
        <w:tc>
          <w:tcPr>
            <w:tcW w:w="2713"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3FC1664D" w14:textId="77777777" w:rsidR="00621189" w:rsidRPr="00621189" w:rsidRDefault="00621189" w:rsidP="00621189">
            <w:pPr>
              <w:spacing w:after="0" w:line="240" w:lineRule="auto"/>
              <w:rPr>
                <w:rFonts w:ascii="Times New Roman" w:eastAsia="Calibri" w:hAnsi="Times New Roman" w:cs="Times New Roman"/>
                <w:sz w:val="28"/>
                <w:szCs w:val="24"/>
                <w:lang w:val="en-US"/>
              </w:rPr>
            </w:pPr>
            <w:r w:rsidRPr="00621189">
              <w:rPr>
                <w:rFonts w:ascii="Times New Roman" w:eastAsia="Calibri" w:hAnsi="Times New Roman" w:cs="Times New Roman"/>
                <w:sz w:val="18"/>
                <w:szCs w:val="24"/>
                <w:lang w:val="en-US"/>
              </w:rPr>
              <w:t xml:space="preserve">Nosocomial Pneumonia Caused by Methicillin-resistant </w:t>
            </w:r>
            <w:r w:rsidRPr="00621189">
              <w:rPr>
                <w:rFonts w:ascii="Times New Roman" w:eastAsia="Calibri" w:hAnsi="Times New Roman" w:cs="Times New Roman"/>
                <w:i/>
                <w:sz w:val="18"/>
                <w:szCs w:val="24"/>
                <w:lang w:val="en-US"/>
              </w:rPr>
              <w:t>Staphylococcus aureus</w:t>
            </w:r>
            <w:r w:rsidRPr="00621189">
              <w:rPr>
                <w:rFonts w:ascii="Times New Roman" w:eastAsia="Calibri" w:hAnsi="Times New Roman" w:cs="Times New Roman"/>
                <w:sz w:val="18"/>
                <w:szCs w:val="24"/>
                <w:lang w:val="en-US"/>
              </w:rPr>
              <w:t xml:space="preserve"> Treated with Linezolid or </w:t>
            </w:r>
            <w:proofErr w:type="spellStart"/>
            <w:r w:rsidRPr="00621189">
              <w:rPr>
                <w:rFonts w:ascii="Times New Roman" w:eastAsia="Calibri" w:hAnsi="Times New Roman" w:cs="Times New Roman"/>
                <w:sz w:val="18"/>
                <w:szCs w:val="24"/>
                <w:lang w:val="en-US"/>
              </w:rPr>
              <w:t>Vancomycin</w:t>
            </w:r>
            <w:proofErr w:type="spellEnd"/>
            <w:r w:rsidRPr="00621189">
              <w:rPr>
                <w:rFonts w:ascii="Times New Roman" w:eastAsia="Calibri" w:hAnsi="Times New Roman" w:cs="Times New Roman"/>
                <w:sz w:val="18"/>
                <w:szCs w:val="24"/>
                <w:lang w:val="en-US"/>
              </w:rPr>
              <w:t xml:space="preserve">: a Secondary Economic Analysis of Resource Use from a Spanish Perspective </w:t>
            </w:r>
          </w:p>
          <w:p w14:paraId="797E61D9" w14:textId="77777777" w:rsidR="00621189" w:rsidRPr="00621189" w:rsidRDefault="00621189" w:rsidP="00621189">
            <w:pPr>
              <w:spacing w:after="0" w:line="240" w:lineRule="auto"/>
              <w:rPr>
                <w:rFonts w:ascii="Times New Roman" w:eastAsia="Calibri" w:hAnsi="Times New Roman" w:cs="Times New Roman"/>
                <w:sz w:val="20"/>
                <w:szCs w:val="20"/>
                <w:lang w:val="en-US"/>
              </w:rPr>
            </w:pPr>
            <w:r w:rsidRPr="00621189">
              <w:rPr>
                <w:rFonts w:ascii="Times New Roman" w:eastAsia="Calibri" w:hAnsi="Times New Roman" w:cs="Times New Roman"/>
                <w:i/>
                <w:sz w:val="16"/>
                <w:szCs w:val="24"/>
              </w:rPr>
              <w:t>(Rello et al, 2015)</w:t>
            </w:r>
            <w:r w:rsidRPr="00621189">
              <w:rPr>
                <w:rFonts w:ascii="Times New Roman" w:eastAsia="Calibri" w:hAnsi="Times New Roman" w:cs="Times New Roman"/>
                <w:sz w:val="18"/>
                <w:szCs w:val="20"/>
                <w:lang w:val="en-US"/>
              </w:rPr>
              <w:t xml:space="preserve"> </w:t>
            </w:r>
          </w:p>
        </w:tc>
      </w:tr>
      <w:tr w:rsidR="00621189" w:rsidRPr="00621189" w14:paraId="2D27654D"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DBC5E8D"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r w:rsidRPr="00621189">
              <w:rPr>
                <w:rFonts w:ascii="Times New Roman" w:eastAsia="Calibri" w:hAnsi="Times New Roman" w:cs="Times New Roman"/>
                <w:b/>
                <w:bCs/>
                <w:sz w:val="20"/>
                <w:szCs w:val="20"/>
                <w:lang w:val="en-US"/>
              </w:rPr>
              <w:t xml:space="preserve">Perspective </w:t>
            </w:r>
          </w:p>
        </w:tc>
        <w:tc>
          <w:tcPr>
            <w:tcW w:w="2340"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4E841958"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18"/>
                <w:lang w:val="en-US"/>
              </w:rPr>
              <w:t>United States</w:t>
            </w:r>
          </w:p>
        </w:tc>
        <w:tc>
          <w:tcPr>
            <w:tcW w:w="2520"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CCD2D45" w14:textId="77777777" w:rsidR="00621189" w:rsidRPr="00621189" w:rsidRDefault="00621189" w:rsidP="00621189">
            <w:pPr>
              <w:spacing w:after="0" w:line="240" w:lineRule="auto"/>
              <w:rPr>
                <w:rFonts w:ascii="Times New Roman" w:eastAsia="Calibri" w:hAnsi="Times New Roman" w:cs="Times New Roman"/>
                <w:sz w:val="18"/>
                <w:szCs w:val="18"/>
                <w:lang w:val="en-US"/>
              </w:rPr>
            </w:pPr>
            <w:r w:rsidRPr="00621189">
              <w:rPr>
                <w:rFonts w:ascii="Times New Roman" w:eastAsia="Calibri" w:hAnsi="Times New Roman" w:cs="Times New Roman"/>
                <w:sz w:val="18"/>
                <w:szCs w:val="18"/>
                <w:lang w:val="en-US"/>
              </w:rPr>
              <w:t>China</w:t>
            </w:r>
          </w:p>
        </w:tc>
        <w:tc>
          <w:tcPr>
            <w:tcW w:w="2713"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264E83EA" w14:textId="77777777" w:rsidR="00621189" w:rsidRPr="00621189" w:rsidRDefault="00621189" w:rsidP="00621189">
            <w:pPr>
              <w:spacing w:after="0" w:line="240" w:lineRule="auto"/>
              <w:rPr>
                <w:rFonts w:ascii="Times New Roman" w:eastAsia="Calibri" w:hAnsi="Times New Roman" w:cs="Times New Roman"/>
                <w:sz w:val="18"/>
                <w:szCs w:val="18"/>
                <w:lang w:val="en-US"/>
              </w:rPr>
            </w:pPr>
            <w:r w:rsidRPr="00621189">
              <w:rPr>
                <w:rFonts w:ascii="Times New Roman" w:eastAsia="Calibri" w:hAnsi="Times New Roman" w:cs="Times New Roman"/>
                <w:sz w:val="18"/>
                <w:szCs w:val="18"/>
                <w:lang w:val="en-US"/>
              </w:rPr>
              <w:t>Spain</w:t>
            </w:r>
          </w:p>
        </w:tc>
      </w:tr>
      <w:tr w:rsidR="00621189" w:rsidRPr="001821D5" w14:paraId="4899D36A"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6604C7"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r w:rsidRPr="00621189">
              <w:rPr>
                <w:rFonts w:ascii="Times New Roman" w:eastAsia="Calibri" w:hAnsi="Times New Roman" w:cs="Times New Roman"/>
                <w:b/>
                <w:bCs/>
                <w:sz w:val="20"/>
                <w:szCs w:val="20"/>
                <w:lang w:val="en-US"/>
              </w:rPr>
              <w:t xml:space="preserve">Healthcare system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D21CE8"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Multiple payers (commercial and government payers coexist)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ABEF95"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Decentralization  from central government to provincial and local authorities </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131859"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Government as the single payer (universal coverage)</w:t>
            </w:r>
          </w:p>
        </w:tc>
      </w:tr>
      <w:tr w:rsidR="00621189" w:rsidRPr="001821D5" w14:paraId="3D99D0A8"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50757B"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r w:rsidRPr="00621189">
              <w:rPr>
                <w:rFonts w:ascii="Times New Roman" w:eastAsia="Calibri" w:hAnsi="Times New Roman" w:cs="Times New Roman"/>
                <w:b/>
                <w:bCs/>
                <w:sz w:val="20"/>
                <w:szCs w:val="20"/>
                <w:lang w:val="en-US"/>
              </w:rPr>
              <w:t xml:space="preserve">Objectives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B7BFB5"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To compare the HCRU, costs of treatment, and cost-effectiveness of linezolid compared with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in the treatment of MRSA NP using </w:t>
            </w:r>
            <w:proofErr w:type="spellStart"/>
            <w:r w:rsidRPr="00621189">
              <w:rPr>
                <w:rFonts w:ascii="Times New Roman" w:eastAsia="Calibri" w:hAnsi="Times New Roman" w:cs="Times New Roman"/>
                <w:sz w:val="18"/>
                <w:szCs w:val="20"/>
                <w:lang w:val="en-US"/>
              </w:rPr>
              <w:t>ZEPHyR</w:t>
            </w:r>
            <w:proofErr w:type="spellEnd"/>
            <w:r w:rsidRPr="00621189">
              <w:rPr>
                <w:rFonts w:ascii="Times New Roman" w:eastAsia="Calibri" w:hAnsi="Times New Roman" w:cs="Times New Roman"/>
                <w:sz w:val="18"/>
                <w:szCs w:val="20"/>
                <w:lang w:val="en-US"/>
              </w:rPr>
              <w:t xml:space="preserve"> clinical trial data.</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425C4B"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To assess cost-effectiveness of linezolid vs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in treating MRSANP in Chi</w:t>
            </w:r>
            <w:bookmarkStart w:id="0" w:name="_GoBack"/>
            <w:bookmarkEnd w:id="0"/>
            <w:r w:rsidRPr="00621189">
              <w:rPr>
                <w:rFonts w:ascii="Times New Roman" w:eastAsia="Calibri" w:hAnsi="Times New Roman" w:cs="Times New Roman"/>
                <w:sz w:val="18"/>
                <w:szCs w:val="20"/>
                <w:lang w:val="en-US"/>
              </w:rPr>
              <w:t>na and the impact of renal failure on HCRU and costs.</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DB8568" w14:textId="77777777" w:rsidR="00621189" w:rsidRPr="00621189" w:rsidRDefault="00621189" w:rsidP="00621189">
            <w:pPr>
              <w:autoSpaceDE w:val="0"/>
              <w:autoSpaceDN w:val="0"/>
              <w:adjustRightInd w:val="0"/>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By adapting a unique Spanish perspective, this study aims to assess the HCRU and costs for treating MRSA NP in hospitalized adults using linezolid or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This study also evaluated renal failure rate and the related economic outcomes between study groups.</w:t>
            </w:r>
          </w:p>
        </w:tc>
      </w:tr>
      <w:tr w:rsidR="00621189" w:rsidRPr="001821D5" w14:paraId="7C322927"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E689C2"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proofErr w:type="spellStart"/>
            <w:r w:rsidRPr="00621189">
              <w:rPr>
                <w:rFonts w:ascii="Times New Roman" w:eastAsia="Calibri" w:hAnsi="Times New Roman" w:cs="Times New Roman"/>
                <w:b/>
                <w:bCs/>
                <w:sz w:val="20"/>
                <w:szCs w:val="20"/>
                <w:lang w:val="en-US"/>
              </w:rPr>
              <w:t>Methods</w:t>
            </w:r>
            <w:r w:rsidRPr="00621189">
              <w:rPr>
                <w:rFonts w:ascii="Times New Roman" w:eastAsia="Calibri" w:hAnsi="Times New Roman" w:cs="Times New Roman"/>
                <w:b/>
                <w:bCs/>
                <w:sz w:val="20"/>
                <w:szCs w:val="20"/>
                <w:vertAlign w:val="superscript"/>
                <w:lang w:val="en-US"/>
              </w:rPr>
              <w:t>a</w:t>
            </w:r>
            <w:proofErr w:type="spellEnd"/>
            <w:r w:rsidRPr="00621189">
              <w:rPr>
                <w:rFonts w:ascii="Times New Roman" w:eastAsia="Calibri" w:hAnsi="Times New Roman" w:cs="Times New Roman"/>
                <w:b/>
                <w:bCs/>
                <w:sz w:val="20"/>
                <w:szCs w:val="20"/>
                <w:lang w:val="en-US"/>
              </w:rPr>
              <w:t xml:space="preserve">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3FB151"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Costs were calculated by multiplying observed HCRU by unit costs for each type of use. </w:t>
            </w:r>
          </w:p>
          <w:p w14:paraId="2182421A"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Unit costs were from a US payer’s perspective and obtained from literature and First Data Bank (for drugs).</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2E9279"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The cost analyses were performed for 4 selected large cities in China, which are economically and geographically diverse, representing the North, South, East, and West of China.  </w:t>
            </w:r>
          </w:p>
          <w:p w14:paraId="1EB5FA2F"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The unit costs were obtained from physician interviews (expert opinions).</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4BA8D4"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Healthcare costs were calculated by multiplying observed HCRU (MV, bed-day by type, drug and dialysis) by their own unit costs, respectively. </w:t>
            </w:r>
          </w:p>
          <w:p w14:paraId="5F9898FE"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The drug unit costs were obtained from </w:t>
            </w:r>
            <w:proofErr w:type="spellStart"/>
            <w:r w:rsidRPr="00621189">
              <w:rPr>
                <w:rFonts w:ascii="Times New Roman" w:eastAsia="Calibri" w:hAnsi="Times New Roman" w:cs="Times New Roman"/>
                <w:sz w:val="18"/>
                <w:szCs w:val="20"/>
                <w:lang w:val="en-US"/>
              </w:rPr>
              <w:t>Botplus-Portalfarma</w:t>
            </w:r>
            <w:proofErr w:type="spellEnd"/>
            <w:r w:rsidRPr="00621189">
              <w:rPr>
                <w:rFonts w:ascii="Times New Roman" w:eastAsia="Calibri" w:hAnsi="Times New Roman" w:cs="Times New Roman"/>
                <w:sz w:val="18"/>
                <w:szCs w:val="20"/>
                <w:lang w:val="en-US"/>
              </w:rPr>
              <w:t xml:space="preserve"> and other medical service unit costs were obtained from </w:t>
            </w:r>
            <w:proofErr w:type="spellStart"/>
            <w:r w:rsidRPr="00621189">
              <w:rPr>
                <w:rFonts w:ascii="Times New Roman" w:eastAsia="Calibri" w:hAnsi="Times New Roman" w:cs="Times New Roman"/>
                <w:sz w:val="18"/>
                <w:szCs w:val="20"/>
                <w:lang w:val="en-US"/>
              </w:rPr>
              <w:t>Oblikue</w:t>
            </w:r>
            <w:proofErr w:type="spellEnd"/>
            <w:r w:rsidRPr="00621189">
              <w:rPr>
                <w:rFonts w:ascii="Times New Roman" w:eastAsia="Calibri" w:hAnsi="Times New Roman" w:cs="Times New Roman"/>
                <w:sz w:val="18"/>
                <w:szCs w:val="20"/>
                <w:lang w:val="en-US"/>
              </w:rPr>
              <w:t xml:space="preserve"> database, respectively.</w:t>
            </w:r>
          </w:p>
        </w:tc>
      </w:tr>
      <w:tr w:rsidR="00621189" w:rsidRPr="00621189" w14:paraId="4B15670F"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B61B80D" w14:textId="77777777" w:rsidR="00621189" w:rsidRPr="00621189" w:rsidRDefault="00621189" w:rsidP="00621189">
            <w:pPr>
              <w:spacing w:after="0" w:line="240" w:lineRule="auto"/>
              <w:rPr>
                <w:rFonts w:ascii="Times New Roman" w:eastAsia="Calibri" w:hAnsi="Times New Roman" w:cs="Times New Roman"/>
                <w:b/>
                <w:bCs/>
                <w:sz w:val="20"/>
                <w:szCs w:val="20"/>
                <w:lang w:val="en-US"/>
              </w:rPr>
            </w:pPr>
            <w:proofErr w:type="spellStart"/>
            <w:r w:rsidRPr="00621189">
              <w:rPr>
                <w:rFonts w:ascii="Times New Roman" w:eastAsia="Calibri" w:hAnsi="Times New Roman" w:cs="Times New Roman"/>
                <w:b/>
                <w:bCs/>
                <w:sz w:val="20"/>
                <w:szCs w:val="20"/>
                <w:lang w:val="en-US"/>
              </w:rPr>
              <w:t>Results</w:t>
            </w:r>
            <w:r w:rsidRPr="00621189">
              <w:rPr>
                <w:rFonts w:ascii="Times New Roman" w:eastAsia="Calibri" w:hAnsi="Times New Roman" w:cs="Times New Roman"/>
                <w:b/>
                <w:bCs/>
                <w:sz w:val="20"/>
                <w:szCs w:val="20"/>
                <w:vertAlign w:val="superscript"/>
                <w:lang w:val="en-US"/>
              </w:rPr>
              <w:t>d</w:t>
            </w:r>
            <w:proofErr w:type="spellEnd"/>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DEA05D" w14:textId="77777777" w:rsidR="00621189" w:rsidRPr="00621189" w:rsidRDefault="00621189" w:rsidP="00621189">
            <w:pPr>
              <w:spacing w:after="0" w:line="240" w:lineRule="auto"/>
              <w:rPr>
                <w:rFonts w:ascii="Times New Roman" w:eastAsia="Calibri" w:hAnsi="Times New Roman" w:cs="Times New Roman"/>
                <w:sz w:val="18"/>
                <w:szCs w:val="20"/>
                <w:lang w:val="en-US"/>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BB013B" w14:textId="77777777" w:rsidR="00621189" w:rsidRPr="00621189" w:rsidRDefault="00621189" w:rsidP="00621189">
            <w:pPr>
              <w:spacing w:after="0" w:line="240" w:lineRule="auto"/>
              <w:rPr>
                <w:rFonts w:ascii="Times New Roman" w:eastAsia="Calibri" w:hAnsi="Times New Roman" w:cs="Times New Roman"/>
                <w:sz w:val="18"/>
                <w:szCs w:val="20"/>
                <w:lang w:val="en-US"/>
              </w:rPr>
            </w:pP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2AE810" w14:textId="77777777" w:rsidR="00621189" w:rsidRPr="00621189" w:rsidRDefault="00621189" w:rsidP="00621189">
            <w:pPr>
              <w:spacing w:after="0" w:line="240" w:lineRule="auto"/>
              <w:rPr>
                <w:rFonts w:ascii="Times New Roman" w:eastAsia="Calibri" w:hAnsi="Times New Roman" w:cs="Times New Roman"/>
                <w:sz w:val="18"/>
                <w:szCs w:val="20"/>
                <w:lang w:val="en-US"/>
              </w:rPr>
            </w:pPr>
          </w:p>
        </w:tc>
      </w:tr>
      <w:tr w:rsidR="00621189" w:rsidRPr="001821D5" w14:paraId="44A77E4F" w14:textId="77777777" w:rsidTr="005E414B">
        <w:trPr>
          <w:trHeight w:val="286"/>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1F7B9A" w14:textId="77777777" w:rsidR="00621189" w:rsidRPr="00621189" w:rsidRDefault="00621189" w:rsidP="00621189">
            <w:pPr>
              <w:spacing w:after="0" w:line="240" w:lineRule="auto"/>
              <w:ind w:left="270"/>
              <w:rPr>
                <w:rFonts w:ascii="Times New Roman" w:eastAsia="Calibri" w:hAnsi="Times New Roman" w:cs="Times New Roman"/>
                <w:sz w:val="16"/>
                <w:szCs w:val="20"/>
                <w:lang w:val="en-US"/>
              </w:rPr>
            </w:pPr>
            <w:r w:rsidRPr="00621189">
              <w:rPr>
                <w:rFonts w:ascii="Times New Roman" w:eastAsia="Calibri" w:hAnsi="Times New Roman" w:cs="Times New Roman"/>
                <w:bCs/>
                <w:sz w:val="16"/>
                <w:szCs w:val="20"/>
                <w:lang w:val="en-US"/>
              </w:rPr>
              <w:t>Comparing costs between treatments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D56B8E"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No significant difference in the costs between patients treated with linezolid and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($45,004 vs. $44,897, P = 0.96)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8C11A9"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No significant difference in the costs between patients treated with linezolid and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w:t>
            </w:r>
            <w:proofErr w:type="spellStart"/>
            <w:r w:rsidRPr="00621189">
              <w:rPr>
                <w:rFonts w:ascii="Times New Roman" w:eastAsia="Calibri" w:hAnsi="Times New Roman" w:cs="Times New Roman"/>
                <w:sz w:val="18"/>
                <w:szCs w:val="20"/>
                <w:lang w:val="en-US"/>
              </w:rPr>
              <w:t>Nanjing</w:t>
            </w:r>
            <w:r w:rsidRPr="00621189">
              <w:rPr>
                <w:rFonts w:ascii="Times New Roman" w:eastAsia="Calibri" w:hAnsi="Times New Roman" w:cs="Times New Roman"/>
                <w:sz w:val="18"/>
                <w:szCs w:val="20"/>
                <w:vertAlign w:val="superscript"/>
                <w:lang w:val="en-US"/>
              </w:rPr>
              <w:t>b</w:t>
            </w:r>
            <w:proofErr w:type="spellEnd"/>
            <w:r w:rsidRPr="00621189">
              <w:rPr>
                <w:rFonts w:ascii="Times New Roman" w:eastAsia="Calibri" w:hAnsi="Times New Roman" w:cs="Times New Roman"/>
                <w:sz w:val="18"/>
                <w:szCs w:val="20"/>
                <w:lang w:val="en-US"/>
              </w:rPr>
              <w:t>: ¥82,383 vs. ¥80,799, P = 0.70)</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8E4986"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No significant difference in the costs between patients treated with linezolid and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(€17,782 vs.€17,423, P = 0.51)</w:t>
            </w:r>
          </w:p>
        </w:tc>
      </w:tr>
      <w:tr w:rsidR="00621189" w:rsidRPr="00621189" w14:paraId="682335A9" w14:textId="77777777" w:rsidTr="005E414B">
        <w:trPr>
          <w:trHeight w:val="280"/>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A5745D" w14:textId="77777777" w:rsidR="00621189" w:rsidRPr="00621189" w:rsidRDefault="00621189" w:rsidP="00621189">
            <w:pPr>
              <w:spacing w:after="0" w:line="240" w:lineRule="auto"/>
              <w:ind w:left="270"/>
              <w:rPr>
                <w:rFonts w:ascii="Times New Roman" w:eastAsia="Calibri" w:hAnsi="Times New Roman" w:cs="Times New Roman"/>
                <w:sz w:val="16"/>
                <w:szCs w:val="20"/>
                <w:lang w:val="en-US"/>
              </w:rPr>
            </w:pPr>
            <w:r w:rsidRPr="00621189">
              <w:rPr>
                <w:rFonts w:ascii="Times New Roman" w:eastAsia="Calibri" w:hAnsi="Times New Roman" w:cs="Times New Roman"/>
                <w:bCs/>
                <w:sz w:val="16"/>
                <w:szCs w:val="20"/>
                <w:lang w:val="en-US"/>
              </w:rPr>
              <w:t>Comparing costs between those who developed renal failure vs. those who did not</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6E018E"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Patients who developed renal failure had higher cost than those who did not ($52,257 vs. $44,176, P = 0.046)</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3E8265"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Patients who developed renal failure had higher cost than those who did not (Nanjing:</w:t>
            </w:r>
            <w:r w:rsidRPr="00621189">
              <w:rPr>
                <w:rFonts w:ascii="Times New Roman" w:eastAsia="Calibri" w:hAnsi="Times New Roman" w:cs="Times New Roman"/>
                <w:sz w:val="18"/>
                <w:lang w:val="en-US"/>
              </w:rPr>
              <w:t xml:space="preserve"> </w:t>
            </w:r>
            <w:r w:rsidRPr="00621189">
              <w:rPr>
                <w:rFonts w:ascii="Times New Roman" w:eastAsia="Calibri" w:hAnsi="Times New Roman" w:cs="Times New Roman"/>
                <w:sz w:val="18"/>
                <w:szCs w:val="20"/>
                <w:lang w:val="en-US"/>
              </w:rPr>
              <w:t>¥100,449 vs. ¥74,944, P = 0.002)</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1D466A"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Patients who developed renal failure had higher cost than those who did not (€19,626 vs. €17,388, P = 0.14), however, the difference was not significant. </w:t>
            </w:r>
          </w:p>
        </w:tc>
      </w:tr>
      <w:tr w:rsidR="00621189" w:rsidRPr="001821D5" w14:paraId="3C178AE2" w14:textId="77777777" w:rsidTr="005E414B">
        <w:trPr>
          <w:trHeight w:val="280"/>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CE76A1" w14:textId="77777777" w:rsidR="00621189" w:rsidRPr="00621189" w:rsidRDefault="00621189" w:rsidP="00621189">
            <w:pPr>
              <w:spacing w:after="0" w:line="240" w:lineRule="auto"/>
              <w:ind w:left="270"/>
              <w:rPr>
                <w:rFonts w:ascii="Times New Roman" w:eastAsia="Calibri" w:hAnsi="Times New Roman" w:cs="Times New Roman"/>
                <w:bCs/>
                <w:sz w:val="16"/>
                <w:szCs w:val="20"/>
                <w:lang w:val="en-US"/>
              </w:rPr>
            </w:pPr>
            <w:r w:rsidRPr="00621189">
              <w:rPr>
                <w:rFonts w:ascii="Times New Roman" w:eastAsia="Calibri" w:hAnsi="Times New Roman" w:cs="Times New Roman"/>
                <w:bCs/>
                <w:sz w:val="16"/>
                <w:szCs w:val="20"/>
                <w:lang w:val="en-US"/>
              </w:rPr>
              <w:t xml:space="preserve">Cost-effectiveness ratio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A9B6FB"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$16,516</w:t>
            </w:r>
            <w:r w:rsidRPr="00621189">
              <w:rPr>
                <w:rFonts w:ascii="Times New Roman" w:eastAsia="Calibri" w:hAnsi="Times New Roman" w:cs="Times New Roman"/>
                <w:sz w:val="18"/>
                <w:szCs w:val="20"/>
                <w:vertAlign w:val="superscript"/>
                <w:lang w:val="en-US"/>
              </w:rPr>
              <w:t>c</w:t>
            </w:r>
            <w:r w:rsidRPr="00621189">
              <w:rPr>
                <w:rFonts w:ascii="Times New Roman" w:eastAsia="Calibri" w:hAnsi="Times New Roman" w:cs="Times New Roman"/>
                <w:sz w:val="18"/>
                <w:szCs w:val="20"/>
                <w:lang w:val="en-US"/>
              </w:rPr>
              <w:t xml:space="preserve"> (95% CI: -$68,620 to $164,478)</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DDB9BD"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Nanjing: ¥15,904 (95% CI: -¥161,935 to ¥314,987)</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2B598F"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The cost-effectiveness ratio maybe higher in Spain than the US or China studies since the incremental cost between treatments was the highest in Spain and the incremental success rate remains the same across the three studies.  </w:t>
            </w:r>
          </w:p>
        </w:tc>
      </w:tr>
      <w:tr w:rsidR="00621189" w:rsidRPr="001821D5" w14:paraId="4D33AE1C" w14:textId="77777777" w:rsidTr="005E414B">
        <w:trPr>
          <w:trHeight w:val="291"/>
        </w:trPr>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E37C1F6" w14:textId="77777777" w:rsidR="00621189" w:rsidRPr="00621189" w:rsidRDefault="00621189" w:rsidP="00621189">
            <w:pPr>
              <w:spacing w:after="0" w:line="240" w:lineRule="auto"/>
              <w:rPr>
                <w:rFonts w:ascii="Times New Roman" w:eastAsia="Calibri" w:hAnsi="Times New Roman" w:cs="Times New Roman"/>
                <w:sz w:val="20"/>
                <w:szCs w:val="20"/>
                <w:lang w:val="en-US"/>
              </w:rPr>
            </w:pPr>
            <w:r w:rsidRPr="00621189">
              <w:rPr>
                <w:rFonts w:ascii="Times New Roman" w:eastAsia="Calibri" w:hAnsi="Times New Roman" w:cs="Times New Roman"/>
                <w:b/>
                <w:bCs/>
                <w:sz w:val="20"/>
                <w:szCs w:val="20"/>
                <w:lang w:val="en-US"/>
              </w:rPr>
              <w:t>Major Findings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18ED9B"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Patients treated with linezolid and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had similar overall costs. Fewer patients developed renal failure during the study while taking linezolid compared with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and patients with a renal failure had increased HCRU </w:t>
            </w:r>
            <w:r w:rsidRPr="00621189">
              <w:rPr>
                <w:rFonts w:ascii="Times New Roman" w:eastAsia="Calibri" w:hAnsi="Times New Roman" w:cs="Times New Roman"/>
                <w:sz w:val="18"/>
                <w:szCs w:val="20"/>
                <w:lang w:val="en-US"/>
              </w:rPr>
              <w:lastRenderedPageBreak/>
              <w:t xml:space="preserve">and costs. </w:t>
            </w:r>
          </w:p>
          <w:p w14:paraId="13603B3D"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Linezolid may be a cost-effective treatment strategy in MRSA-NP.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CD443C"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lastRenderedPageBreak/>
              <w:t xml:space="preserve">Linezolid was more cost-effective than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in treating MRSA-NP from a Chinese payer’s perspective. </w:t>
            </w:r>
          </w:p>
          <w:p w14:paraId="76BFB106"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Linezolid was associated with a significantly lower rate of renal failure than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w:t>
            </w:r>
          </w:p>
        </w:tc>
        <w:tc>
          <w:tcPr>
            <w:tcW w:w="271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F71D81" w14:textId="77777777" w:rsidR="00621189" w:rsidRPr="00621189" w:rsidRDefault="00621189" w:rsidP="00621189">
            <w:pPr>
              <w:spacing w:after="0" w:line="240" w:lineRule="auto"/>
              <w:rPr>
                <w:rFonts w:ascii="Times New Roman" w:eastAsia="Calibri" w:hAnsi="Times New Roman" w:cs="Times New Roman"/>
                <w:sz w:val="18"/>
                <w:szCs w:val="20"/>
                <w:lang w:val="en-US"/>
              </w:rPr>
            </w:pPr>
            <w:r w:rsidRPr="00621189">
              <w:rPr>
                <w:rFonts w:ascii="Times New Roman" w:eastAsia="Calibri" w:hAnsi="Times New Roman" w:cs="Times New Roman"/>
                <w:sz w:val="18"/>
                <w:szCs w:val="20"/>
                <w:lang w:val="en-US"/>
              </w:rPr>
              <w:t xml:space="preserve">From a Spanish perspective, there were no statistically significant differences in total costs between linezolid and </w:t>
            </w:r>
            <w:proofErr w:type="spellStart"/>
            <w:r w:rsidRPr="00621189">
              <w:rPr>
                <w:rFonts w:ascii="Times New Roman" w:eastAsia="Calibri" w:hAnsi="Times New Roman" w:cs="Times New Roman"/>
                <w:sz w:val="18"/>
                <w:szCs w:val="20"/>
                <w:lang w:val="en-US"/>
              </w:rPr>
              <w:t>vancomycin</w:t>
            </w:r>
            <w:proofErr w:type="spellEnd"/>
            <w:r w:rsidRPr="00621189">
              <w:rPr>
                <w:rFonts w:ascii="Times New Roman" w:eastAsia="Calibri" w:hAnsi="Times New Roman" w:cs="Times New Roman"/>
                <w:sz w:val="18"/>
                <w:szCs w:val="20"/>
                <w:lang w:val="en-US"/>
              </w:rPr>
              <w:t xml:space="preserve"> cohorts. Linezolid’s drug cost was partially offset by fewer renal failure events.</w:t>
            </w:r>
          </w:p>
        </w:tc>
      </w:tr>
    </w:tbl>
    <w:p w14:paraId="52AB569E" w14:textId="77777777" w:rsidR="00621189" w:rsidRPr="00621189" w:rsidRDefault="00621189" w:rsidP="00621189">
      <w:pPr>
        <w:spacing w:after="0" w:line="240" w:lineRule="auto"/>
        <w:rPr>
          <w:rFonts w:ascii="Times New Roman" w:eastAsia="Calibri" w:hAnsi="Times New Roman" w:cs="Times New Roman"/>
          <w:sz w:val="16"/>
          <w:szCs w:val="16"/>
          <w:lang w:val="en-US"/>
        </w:rPr>
      </w:pPr>
      <w:proofErr w:type="gramStart"/>
      <w:r w:rsidRPr="00621189">
        <w:rPr>
          <w:rFonts w:ascii="Times New Roman" w:eastAsia="Calibri" w:hAnsi="Times New Roman" w:cs="Times New Roman"/>
          <w:sz w:val="16"/>
          <w:szCs w:val="16"/>
          <w:vertAlign w:val="superscript"/>
          <w:lang w:val="en-US"/>
        </w:rPr>
        <w:lastRenderedPageBreak/>
        <w:t>a</w:t>
      </w:r>
      <w:proofErr w:type="gramEnd"/>
      <w:r w:rsidRPr="00621189">
        <w:rPr>
          <w:rFonts w:ascii="Times New Roman" w:eastAsia="Calibri" w:hAnsi="Times New Roman" w:cs="Times New Roman"/>
          <w:sz w:val="16"/>
          <w:szCs w:val="16"/>
          <w:vertAlign w:val="superscript"/>
          <w:lang w:val="en-US"/>
        </w:rPr>
        <w:t xml:space="preserve"> </w:t>
      </w:r>
      <w:r w:rsidRPr="00621189">
        <w:rPr>
          <w:rFonts w:ascii="Times New Roman" w:eastAsia="Calibri" w:hAnsi="Times New Roman" w:cs="Times New Roman"/>
          <w:sz w:val="16"/>
          <w:szCs w:val="16"/>
          <w:lang w:val="en-US"/>
        </w:rPr>
        <w:t xml:space="preserve">The China study reported the cost data for 4 major cities in China and the city of Nanjing was selected in this table because the unit cost for Nanjing was in the middle among the 4 cities. </w:t>
      </w:r>
    </w:p>
    <w:p w14:paraId="1226BB33" w14:textId="77777777" w:rsidR="00621189" w:rsidRPr="00621189" w:rsidRDefault="00621189" w:rsidP="00621189">
      <w:pPr>
        <w:spacing w:after="0" w:line="240" w:lineRule="auto"/>
        <w:rPr>
          <w:rFonts w:ascii="Times New Roman" w:eastAsia="Calibri" w:hAnsi="Times New Roman" w:cs="Times New Roman"/>
          <w:sz w:val="16"/>
          <w:szCs w:val="16"/>
          <w:lang w:val="en-US"/>
        </w:rPr>
      </w:pPr>
      <w:proofErr w:type="spellStart"/>
      <w:proofErr w:type="gramStart"/>
      <w:r w:rsidRPr="00621189">
        <w:rPr>
          <w:rFonts w:ascii="Times New Roman" w:eastAsia="Calibri" w:hAnsi="Times New Roman" w:cs="Times New Roman"/>
          <w:sz w:val="16"/>
          <w:szCs w:val="16"/>
          <w:vertAlign w:val="superscript"/>
          <w:lang w:val="en-US"/>
        </w:rPr>
        <w:t>b</w:t>
      </w:r>
      <w:r w:rsidRPr="00621189">
        <w:rPr>
          <w:rFonts w:ascii="Times New Roman" w:eastAsia="Calibri" w:hAnsi="Times New Roman" w:cs="Times New Roman"/>
          <w:sz w:val="16"/>
          <w:szCs w:val="16"/>
          <w:lang w:val="en-US"/>
        </w:rPr>
        <w:t>More</w:t>
      </w:r>
      <w:proofErr w:type="spellEnd"/>
      <w:proofErr w:type="gramEnd"/>
      <w:r w:rsidRPr="00621189">
        <w:rPr>
          <w:rFonts w:ascii="Times New Roman" w:eastAsia="Calibri" w:hAnsi="Times New Roman" w:cs="Times New Roman"/>
          <w:sz w:val="16"/>
          <w:szCs w:val="16"/>
          <w:lang w:val="en-US"/>
        </w:rPr>
        <w:t xml:space="preserve"> details about the methods (including outcomes, statistical analyses and cost-effectiveness technique) and unit cost values can be found in the published US and China studies.</w:t>
      </w:r>
      <w:r w:rsidRPr="00621189">
        <w:rPr>
          <w:rFonts w:ascii="Times New Roman" w:eastAsia="Calibri" w:hAnsi="Times New Roman" w:cs="Times New Roman"/>
          <w:sz w:val="16"/>
          <w:szCs w:val="16"/>
          <w:vertAlign w:val="superscript"/>
          <w:lang w:val="en-US"/>
        </w:rPr>
        <w:t>14,25</w:t>
      </w:r>
    </w:p>
    <w:p w14:paraId="72E85829" w14:textId="77777777" w:rsidR="00621189" w:rsidRPr="00621189" w:rsidRDefault="00621189" w:rsidP="00621189">
      <w:pPr>
        <w:spacing w:after="0" w:line="240" w:lineRule="auto"/>
        <w:rPr>
          <w:rFonts w:ascii="Times New Roman" w:eastAsia="Calibri" w:hAnsi="Times New Roman" w:cs="Times New Roman"/>
          <w:sz w:val="16"/>
          <w:szCs w:val="16"/>
          <w:lang w:val="en-US"/>
        </w:rPr>
      </w:pPr>
      <w:proofErr w:type="spellStart"/>
      <w:proofErr w:type="gramStart"/>
      <w:r w:rsidRPr="00621189">
        <w:rPr>
          <w:rFonts w:ascii="Times New Roman" w:eastAsia="Calibri" w:hAnsi="Times New Roman" w:cs="Times New Roman"/>
          <w:sz w:val="16"/>
          <w:szCs w:val="16"/>
          <w:vertAlign w:val="superscript"/>
          <w:lang w:val="en-US"/>
        </w:rPr>
        <w:t>c</w:t>
      </w:r>
      <w:r w:rsidRPr="00621189">
        <w:rPr>
          <w:rFonts w:ascii="Times New Roman" w:eastAsia="Calibri" w:hAnsi="Times New Roman" w:cs="Times New Roman"/>
          <w:sz w:val="16"/>
          <w:szCs w:val="16"/>
          <w:lang w:val="en-US"/>
        </w:rPr>
        <w:t>The</w:t>
      </w:r>
      <w:proofErr w:type="spellEnd"/>
      <w:proofErr w:type="gramEnd"/>
      <w:r w:rsidRPr="00621189">
        <w:rPr>
          <w:rFonts w:ascii="Times New Roman" w:eastAsia="Calibri" w:hAnsi="Times New Roman" w:cs="Times New Roman"/>
          <w:sz w:val="16"/>
          <w:szCs w:val="16"/>
          <w:lang w:val="en-US"/>
        </w:rPr>
        <w:t xml:space="preserve"> median estimate of cost-effectiveness ratio was provided. </w:t>
      </w:r>
    </w:p>
    <w:p w14:paraId="568B056B" w14:textId="77777777" w:rsidR="00621189" w:rsidRPr="00621189" w:rsidRDefault="00621189" w:rsidP="00621189">
      <w:pPr>
        <w:spacing w:after="0" w:line="240" w:lineRule="auto"/>
        <w:rPr>
          <w:rFonts w:ascii="Times New Roman" w:eastAsia="Calibri" w:hAnsi="Times New Roman" w:cs="Times New Roman"/>
          <w:sz w:val="16"/>
          <w:szCs w:val="16"/>
          <w:lang w:val="en-US"/>
        </w:rPr>
      </w:pPr>
      <w:proofErr w:type="spellStart"/>
      <w:proofErr w:type="gramStart"/>
      <w:r w:rsidRPr="00621189">
        <w:rPr>
          <w:rFonts w:ascii="Times New Roman" w:eastAsia="Calibri" w:hAnsi="Times New Roman" w:cs="Times New Roman"/>
          <w:sz w:val="16"/>
          <w:szCs w:val="16"/>
          <w:vertAlign w:val="superscript"/>
          <w:lang w:val="en-US"/>
        </w:rPr>
        <w:t>d</w:t>
      </w:r>
      <w:r w:rsidRPr="00621189">
        <w:rPr>
          <w:rFonts w:ascii="Times New Roman" w:eastAsia="Calibri" w:hAnsi="Times New Roman" w:cs="Times New Roman"/>
          <w:sz w:val="16"/>
          <w:szCs w:val="16"/>
          <w:lang w:val="en-US"/>
        </w:rPr>
        <w:t>The</w:t>
      </w:r>
      <w:proofErr w:type="spellEnd"/>
      <w:proofErr w:type="gramEnd"/>
      <w:r w:rsidRPr="00621189">
        <w:rPr>
          <w:rFonts w:ascii="Times New Roman" w:eastAsia="Calibri" w:hAnsi="Times New Roman" w:cs="Times New Roman"/>
          <w:sz w:val="16"/>
          <w:szCs w:val="16"/>
          <w:lang w:val="en-US"/>
        </w:rPr>
        <w:t xml:space="preserve"> cost data in the US ($) and China (¥) studies were converted to equivalent cost in euros (</w:t>
      </w:r>
      <w:r w:rsidRPr="00621189">
        <w:rPr>
          <w:rFonts w:ascii="Calibri" w:eastAsia="Calibri" w:hAnsi="Calibri" w:cs="Times New Roman"/>
          <w:sz w:val="16"/>
          <w:szCs w:val="16"/>
          <w:lang w:val="en-US"/>
        </w:rPr>
        <w:t>€</w:t>
      </w:r>
      <w:r w:rsidRPr="00621189">
        <w:rPr>
          <w:rFonts w:ascii="Times New Roman" w:eastAsia="Calibri" w:hAnsi="Times New Roman" w:cs="Times New Roman"/>
          <w:sz w:val="16"/>
          <w:szCs w:val="16"/>
          <w:lang w:val="en-US"/>
        </w:rPr>
        <w:t xml:space="preserve">). The cost data in US study were inflated to the same year (year 2012) as the Chinese and the Spanish studies (Consumer Price Index for Medical care items: </w:t>
      </w:r>
      <w:hyperlink r:id="rId8" w:history="1">
        <w:r w:rsidRPr="00621189">
          <w:rPr>
            <w:rFonts w:ascii="Times New Roman" w:eastAsia="Calibri" w:hAnsi="Times New Roman" w:cs="Times New Roman"/>
            <w:color w:val="0000FF"/>
            <w:sz w:val="16"/>
            <w:szCs w:val="16"/>
            <w:u w:val="single"/>
            <w:lang w:val="en-US"/>
          </w:rPr>
          <w:t>http://data.bls.gov/cgi-bin/surveymost</w:t>
        </w:r>
      </w:hyperlink>
      <w:r w:rsidRPr="00621189">
        <w:rPr>
          <w:rFonts w:ascii="Times New Roman" w:eastAsia="Calibri" w:hAnsi="Times New Roman" w:cs="Times New Roman"/>
          <w:sz w:val="16"/>
          <w:szCs w:val="16"/>
          <w:lang w:val="en-US"/>
        </w:rPr>
        <w:t>, accessed on Dec 8, 2015) and then converted to equivalent euros. The currency conversion rates ($1 = €0.92, ¥1 = €0.14) were obtained from Google – Finance (</w:t>
      </w:r>
      <w:hyperlink r:id="rId9" w:history="1">
        <w:r w:rsidRPr="00621189">
          <w:rPr>
            <w:rFonts w:ascii="Times New Roman" w:eastAsia="Calibri" w:hAnsi="Times New Roman" w:cs="Times New Roman"/>
            <w:color w:val="0000FF"/>
            <w:sz w:val="16"/>
            <w:szCs w:val="16"/>
            <w:u w:val="single"/>
            <w:lang w:val="en-US"/>
          </w:rPr>
          <w:t>https://www.google.com/finance/converter?a=1&amp;from=EUR&amp;to=USD</w:t>
        </w:r>
      </w:hyperlink>
      <w:r w:rsidRPr="00621189">
        <w:rPr>
          <w:rFonts w:ascii="Times New Roman" w:eastAsia="Calibri" w:hAnsi="Times New Roman" w:cs="Times New Roman"/>
          <w:sz w:val="16"/>
          <w:szCs w:val="16"/>
          <w:lang w:val="en-US"/>
        </w:rPr>
        <w:t xml:space="preserve">, accessed on Dec 8, 2015): </w:t>
      </w:r>
    </w:p>
    <w:p w14:paraId="2E5BC2B2" w14:textId="77777777" w:rsidR="00621189" w:rsidRPr="00621189" w:rsidRDefault="00621189" w:rsidP="00621189">
      <w:pPr>
        <w:numPr>
          <w:ilvl w:val="0"/>
          <w:numId w:val="27"/>
        </w:numPr>
        <w:spacing w:after="0" w:line="240" w:lineRule="auto"/>
        <w:ind w:left="360" w:hanging="180"/>
        <w:rPr>
          <w:rFonts w:ascii="Times New Roman" w:eastAsia="Calibri" w:hAnsi="Times New Roman" w:cs="Times New Roman"/>
          <w:sz w:val="16"/>
          <w:szCs w:val="16"/>
          <w:lang w:val="en-US"/>
        </w:rPr>
      </w:pPr>
      <w:r w:rsidRPr="00621189">
        <w:rPr>
          <w:rFonts w:ascii="Times New Roman" w:eastAsia="Calibri" w:hAnsi="Times New Roman" w:cs="Times New Roman"/>
          <w:sz w:val="16"/>
          <w:szCs w:val="16"/>
          <w:lang w:val="en-US"/>
        </w:rPr>
        <w:t xml:space="preserve">Costs for linezolid vs. </w:t>
      </w:r>
      <w:proofErr w:type="spellStart"/>
      <w:r w:rsidRPr="00621189">
        <w:rPr>
          <w:rFonts w:ascii="Times New Roman" w:eastAsia="Calibri" w:hAnsi="Times New Roman" w:cs="Times New Roman"/>
          <w:sz w:val="16"/>
          <w:szCs w:val="16"/>
          <w:lang w:val="en-US"/>
        </w:rPr>
        <w:t>vancomycin</w:t>
      </w:r>
      <w:proofErr w:type="spellEnd"/>
      <w:r w:rsidRPr="00621189">
        <w:rPr>
          <w:rFonts w:ascii="Times New Roman" w:eastAsia="Calibri" w:hAnsi="Times New Roman" w:cs="Times New Roman"/>
          <w:sz w:val="16"/>
          <w:szCs w:val="16"/>
          <w:lang w:val="en-US"/>
        </w:rPr>
        <w:t xml:space="preserve"> converted to euro: US €42,921 vs. €42,819, P = 0.96; China €11,534 vs. €11,312, P = 0.70; Spain €17,782 vs. €17,423, P = 0.51. </w:t>
      </w:r>
    </w:p>
    <w:p w14:paraId="114904ED" w14:textId="77777777" w:rsidR="00621189" w:rsidRPr="00621189" w:rsidRDefault="00621189" w:rsidP="00621189">
      <w:pPr>
        <w:numPr>
          <w:ilvl w:val="0"/>
          <w:numId w:val="27"/>
        </w:numPr>
        <w:spacing w:after="0" w:line="240" w:lineRule="auto"/>
        <w:ind w:left="360" w:hanging="180"/>
        <w:rPr>
          <w:rFonts w:ascii="Times New Roman" w:eastAsia="Calibri" w:hAnsi="Times New Roman" w:cs="Times New Roman"/>
          <w:sz w:val="16"/>
          <w:szCs w:val="16"/>
          <w:lang w:val="en-US"/>
        </w:rPr>
      </w:pPr>
      <w:r w:rsidRPr="00621189">
        <w:rPr>
          <w:rFonts w:ascii="Times New Roman" w:eastAsia="Calibri" w:hAnsi="Times New Roman" w:cs="Times New Roman"/>
          <w:sz w:val="16"/>
          <w:szCs w:val="16"/>
          <w:lang w:val="en-US"/>
        </w:rPr>
        <w:t>Costs for patients who developed renal failure vs. those who did not converted to euro: US €49,838 vs. €42,131, P = 0.046; China €14,063 vs. €10,492, P = 0.002; Spain: €19,626 vs. €17,388, P = 0.14.</w:t>
      </w:r>
    </w:p>
    <w:p w14:paraId="394EBEE8" w14:textId="77777777" w:rsidR="00621189" w:rsidRPr="00621189" w:rsidRDefault="00621189" w:rsidP="00621189">
      <w:pPr>
        <w:numPr>
          <w:ilvl w:val="0"/>
          <w:numId w:val="27"/>
        </w:numPr>
        <w:spacing w:after="0" w:line="240" w:lineRule="auto"/>
        <w:ind w:left="360" w:hanging="180"/>
        <w:rPr>
          <w:rFonts w:ascii="Times New Roman" w:eastAsia="Calibri" w:hAnsi="Times New Roman" w:cs="Times New Roman"/>
          <w:sz w:val="16"/>
          <w:szCs w:val="16"/>
          <w:lang w:val="en-US"/>
        </w:rPr>
      </w:pPr>
      <w:r w:rsidRPr="00621189">
        <w:rPr>
          <w:rFonts w:ascii="Times New Roman" w:eastAsia="Calibri" w:hAnsi="Times New Roman" w:cs="Times New Roman"/>
          <w:sz w:val="16"/>
          <w:szCs w:val="16"/>
          <w:lang w:val="en-US"/>
        </w:rPr>
        <w:t>Cost-effectiveness ratio converted to euro:  US €15,751 (95% CI: -€65,444 to €156,864); China €2,227 (95% CI: -€22,671 to €44,098)</w:t>
      </w:r>
    </w:p>
    <w:p w14:paraId="1CFE96B6" w14:textId="77777777" w:rsidR="00621189" w:rsidRPr="00621189" w:rsidRDefault="00621189" w:rsidP="00621189">
      <w:pPr>
        <w:spacing w:after="0"/>
        <w:rPr>
          <w:rFonts w:ascii="Times New Roman" w:eastAsia="Calibri" w:hAnsi="Times New Roman" w:cs="Times New Roman"/>
          <w:sz w:val="24"/>
          <w:szCs w:val="24"/>
          <w:lang w:val="en-US"/>
        </w:rPr>
      </w:pPr>
    </w:p>
    <w:p w14:paraId="6DE88215" w14:textId="77777777" w:rsidR="00621189" w:rsidRPr="00621189" w:rsidRDefault="00621189" w:rsidP="00621189">
      <w:pPr>
        <w:rPr>
          <w:rFonts w:ascii="Calibri" w:eastAsia="Calibri" w:hAnsi="Calibri" w:cs="Times New Roman"/>
          <w:lang w:val="en-US"/>
        </w:rPr>
      </w:pPr>
    </w:p>
    <w:p w14:paraId="0BD341CA" w14:textId="77777777" w:rsidR="00A26820" w:rsidRPr="00621189" w:rsidRDefault="00A26820">
      <w:pPr>
        <w:rPr>
          <w:lang w:val="en-US"/>
        </w:rPr>
      </w:pPr>
    </w:p>
    <w:sectPr w:rsidR="00A26820" w:rsidRPr="00621189" w:rsidSect="00351C8F">
      <w:footerReference w:type="default" r:id="rId10"/>
      <w:pgSz w:w="11907" w:h="16839" w:code="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4FA73" w14:textId="77777777" w:rsidR="007D448F" w:rsidRDefault="007D448F">
      <w:pPr>
        <w:spacing w:after="0" w:line="240" w:lineRule="auto"/>
      </w:pPr>
      <w:r>
        <w:separator/>
      </w:r>
    </w:p>
  </w:endnote>
  <w:endnote w:type="continuationSeparator" w:id="0">
    <w:p w14:paraId="76F56705" w14:textId="77777777" w:rsidR="007D448F" w:rsidRDefault="007D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018A2" w14:textId="77777777" w:rsidR="00435DF3" w:rsidRPr="000D6B9C" w:rsidRDefault="00621189" w:rsidP="007F6F56">
    <w:pPr>
      <w:pStyle w:val="Footer"/>
      <w:jc w:val="right"/>
      <w:rPr>
        <w:rFonts w:ascii="Times New Roman" w:hAnsi="Times New Roman"/>
        <w:sz w:val="24"/>
      </w:rPr>
    </w:pPr>
    <w:r w:rsidRPr="000D6B9C">
      <w:rPr>
        <w:rFonts w:ascii="Times New Roman" w:hAnsi="Times New Roman"/>
        <w:sz w:val="24"/>
      </w:rPr>
      <w:fldChar w:fldCharType="begin"/>
    </w:r>
    <w:r w:rsidRPr="000D6B9C">
      <w:rPr>
        <w:rFonts w:ascii="Times New Roman" w:hAnsi="Times New Roman"/>
        <w:sz w:val="24"/>
      </w:rPr>
      <w:instrText xml:space="preserve"> PAGE   \* MERGEFORMAT </w:instrText>
    </w:r>
    <w:r w:rsidRPr="000D6B9C">
      <w:rPr>
        <w:rFonts w:ascii="Times New Roman" w:hAnsi="Times New Roman"/>
        <w:sz w:val="24"/>
      </w:rPr>
      <w:fldChar w:fldCharType="separate"/>
    </w:r>
    <w:r w:rsidR="00CC2021">
      <w:rPr>
        <w:rFonts w:ascii="Times New Roman" w:hAnsi="Times New Roman"/>
        <w:noProof/>
        <w:sz w:val="24"/>
      </w:rPr>
      <w:t>1</w:t>
    </w:r>
    <w:r w:rsidRPr="000D6B9C">
      <w:rPr>
        <w:rFonts w:ascii="Times New Roman" w:hAnsi="Times New Roman"/>
        <w:noProof/>
        <w:sz w:val="24"/>
      </w:rPr>
      <w:fldChar w:fldCharType="end"/>
    </w:r>
  </w:p>
  <w:p w14:paraId="640DF5B0" w14:textId="77777777" w:rsidR="00435DF3" w:rsidRDefault="00CC2021" w:rsidP="007F6F56">
    <w:pPr>
      <w:pStyle w:val="Footer"/>
      <w:jc w:val="right"/>
    </w:pPr>
  </w:p>
  <w:p w14:paraId="06973DED" w14:textId="77777777" w:rsidR="00435DF3" w:rsidRDefault="00CC202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F940F" w14:textId="77777777" w:rsidR="007D448F" w:rsidRDefault="007D448F">
      <w:pPr>
        <w:spacing w:after="0" w:line="240" w:lineRule="auto"/>
      </w:pPr>
      <w:r>
        <w:separator/>
      </w:r>
    </w:p>
  </w:footnote>
  <w:footnote w:type="continuationSeparator" w:id="0">
    <w:p w14:paraId="5EBEB53B" w14:textId="77777777" w:rsidR="007D448F" w:rsidRDefault="007D448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E60"/>
    <w:multiLevelType w:val="hybridMultilevel"/>
    <w:tmpl w:val="CD723BE2"/>
    <w:lvl w:ilvl="0" w:tplc="A73085D0">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3359F"/>
    <w:multiLevelType w:val="hybridMultilevel"/>
    <w:tmpl w:val="9272C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D109A"/>
    <w:multiLevelType w:val="hybridMultilevel"/>
    <w:tmpl w:val="3800C7CE"/>
    <w:lvl w:ilvl="0" w:tplc="F77281C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DB101C"/>
    <w:multiLevelType w:val="hybridMultilevel"/>
    <w:tmpl w:val="733E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DF754A"/>
    <w:multiLevelType w:val="hybridMultilevel"/>
    <w:tmpl w:val="B07290FA"/>
    <w:lvl w:ilvl="0" w:tplc="F77281C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8721AF"/>
    <w:multiLevelType w:val="hybridMultilevel"/>
    <w:tmpl w:val="D674D990"/>
    <w:lvl w:ilvl="0" w:tplc="EB001DD2">
      <w:start w:val="1"/>
      <w:numFmt w:val="bullet"/>
      <w:lvlText w:val=""/>
      <w:lvlJc w:val="left"/>
      <w:pPr>
        <w:tabs>
          <w:tab w:val="num" w:pos="720"/>
        </w:tabs>
        <w:ind w:left="720" w:hanging="360"/>
      </w:pPr>
      <w:rPr>
        <w:rFonts w:ascii="Symbol" w:hAnsi="Symbol" w:hint="default"/>
      </w:rPr>
    </w:lvl>
    <w:lvl w:ilvl="1" w:tplc="73726672">
      <w:start w:val="1"/>
      <w:numFmt w:val="bullet"/>
      <w:lvlText w:val=""/>
      <w:lvlJc w:val="left"/>
      <w:pPr>
        <w:tabs>
          <w:tab w:val="num" w:pos="1440"/>
        </w:tabs>
        <w:ind w:left="1440" w:hanging="360"/>
      </w:pPr>
      <w:rPr>
        <w:rFonts w:ascii="Symbol" w:hAnsi="Symbol" w:hint="default"/>
      </w:rPr>
    </w:lvl>
    <w:lvl w:ilvl="2" w:tplc="B950B234" w:tentative="1">
      <w:start w:val="1"/>
      <w:numFmt w:val="bullet"/>
      <w:lvlText w:val=""/>
      <w:lvlJc w:val="left"/>
      <w:pPr>
        <w:tabs>
          <w:tab w:val="num" w:pos="2160"/>
        </w:tabs>
        <w:ind w:left="2160" w:hanging="360"/>
      </w:pPr>
      <w:rPr>
        <w:rFonts w:ascii="Symbol" w:hAnsi="Symbol" w:hint="default"/>
      </w:rPr>
    </w:lvl>
    <w:lvl w:ilvl="3" w:tplc="E7CC2EE6" w:tentative="1">
      <w:start w:val="1"/>
      <w:numFmt w:val="bullet"/>
      <w:lvlText w:val=""/>
      <w:lvlJc w:val="left"/>
      <w:pPr>
        <w:tabs>
          <w:tab w:val="num" w:pos="2880"/>
        </w:tabs>
        <w:ind w:left="2880" w:hanging="360"/>
      </w:pPr>
      <w:rPr>
        <w:rFonts w:ascii="Symbol" w:hAnsi="Symbol" w:hint="default"/>
      </w:rPr>
    </w:lvl>
    <w:lvl w:ilvl="4" w:tplc="BC8E18B8" w:tentative="1">
      <w:start w:val="1"/>
      <w:numFmt w:val="bullet"/>
      <w:lvlText w:val=""/>
      <w:lvlJc w:val="left"/>
      <w:pPr>
        <w:tabs>
          <w:tab w:val="num" w:pos="3600"/>
        </w:tabs>
        <w:ind w:left="3600" w:hanging="360"/>
      </w:pPr>
      <w:rPr>
        <w:rFonts w:ascii="Symbol" w:hAnsi="Symbol" w:hint="default"/>
      </w:rPr>
    </w:lvl>
    <w:lvl w:ilvl="5" w:tplc="92EAAA7A" w:tentative="1">
      <w:start w:val="1"/>
      <w:numFmt w:val="bullet"/>
      <w:lvlText w:val=""/>
      <w:lvlJc w:val="left"/>
      <w:pPr>
        <w:tabs>
          <w:tab w:val="num" w:pos="4320"/>
        </w:tabs>
        <w:ind w:left="4320" w:hanging="360"/>
      </w:pPr>
      <w:rPr>
        <w:rFonts w:ascii="Symbol" w:hAnsi="Symbol" w:hint="default"/>
      </w:rPr>
    </w:lvl>
    <w:lvl w:ilvl="6" w:tplc="91FCF2CA" w:tentative="1">
      <w:start w:val="1"/>
      <w:numFmt w:val="bullet"/>
      <w:lvlText w:val=""/>
      <w:lvlJc w:val="left"/>
      <w:pPr>
        <w:tabs>
          <w:tab w:val="num" w:pos="5040"/>
        </w:tabs>
        <w:ind w:left="5040" w:hanging="360"/>
      </w:pPr>
      <w:rPr>
        <w:rFonts w:ascii="Symbol" w:hAnsi="Symbol" w:hint="default"/>
      </w:rPr>
    </w:lvl>
    <w:lvl w:ilvl="7" w:tplc="D93C5C06" w:tentative="1">
      <w:start w:val="1"/>
      <w:numFmt w:val="bullet"/>
      <w:lvlText w:val=""/>
      <w:lvlJc w:val="left"/>
      <w:pPr>
        <w:tabs>
          <w:tab w:val="num" w:pos="5760"/>
        </w:tabs>
        <w:ind w:left="5760" w:hanging="360"/>
      </w:pPr>
      <w:rPr>
        <w:rFonts w:ascii="Symbol" w:hAnsi="Symbol" w:hint="default"/>
      </w:rPr>
    </w:lvl>
    <w:lvl w:ilvl="8" w:tplc="E03CF730" w:tentative="1">
      <w:start w:val="1"/>
      <w:numFmt w:val="bullet"/>
      <w:lvlText w:val=""/>
      <w:lvlJc w:val="left"/>
      <w:pPr>
        <w:tabs>
          <w:tab w:val="num" w:pos="6480"/>
        </w:tabs>
        <w:ind w:left="6480" w:hanging="360"/>
      </w:pPr>
      <w:rPr>
        <w:rFonts w:ascii="Symbol" w:hAnsi="Symbol" w:hint="default"/>
      </w:rPr>
    </w:lvl>
  </w:abstractNum>
  <w:abstractNum w:abstractNumId="6">
    <w:nsid w:val="299D3780"/>
    <w:multiLevelType w:val="hybridMultilevel"/>
    <w:tmpl w:val="CD0CCFB8"/>
    <w:lvl w:ilvl="0" w:tplc="F77281C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315CB7"/>
    <w:multiLevelType w:val="hybridMultilevel"/>
    <w:tmpl w:val="5AB683E0"/>
    <w:lvl w:ilvl="0" w:tplc="CA0CBB2C">
      <w:start w:val="1"/>
      <w:numFmt w:val="bullet"/>
      <w:lvlText w:val=""/>
      <w:lvlJc w:val="left"/>
      <w:pPr>
        <w:tabs>
          <w:tab w:val="num" w:pos="720"/>
        </w:tabs>
        <w:ind w:left="720" w:hanging="360"/>
      </w:pPr>
      <w:rPr>
        <w:rFonts w:ascii="Symbol" w:hAnsi="Symbol" w:hint="default"/>
      </w:rPr>
    </w:lvl>
    <w:lvl w:ilvl="1" w:tplc="FB0A7644">
      <w:start w:val="1"/>
      <w:numFmt w:val="bullet"/>
      <w:lvlText w:val=""/>
      <w:lvlJc w:val="left"/>
      <w:pPr>
        <w:tabs>
          <w:tab w:val="num" w:pos="1440"/>
        </w:tabs>
        <w:ind w:left="1440" w:hanging="360"/>
      </w:pPr>
      <w:rPr>
        <w:rFonts w:ascii="Symbol" w:hAnsi="Symbol" w:hint="default"/>
      </w:rPr>
    </w:lvl>
    <w:lvl w:ilvl="2" w:tplc="AA282F96" w:tentative="1">
      <w:start w:val="1"/>
      <w:numFmt w:val="bullet"/>
      <w:lvlText w:val=""/>
      <w:lvlJc w:val="left"/>
      <w:pPr>
        <w:tabs>
          <w:tab w:val="num" w:pos="2160"/>
        </w:tabs>
        <w:ind w:left="2160" w:hanging="360"/>
      </w:pPr>
      <w:rPr>
        <w:rFonts w:ascii="Symbol" w:hAnsi="Symbol" w:hint="default"/>
      </w:rPr>
    </w:lvl>
    <w:lvl w:ilvl="3" w:tplc="FCB2CA9E" w:tentative="1">
      <w:start w:val="1"/>
      <w:numFmt w:val="bullet"/>
      <w:lvlText w:val=""/>
      <w:lvlJc w:val="left"/>
      <w:pPr>
        <w:tabs>
          <w:tab w:val="num" w:pos="2880"/>
        </w:tabs>
        <w:ind w:left="2880" w:hanging="360"/>
      </w:pPr>
      <w:rPr>
        <w:rFonts w:ascii="Symbol" w:hAnsi="Symbol" w:hint="default"/>
      </w:rPr>
    </w:lvl>
    <w:lvl w:ilvl="4" w:tplc="CB807F64" w:tentative="1">
      <w:start w:val="1"/>
      <w:numFmt w:val="bullet"/>
      <w:lvlText w:val=""/>
      <w:lvlJc w:val="left"/>
      <w:pPr>
        <w:tabs>
          <w:tab w:val="num" w:pos="3600"/>
        </w:tabs>
        <w:ind w:left="3600" w:hanging="360"/>
      </w:pPr>
      <w:rPr>
        <w:rFonts w:ascii="Symbol" w:hAnsi="Symbol" w:hint="default"/>
      </w:rPr>
    </w:lvl>
    <w:lvl w:ilvl="5" w:tplc="7DCEBFF4" w:tentative="1">
      <w:start w:val="1"/>
      <w:numFmt w:val="bullet"/>
      <w:lvlText w:val=""/>
      <w:lvlJc w:val="left"/>
      <w:pPr>
        <w:tabs>
          <w:tab w:val="num" w:pos="4320"/>
        </w:tabs>
        <w:ind w:left="4320" w:hanging="360"/>
      </w:pPr>
      <w:rPr>
        <w:rFonts w:ascii="Symbol" w:hAnsi="Symbol" w:hint="default"/>
      </w:rPr>
    </w:lvl>
    <w:lvl w:ilvl="6" w:tplc="8492341E" w:tentative="1">
      <w:start w:val="1"/>
      <w:numFmt w:val="bullet"/>
      <w:lvlText w:val=""/>
      <w:lvlJc w:val="left"/>
      <w:pPr>
        <w:tabs>
          <w:tab w:val="num" w:pos="5040"/>
        </w:tabs>
        <w:ind w:left="5040" w:hanging="360"/>
      </w:pPr>
      <w:rPr>
        <w:rFonts w:ascii="Symbol" w:hAnsi="Symbol" w:hint="default"/>
      </w:rPr>
    </w:lvl>
    <w:lvl w:ilvl="7" w:tplc="E734561A" w:tentative="1">
      <w:start w:val="1"/>
      <w:numFmt w:val="bullet"/>
      <w:lvlText w:val=""/>
      <w:lvlJc w:val="left"/>
      <w:pPr>
        <w:tabs>
          <w:tab w:val="num" w:pos="5760"/>
        </w:tabs>
        <w:ind w:left="5760" w:hanging="360"/>
      </w:pPr>
      <w:rPr>
        <w:rFonts w:ascii="Symbol" w:hAnsi="Symbol" w:hint="default"/>
      </w:rPr>
    </w:lvl>
    <w:lvl w:ilvl="8" w:tplc="80E0B1B4" w:tentative="1">
      <w:start w:val="1"/>
      <w:numFmt w:val="bullet"/>
      <w:lvlText w:val=""/>
      <w:lvlJc w:val="left"/>
      <w:pPr>
        <w:tabs>
          <w:tab w:val="num" w:pos="6480"/>
        </w:tabs>
        <w:ind w:left="6480" w:hanging="360"/>
      </w:pPr>
      <w:rPr>
        <w:rFonts w:ascii="Symbol" w:hAnsi="Symbol" w:hint="default"/>
      </w:rPr>
    </w:lvl>
  </w:abstractNum>
  <w:abstractNum w:abstractNumId="8">
    <w:nsid w:val="3978010D"/>
    <w:multiLevelType w:val="hybridMultilevel"/>
    <w:tmpl w:val="036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FF5673"/>
    <w:multiLevelType w:val="hybridMultilevel"/>
    <w:tmpl w:val="9076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902F2"/>
    <w:multiLevelType w:val="hybridMultilevel"/>
    <w:tmpl w:val="D9845082"/>
    <w:lvl w:ilvl="0" w:tplc="49E2E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236E4"/>
    <w:multiLevelType w:val="hybridMultilevel"/>
    <w:tmpl w:val="F8AEE5B6"/>
    <w:lvl w:ilvl="0" w:tplc="04090001">
      <w:start w:val="1"/>
      <w:numFmt w:val="bullet"/>
      <w:lvlText w:val=""/>
      <w:lvlJc w:val="left"/>
      <w:pPr>
        <w:ind w:left="720" w:hanging="360"/>
      </w:pPr>
      <w:rPr>
        <w:rFonts w:ascii="Symbol" w:hAnsi="Symbol" w:hint="default"/>
      </w:rPr>
    </w:lvl>
    <w:lvl w:ilvl="1" w:tplc="F77281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324DA8"/>
    <w:multiLevelType w:val="hybridMultilevel"/>
    <w:tmpl w:val="BDE4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A1EFC"/>
    <w:multiLevelType w:val="hybridMultilevel"/>
    <w:tmpl w:val="A5BE0CA8"/>
    <w:lvl w:ilvl="0" w:tplc="B71E8F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1331D"/>
    <w:multiLevelType w:val="hybridMultilevel"/>
    <w:tmpl w:val="E158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C76947"/>
    <w:multiLevelType w:val="hybridMultilevel"/>
    <w:tmpl w:val="2EB2AFCC"/>
    <w:lvl w:ilvl="0" w:tplc="04090001">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F70197"/>
    <w:multiLevelType w:val="hybridMultilevel"/>
    <w:tmpl w:val="410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E53835"/>
    <w:multiLevelType w:val="hybridMultilevel"/>
    <w:tmpl w:val="1EA4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E4AAC"/>
    <w:multiLevelType w:val="hybridMultilevel"/>
    <w:tmpl w:val="DB84E3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0B0C03"/>
    <w:multiLevelType w:val="hybridMultilevel"/>
    <w:tmpl w:val="25F46AE2"/>
    <w:lvl w:ilvl="0" w:tplc="04090001">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0C114D"/>
    <w:multiLevelType w:val="hybridMultilevel"/>
    <w:tmpl w:val="D2C67B96"/>
    <w:lvl w:ilvl="0" w:tplc="D4CE8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16A59"/>
    <w:multiLevelType w:val="hybridMultilevel"/>
    <w:tmpl w:val="54B64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85453"/>
    <w:multiLevelType w:val="hybridMultilevel"/>
    <w:tmpl w:val="0660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975D2"/>
    <w:multiLevelType w:val="hybridMultilevel"/>
    <w:tmpl w:val="AA2E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D151D6"/>
    <w:multiLevelType w:val="hybridMultilevel"/>
    <w:tmpl w:val="6B14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0662DE"/>
    <w:multiLevelType w:val="hybridMultilevel"/>
    <w:tmpl w:val="304AD098"/>
    <w:lvl w:ilvl="0" w:tplc="F77281C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202435"/>
    <w:multiLevelType w:val="hybridMultilevel"/>
    <w:tmpl w:val="6E5659D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3"/>
  </w:num>
  <w:num w:numId="3">
    <w:abstractNumId w:val="20"/>
  </w:num>
  <w:num w:numId="4">
    <w:abstractNumId w:val="0"/>
  </w:num>
  <w:num w:numId="5">
    <w:abstractNumId w:val="7"/>
  </w:num>
  <w:num w:numId="6">
    <w:abstractNumId w:val="5"/>
  </w:num>
  <w:num w:numId="7">
    <w:abstractNumId w:val="14"/>
  </w:num>
  <w:num w:numId="8">
    <w:abstractNumId w:val="1"/>
  </w:num>
  <w:num w:numId="9">
    <w:abstractNumId w:val="11"/>
  </w:num>
  <w:num w:numId="10">
    <w:abstractNumId w:val="2"/>
  </w:num>
  <w:num w:numId="11">
    <w:abstractNumId w:val="12"/>
  </w:num>
  <w:num w:numId="12">
    <w:abstractNumId w:val="6"/>
  </w:num>
  <w:num w:numId="13">
    <w:abstractNumId w:val="23"/>
  </w:num>
  <w:num w:numId="14">
    <w:abstractNumId w:val="26"/>
  </w:num>
  <w:num w:numId="15">
    <w:abstractNumId w:val="3"/>
  </w:num>
  <w:num w:numId="16">
    <w:abstractNumId w:val="25"/>
  </w:num>
  <w:num w:numId="17">
    <w:abstractNumId w:val="8"/>
  </w:num>
  <w:num w:numId="18">
    <w:abstractNumId w:val="15"/>
  </w:num>
  <w:num w:numId="19">
    <w:abstractNumId w:val="19"/>
  </w:num>
  <w:num w:numId="20">
    <w:abstractNumId w:val="16"/>
  </w:num>
  <w:num w:numId="21">
    <w:abstractNumId w:val="4"/>
  </w:num>
  <w:num w:numId="22">
    <w:abstractNumId w:val="18"/>
  </w:num>
  <w:num w:numId="23">
    <w:abstractNumId w:val="22"/>
  </w:num>
  <w:num w:numId="24">
    <w:abstractNumId w:val="9"/>
  </w:num>
  <w:num w:numId="25">
    <w:abstractNumId w:val="21"/>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89"/>
    <w:rsid w:val="001821D5"/>
    <w:rsid w:val="004B6152"/>
    <w:rsid w:val="00594650"/>
    <w:rsid w:val="00621189"/>
    <w:rsid w:val="00640347"/>
    <w:rsid w:val="007D448F"/>
    <w:rsid w:val="00A26820"/>
    <w:rsid w:val="00C93E64"/>
    <w:rsid w:val="00CC2021"/>
    <w:rsid w:val="00DC0F2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7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1189"/>
    <w:pPr>
      <w:keepNext/>
      <w:spacing w:before="240" w:after="60"/>
      <w:outlineLvl w:val="0"/>
    </w:pPr>
    <w:rPr>
      <w:rFonts w:ascii="Cambria" w:eastAsia="Times New Roman" w:hAnsi="Cambria" w:cs="Times New Roman"/>
      <w:b/>
      <w:bCs/>
      <w:kern w:val="32"/>
      <w:sz w:val="32"/>
      <w:szCs w:val="32"/>
      <w:lang w:val="x-none" w:eastAsia="x-none"/>
    </w:rPr>
  </w:style>
  <w:style w:type="paragraph" w:styleId="Heading3">
    <w:name w:val="heading 3"/>
    <w:basedOn w:val="Normal"/>
    <w:link w:val="Heading3Char"/>
    <w:uiPriority w:val="9"/>
    <w:qFormat/>
    <w:rsid w:val="00621189"/>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621189"/>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189"/>
    <w:rPr>
      <w:rFonts w:ascii="Cambria" w:eastAsia="Times New Roman" w:hAnsi="Cambria" w:cs="Times New Roman"/>
      <w:b/>
      <w:bCs/>
      <w:kern w:val="32"/>
      <w:sz w:val="32"/>
      <w:szCs w:val="32"/>
      <w:lang w:val="x-none" w:eastAsia="x-none"/>
    </w:rPr>
  </w:style>
  <w:style w:type="character" w:customStyle="1" w:styleId="Heading3Char">
    <w:name w:val="Heading 3 Char"/>
    <w:basedOn w:val="DefaultParagraphFont"/>
    <w:link w:val="Heading3"/>
    <w:uiPriority w:val="9"/>
    <w:rsid w:val="00621189"/>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621189"/>
    <w:rPr>
      <w:rFonts w:asciiTheme="majorHAnsi" w:eastAsiaTheme="majorEastAsia" w:hAnsiTheme="majorHAnsi" w:cstheme="majorBidi"/>
      <w:b/>
      <w:bCs/>
      <w:i/>
      <w:iCs/>
      <w:color w:val="4F81BD" w:themeColor="accent1"/>
      <w:lang w:val="en-US"/>
    </w:rPr>
  </w:style>
  <w:style w:type="numbering" w:customStyle="1" w:styleId="Sinlista1">
    <w:name w:val="Sin lista1"/>
    <w:next w:val="NoList"/>
    <w:uiPriority w:val="99"/>
    <w:semiHidden/>
    <w:unhideWhenUsed/>
    <w:rsid w:val="00621189"/>
  </w:style>
  <w:style w:type="paragraph" w:customStyle="1" w:styleId="Default">
    <w:name w:val="Default"/>
    <w:basedOn w:val="Normal"/>
    <w:rsid w:val="00621189"/>
    <w:pPr>
      <w:autoSpaceDE w:val="0"/>
      <w:autoSpaceDN w:val="0"/>
      <w:spacing w:after="0" w:line="240" w:lineRule="auto"/>
    </w:pPr>
    <w:rPr>
      <w:rFonts w:ascii="Arial" w:eastAsia="Calibri" w:hAnsi="Arial" w:cs="Arial"/>
      <w:color w:val="000000"/>
      <w:sz w:val="24"/>
      <w:szCs w:val="24"/>
      <w:lang w:val="es-ES_tradnl" w:eastAsia="es-ES_tradnl"/>
    </w:rPr>
  </w:style>
  <w:style w:type="paragraph" w:styleId="ListParagraph">
    <w:name w:val="List Paragraph"/>
    <w:basedOn w:val="Normal"/>
    <w:uiPriority w:val="34"/>
    <w:qFormat/>
    <w:rsid w:val="00621189"/>
    <w:pPr>
      <w:ind w:left="720"/>
      <w:contextualSpacing/>
    </w:pPr>
    <w:rPr>
      <w:rFonts w:ascii="Calibri" w:eastAsia="Calibri" w:hAnsi="Calibri" w:cs="Times New Roman"/>
      <w:lang w:val="en-US"/>
    </w:rPr>
  </w:style>
  <w:style w:type="table" w:styleId="TableGrid">
    <w:name w:val="Table Grid"/>
    <w:basedOn w:val="TableNormal"/>
    <w:uiPriority w:val="59"/>
    <w:rsid w:val="00621189"/>
    <w:pPr>
      <w:spacing w:after="0" w:line="240" w:lineRule="auto"/>
    </w:pPr>
    <w:rPr>
      <w:rFonts w:ascii="Calibri" w:eastAsia="Calibri" w:hAnsi="Calibri" w:cs="Times New Roman"/>
      <w:sz w:val="20"/>
      <w:szCs w:val="20"/>
      <w:lang w:val="es-ES_tradnl"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21189"/>
    <w:pPr>
      <w:spacing w:line="240" w:lineRule="auto"/>
    </w:pPr>
    <w:rPr>
      <w:rFonts w:ascii="Calibri" w:eastAsia="Calibri" w:hAnsi="Calibri" w:cs="Times New Roman"/>
      <w:b/>
      <w:bCs/>
      <w:color w:val="4F81BD"/>
      <w:sz w:val="18"/>
      <w:szCs w:val="18"/>
      <w:lang w:val="en-US"/>
    </w:rPr>
  </w:style>
  <w:style w:type="paragraph" w:styleId="BalloonText">
    <w:name w:val="Balloon Text"/>
    <w:basedOn w:val="Normal"/>
    <w:link w:val="BalloonTextChar"/>
    <w:uiPriority w:val="99"/>
    <w:semiHidden/>
    <w:unhideWhenUsed/>
    <w:rsid w:val="0062118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21189"/>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62118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62118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62118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621189"/>
    <w:rPr>
      <w:rFonts w:ascii="Calibri" w:eastAsia="Calibri" w:hAnsi="Calibri" w:cs="Times New Roman"/>
      <w:sz w:val="20"/>
      <w:szCs w:val="20"/>
      <w:lang w:val="x-none" w:eastAsia="x-none"/>
    </w:rPr>
  </w:style>
  <w:style w:type="paragraph" w:styleId="DocumentMap">
    <w:name w:val="Document Map"/>
    <w:basedOn w:val="Normal"/>
    <w:link w:val="DocumentMapChar"/>
    <w:uiPriority w:val="99"/>
    <w:semiHidden/>
    <w:unhideWhenUsed/>
    <w:rsid w:val="00621189"/>
    <w:pPr>
      <w:spacing w:after="0" w:line="240"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621189"/>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621189"/>
    <w:rPr>
      <w:sz w:val="16"/>
      <w:szCs w:val="16"/>
    </w:rPr>
  </w:style>
  <w:style w:type="paragraph" w:styleId="CommentText">
    <w:name w:val="annotation text"/>
    <w:basedOn w:val="Normal"/>
    <w:link w:val="CommentTextChar"/>
    <w:uiPriority w:val="99"/>
    <w:unhideWhenUsed/>
    <w:rsid w:val="00621189"/>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621189"/>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21189"/>
    <w:rPr>
      <w:b/>
      <w:bCs/>
    </w:rPr>
  </w:style>
  <w:style w:type="character" w:customStyle="1" w:styleId="CommentSubjectChar">
    <w:name w:val="Comment Subject Char"/>
    <w:basedOn w:val="CommentTextChar"/>
    <w:link w:val="CommentSubject"/>
    <w:uiPriority w:val="99"/>
    <w:semiHidden/>
    <w:rsid w:val="00621189"/>
    <w:rPr>
      <w:rFonts w:ascii="Calibri" w:eastAsia="Calibri" w:hAnsi="Calibri" w:cs="Times New Roman"/>
      <w:b/>
      <w:bCs/>
      <w:sz w:val="20"/>
      <w:szCs w:val="20"/>
      <w:lang w:val="x-none" w:eastAsia="x-none"/>
    </w:rPr>
  </w:style>
  <w:style w:type="paragraph" w:styleId="Revision">
    <w:name w:val="Revision"/>
    <w:hidden/>
    <w:uiPriority w:val="99"/>
    <w:semiHidden/>
    <w:rsid w:val="00621189"/>
    <w:pPr>
      <w:spacing w:after="0" w:line="240" w:lineRule="auto"/>
    </w:pPr>
    <w:rPr>
      <w:rFonts w:ascii="Calibri" w:eastAsia="Calibri" w:hAnsi="Calibri" w:cs="Times New Roman"/>
      <w:lang w:val="en-US"/>
    </w:rPr>
  </w:style>
  <w:style w:type="character" w:styleId="Hyperlink">
    <w:name w:val="Hyperlink"/>
    <w:uiPriority w:val="99"/>
    <w:unhideWhenUsed/>
    <w:rsid w:val="00621189"/>
    <w:rPr>
      <w:color w:val="0000FF"/>
      <w:u w:val="single"/>
    </w:rPr>
  </w:style>
  <w:style w:type="character" w:customStyle="1" w:styleId="highlight">
    <w:name w:val="highlight"/>
    <w:basedOn w:val="DefaultParagraphFont"/>
    <w:rsid w:val="00621189"/>
  </w:style>
  <w:style w:type="paragraph" w:styleId="HTMLPreformatted">
    <w:name w:val="HTML Preformatted"/>
    <w:basedOn w:val="Normal"/>
    <w:link w:val="HTMLPreformattedChar"/>
    <w:uiPriority w:val="99"/>
    <w:unhideWhenUsed/>
    <w:rsid w:val="0062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21189"/>
    <w:rPr>
      <w:rFonts w:ascii="Courier New" w:eastAsia="Times New Roman" w:hAnsi="Courier New" w:cs="Times New Roman"/>
      <w:sz w:val="20"/>
      <w:szCs w:val="20"/>
      <w:lang w:val="x-none" w:eastAsia="x-none"/>
    </w:rPr>
  </w:style>
  <w:style w:type="paragraph" w:styleId="BodyText">
    <w:name w:val="Body Text"/>
    <w:basedOn w:val="Normal"/>
    <w:link w:val="BodyTextChar"/>
    <w:uiPriority w:val="99"/>
    <w:semiHidden/>
    <w:unhideWhenUsed/>
    <w:rsid w:val="00621189"/>
    <w:pPr>
      <w:spacing w:after="120" w:line="240" w:lineRule="auto"/>
    </w:pPr>
    <w:rPr>
      <w:rFonts w:ascii="Cambria" w:eastAsia="Times New Roman" w:hAnsi="Cambria" w:cs="Times New Roman"/>
      <w:sz w:val="24"/>
      <w:szCs w:val="24"/>
      <w:lang w:val="x-none" w:eastAsia="ja-JP"/>
    </w:rPr>
  </w:style>
  <w:style w:type="character" w:customStyle="1" w:styleId="BodyTextChar">
    <w:name w:val="Body Text Char"/>
    <w:basedOn w:val="DefaultParagraphFont"/>
    <w:link w:val="BodyText"/>
    <w:uiPriority w:val="99"/>
    <w:semiHidden/>
    <w:rsid w:val="00621189"/>
    <w:rPr>
      <w:rFonts w:ascii="Cambria" w:eastAsia="Times New Roman" w:hAnsi="Cambria" w:cs="Times New Roman"/>
      <w:sz w:val="24"/>
      <w:szCs w:val="24"/>
      <w:lang w:val="x-none" w:eastAsia="ja-JP"/>
    </w:rPr>
  </w:style>
  <w:style w:type="character" w:customStyle="1" w:styleId="apple-converted-space">
    <w:name w:val="apple-converted-space"/>
    <w:basedOn w:val="DefaultParagraphFont"/>
    <w:rsid w:val="00621189"/>
  </w:style>
  <w:style w:type="character" w:customStyle="1" w:styleId="hps">
    <w:name w:val="hps"/>
    <w:basedOn w:val="DefaultParagraphFont"/>
    <w:rsid w:val="00621189"/>
  </w:style>
  <w:style w:type="paragraph" w:customStyle="1" w:styleId="EndNoteBibliographyTitle">
    <w:name w:val="EndNote Bibliography Title"/>
    <w:basedOn w:val="Normal"/>
    <w:link w:val="EndNoteBibliographyTitleChar"/>
    <w:rsid w:val="00621189"/>
    <w:pPr>
      <w:spacing w:after="0"/>
      <w:jc w:val="center"/>
    </w:pPr>
    <w:rPr>
      <w:rFonts w:ascii="Calibri" w:eastAsia="Calibri" w:hAnsi="Calibri" w:cs="Times New Roman"/>
      <w:noProof/>
      <w:lang w:val="x-none"/>
    </w:rPr>
  </w:style>
  <w:style w:type="character" w:customStyle="1" w:styleId="EndNoteBibliographyTitleChar">
    <w:name w:val="EndNote Bibliography Title Char"/>
    <w:link w:val="EndNoteBibliographyTitle"/>
    <w:rsid w:val="00621189"/>
    <w:rPr>
      <w:rFonts w:ascii="Calibri" w:eastAsia="Calibri" w:hAnsi="Calibri" w:cs="Times New Roman"/>
      <w:noProof/>
      <w:lang w:val="x-none"/>
    </w:rPr>
  </w:style>
  <w:style w:type="paragraph" w:customStyle="1" w:styleId="EndNoteBibliography">
    <w:name w:val="EndNote Bibliography"/>
    <w:basedOn w:val="Normal"/>
    <w:link w:val="EndNoteBibliographyChar"/>
    <w:rsid w:val="00621189"/>
    <w:pPr>
      <w:spacing w:line="240" w:lineRule="auto"/>
    </w:pPr>
    <w:rPr>
      <w:rFonts w:ascii="Calibri" w:eastAsia="Calibri" w:hAnsi="Calibri" w:cs="Times New Roman"/>
      <w:noProof/>
      <w:lang w:val="x-none"/>
    </w:rPr>
  </w:style>
  <w:style w:type="character" w:customStyle="1" w:styleId="EndNoteBibliographyChar">
    <w:name w:val="EndNote Bibliography Char"/>
    <w:link w:val="EndNoteBibliography"/>
    <w:rsid w:val="00621189"/>
    <w:rPr>
      <w:rFonts w:ascii="Calibri" w:eastAsia="Calibri" w:hAnsi="Calibri" w:cs="Times New Roman"/>
      <w:noProof/>
      <w:lang w:val="x-none"/>
    </w:rPr>
  </w:style>
  <w:style w:type="table" w:customStyle="1" w:styleId="PlainTable21">
    <w:name w:val="Plain Table 21"/>
    <w:basedOn w:val="TableNormal"/>
    <w:uiPriority w:val="42"/>
    <w:rsid w:val="00621189"/>
    <w:pPr>
      <w:spacing w:after="0" w:line="240" w:lineRule="auto"/>
    </w:pPr>
    <w:rPr>
      <w:rFonts w:ascii="Calibri" w:eastAsia="Calibri" w:hAnsi="Calibri" w:cs="Times New Roman"/>
      <w:sz w:val="20"/>
      <w:szCs w:val="20"/>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621189"/>
    <w:pPr>
      <w:spacing w:after="0" w:line="240" w:lineRule="auto"/>
    </w:pPr>
    <w:rPr>
      <w:rFonts w:ascii="Calibri" w:eastAsia="Calibri" w:hAnsi="Calibri" w:cs="Times New Roman"/>
      <w:sz w:val="20"/>
      <w:szCs w:val="20"/>
      <w:lang w:val="en-US" w:eastAsia="zh-C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uiPriority w:val="22"/>
    <w:qFormat/>
    <w:rsid w:val="00621189"/>
    <w:rPr>
      <w:b/>
      <w:bCs/>
    </w:rPr>
  </w:style>
  <w:style w:type="character" w:styleId="LineNumber">
    <w:name w:val="line number"/>
    <w:uiPriority w:val="99"/>
    <w:semiHidden/>
    <w:unhideWhenUsed/>
    <w:rsid w:val="00621189"/>
  </w:style>
  <w:style w:type="character" w:styleId="PlaceholderText">
    <w:name w:val="Placeholder Text"/>
    <w:basedOn w:val="DefaultParagraphFont"/>
    <w:uiPriority w:val="99"/>
    <w:semiHidden/>
    <w:rsid w:val="0062118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1189"/>
    <w:pPr>
      <w:keepNext/>
      <w:spacing w:before="240" w:after="60"/>
      <w:outlineLvl w:val="0"/>
    </w:pPr>
    <w:rPr>
      <w:rFonts w:ascii="Cambria" w:eastAsia="Times New Roman" w:hAnsi="Cambria" w:cs="Times New Roman"/>
      <w:b/>
      <w:bCs/>
      <w:kern w:val="32"/>
      <w:sz w:val="32"/>
      <w:szCs w:val="32"/>
      <w:lang w:val="x-none" w:eastAsia="x-none"/>
    </w:rPr>
  </w:style>
  <w:style w:type="paragraph" w:styleId="Heading3">
    <w:name w:val="heading 3"/>
    <w:basedOn w:val="Normal"/>
    <w:link w:val="Heading3Char"/>
    <w:uiPriority w:val="9"/>
    <w:qFormat/>
    <w:rsid w:val="00621189"/>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621189"/>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189"/>
    <w:rPr>
      <w:rFonts w:ascii="Cambria" w:eastAsia="Times New Roman" w:hAnsi="Cambria" w:cs="Times New Roman"/>
      <w:b/>
      <w:bCs/>
      <w:kern w:val="32"/>
      <w:sz w:val="32"/>
      <w:szCs w:val="32"/>
      <w:lang w:val="x-none" w:eastAsia="x-none"/>
    </w:rPr>
  </w:style>
  <w:style w:type="character" w:customStyle="1" w:styleId="Heading3Char">
    <w:name w:val="Heading 3 Char"/>
    <w:basedOn w:val="DefaultParagraphFont"/>
    <w:link w:val="Heading3"/>
    <w:uiPriority w:val="9"/>
    <w:rsid w:val="00621189"/>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621189"/>
    <w:rPr>
      <w:rFonts w:asciiTheme="majorHAnsi" w:eastAsiaTheme="majorEastAsia" w:hAnsiTheme="majorHAnsi" w:cstheme="majorBidi"/>
      <w:b/>
      <w:bCs/>
      <w:i/>
      <w:iCs/>
      <w:color w:val="4F81BD" w:themeColor="accent1"/>
      <w:lang w:val="en-US"/>
    </w:rPr>
  </w:style>
  <w:style w:type="numbering" w:customStyle="1" w:styleId="Sinlista1">
    <w:name w:val="Sin lista1"/>
    <w:next w:val="NoList"/>
    <w:uiPriority w:val="99"/>
    <w:semiHidden/>
    <w:unhideWhenUsed/>
    <w:rsid w:val="00621189"/>
  </w:style>
  <w:style w:type="paragraph" w:customStyle="1" w:styleId="Default">
    <w:name w:val="Default"/>
    <w:basedOn w:val="Normal"/>
    <w:rsid w:val="00621189"/>
    <w:pPr>
      <w:autoSpaceDE w:val="0"/>
      <w:autoSpaceDN w:val="0"/>
      <w:spacing w:after="0" w:line="240" w:lineRule="auto"/>
    </w:pPr>
    <w:rPr>
      <w:rFonts w:ascii="Arial" w:eastAsia="Calibri" w:hAnsi="Arial" w:cs="Arial"/>
      <w:color w:val="000000"/>
      <w:sz w:val="24"/>
      <w:szCs w:val="24"/>
      <w:lang w:val="es-ES_tradnl" w:eastAsia="es-ES_tradnl"/>
    </w:rPr>
  </w:style>
  <w:style w:type="paragraph" w:styleId="ListParagraph">
    <w:name w:val="List Paragraph"/>
    <w:basedOn w:val="Normal"/>
    <w:uiPriority w:val="34"/>
    <w:qFormat/>
    <w:rsid w:val="00621189"/>
    <w:pPr>
      <w:ind w:left="720"/>
      <w:contextualSpacing/>
    </w:pPr>
    <w:rPr>
      <w:rFonts w:ascii="Calibri" w:eastAsia="Calibri" w:hAnsi="Calibri" w:cs="Times New Roman"/>
      <w:lang w:val="en-US"/>
    </w:rPr>
  </w:style>
  <w:style w:type="table" w:styleId="TableGrid">
    <w:name w:val="Table Grid"/>
    <w:basedOn w:val="TableNormal"/>
    <w:uiPriority w:val="59"/>
    <w:rsid w:val="00621189"/>
    <w:pPr>
      <w:spacing w:after="0" w:line="240" w:lineRule="auto"/>
    </w:pPr>
    <w:rPr>
      <w:rFonts w:ascii="Calibri" w:eastAsia="Calibri" w:hAnsi="Calibri" w:cs="Times New Roman"/>
      <w:sz w:val="20"/>
      <w:szCs w:val="20"/>
      <w:lang w:val="es-ES_tradnl"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21189"/>
    <w:pPr>
      <w:spacing w:line="240" w:lineRule="auto"/>
    </w:pPr>
    <w:rPr>
      <w:rFonts w:ascii="Calibri" w:eastAsia="Calibri" w:hAnsi="Calibri" w:cs="Times New Roman"/>
      <w:b/>
      <w:bCs/>
      <w:color w:val="4F81BD"/>
      <w:sz w:val="18"/>
      <w:szCs w:val="18"/>
      <w:lang w:val="en-US"/>
    </w:rPr>
  </w:style>
  <w:style w:type="paragraph" w:styleId="BalloonText">
    <w:name w:val="Balloon Text"/>
    <w:basedOn w:val="Normal"/>
    <w:link w:val="BalloonTextChar"/>
    <w:uiPriority w:val="99"/>
    <w:semiHidden/>
    <w:unhideWhenUsed/>
    <w:rsid w:val="0062118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21189"/>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62118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62118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62118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621189"/>
    <w:rPr>
      <w:rFonts w:ascii="Calibri" w:eastAsia="Calibri" w:hAnsi="Calibri" w:cs="Times New Roman"/>
      <w:sz w:val="20"/>
      <w:szCs w:val="20"/>
      <w:lang w:val="x-none" w:eastAsia="x-none"/>
    </w:rPr>
  </w:style>
  <w:style w:type="paragraph" w:styleId="DocumentMap">
    <w:name w:val="Document Map"/>
    <w:basedOn w:val="Normal"/>
    <w:link w:val="DocumentMapChar"/>
    <w:uiPriority w:val="99"/>
    <w:semiHidden/>
    <w:unhideWhenUsed/>
    <w:rsid w:val="00621189"/>
    <w:pPr>
      <w:spacing w:after="0" w:line="240"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621189"/>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621189"/>
    <w:rPr>
      <w:sz w:val="16"/>
      <w:szCs w:val="16"/>
    </w:rPr>
  </w:style>
  <w:style w:type="paragraph" w:styleId="CommentText">
    <w:name w:val="annotation text"/>
    <w:basedOn w:val="Normal"/>
    <w:link w:val="CommentTextChar"/>
    <w:uiPriority w:val="99"/>
    <w:unhideWhenUsed/>
    <w:rsid w:val="00621189"/>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621189"/>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21189"/>
    <w:rPr>
      <w:b/>
      <w:bCs/>
    </w:rPr>
  </w:style>
  <w:style w:type="character" w:customStyle="1" w:styleId="CommentSubjectChar">
    <w:name w:val="Comment Subject Char"/>
    <w:basedOn w:val="CommentTextChar"/>
    <w:link w:val="CommentSubject"/>
    <w:uiPriority w:val="99"/>
    <w:semiHidden/>
    <w:rsid w:val="00621189"/>
    <w:rPr>
      <w:rFonts w:ascii="Calibri" w:eastAsia="Calibri" w:hAnsi="Calibri" w:cs="Times New Roman"/>
      <w:b/>
      <w:bCs/>
      <w:sz w:val="20"/>
      <w:szCs w:val="20"/>
      <w:lang w:val="x-none" w:eastAsia="x-none"/>
    </w:rPr>
  </w:style>
  <w:style w:type="paragraph" w:styleId="Revision">
    <w:name w:val="Revision"/>
    <w:hidden/>
    <w:uiPriority w:val="99"/>
    <w:semiHidden/>
    <w:rsid w:val="00621189"/>
    <w:pPr>
      <w:spacing w:after="0" w:line="240" w:lineRule="auto"/>
    </w:pPr>
    <w:rPr>
      <w:rFonts w:ascii="Calibri" w:eastAsia="Calibri" w:hAnsi="Calibri" w:cs="Times New Roman"/>
      <w:lang w:val="en-US"/>
    </w:rPr>
  </w:style>
  <w:style w:type="character" w:styleId="Hyperlink">
    <w:name w:val="Hyperlink"/>
    <w:uiPriority w:val="99"/>
    <w:unhideWhenUsed/>
    <w:rsid w:val="00621189"/>
    <w:rPr>
      <w:color w:val="0000FF"/>
      <w:u w:val="single"/>
    </w:rPr>
  </w:style>
  <w:style w:type="character" w:customStyle="1" w:styleId="highlight">
    <w:name w:val="highlight"/>
    <w:basedOn w:val="DefaultParagraphFont"/>
    <w:rsid w:val="00621189"/>
  </w:style>
  <w:style w:type="paragraph" w:styleId="HTMLPreformatted">
    <w:name w:val="HTML Preformatted"/>
    <w:basedOn w:val="Normal"/>
    <w:link w:val="HTMLPreformattedChar"/>
    <w:uiPriority w:val="99"/>
    <w:unhideWhenUsed/>
    <w:rsid w:val="0062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21189"/>
    <w:rPr>
      <w:rFonts w:ascii="Courier New" w:eastAsia="Times New Roman" w:hAnsi="Courier New" w:cs="Times New Roman"/>
      <w:sz w:val="20"/>
      <w:szCs w:val="20"/>
      <w:lang w:val="x-none" w:eastAsia="x-none"/>
    </w:rPr>
  </w:style>
  <w:style w:type="paragraph" w:styleId="BodyText">
    <w:name w:val="Body Text"/>
    <w:basedOn w:val="Normal"/>
    <w:link w:val="BodyTextChar"/>
    <w:uiPriority w:val="99"/>
    <w:semiHidden/>
    <w:unhideWhenUsed/>
    <w:rsid w:val="00621189"/>
    <w:pPr>
      <w:spacing w:after="120" w:line="240" w:lineRule="auto"/>
    </w:pPr>
    <w:rPr>
      <w:rFonts w:ascii="Cambria" w:eastAsia="Times New Roman" w:hAnsi="Cambria" w:cs="Times New Roman"/>
      <w:sz w:val="24"/>
      <w:szCs w:val="24"/>
      <w:lang w:val="x-none" w:eastAsia="ja-JP"/>
    </w:rPr>
  </w:style>
  <w:style w:type="character" w:customStyle="1" w:styleId="BodyTextChar">
    <w:name w:val="Body Text Char"/>
    <w:basedOn w:val="DefaultParagraphFont"/>
    <w:link w:val="BodyText"/>
    <w:uiPriority w:val="99"/>
    <w:semiHidden/>
    <w:rsid w:val="00621189"/>
    <w:rPr>
      <w:rFonts w:ascii="Cambria" w:eastAsia="Times New Roman" w:hAnsi="Cambria" w:cs="Times New Roman"/>
      <w:sz w:val="24"/>
      <w:szCs w:val="24"/>
      <w:lang w:val="x-none" w:eastAsia="ja-JP"/>
    </w:rPr>
  </w:style>
  <w:style w:type="character" w:customStyle="1" w:styleId="apple-converted-space">
    <w:name w:val="apple-converted-space"/>
    <w:basedOn w:val="DefaultParagraphFont"/>
    <w:rsid w:val="00621189"/>
  </w:style>
  <w:style w:type="character" w:customStyle="1" w:styleId="hps">
    <w:name w:val="hps"/>
    <w:basedOn w:val="DefaultParagraphFont"/>
    <w:rsid w:val="00621189"/>
  </w:style>
  <w:style w:type="paragraph" w:customStyle="1" w:styleId="EndNoteBibliographyTitle">
    <w:name w:val="EndNote Bibliography Title"/>
    <w:basedOn w:val="Normal"/>
    <w:link w:val="EndNoteBibliographyTitleChar"/>
    <w:rsid w:val="00621189"/>
    <w:pPr>
      <w:spacing w:after="0"/>
      <w:jc w:val="center"/>
    </w:pPr>
    <w:rPr>
      <w:rFonts w:ascii="Calibri" w:eastAsia="Calibri" w:hAnsi="Calibri" w:cs="Times New Roman"/>
      <w:noProof/>
      <w:lang w:val="x-none"/>
    </w:rPr>
  </w:style>
  <w:style w:type="character" w:customStyle="1" w:styleId="EndNoteBibliographyTitleChar">
    <w:name w:val="EndNote Bibliography Title Char"/>
    <w:link w:val="EndNoteBibliographyTitle"/>
    <w:rsid w:val="00621189"/>
    <w:rPr>
      <w:rFonts w:ascii="Calibri" w:eastAsia="Calibri" w:hAnsi="Calibri" w:cs="Times New Roman"/>
      <w:noProof/>
      <w:lang w:val="x-none"/>
    </w:rPr>
  </w:style>
  <w:style w:type="paragraph" w:customStyle="1" w:styleId="EndNoteBibliography">
    <w:name w:val="EndNote Bibliography"/>
    <w:basedOn w:val="Normal"/>
    <w:link w:val="EndNoteBibliographyChar"/>
    <w:rsid w:val="00621189"/>
    <w:pPr>
      <w:spacing w:line="240" w:lineRule="auto"/>
    </w:pPr>
    <w:rPr>
      <w:rFonts w:ascii="Calibri" w:eastAsia="Calibri" w:hAnsi="Calibri" w:cs="Times New Roman"/>
      <w:noProof/>
      <w:lang w:val="x-none"/>
    </w:rPr>
  </w:style>
  <w:style w:type="character" w:customStyle="1" w:styleId="EndNoteBibliographyChar">
    <w:name w:val="EndNote Bibliography Char"/>
    <w:link w:val="EndNoteBibliography"/>
    <w:rsid w:val="00621189"/>
    <w:rPr>
      <w:rFonts w:ascii="Calibri" w:eastAsia="Calibri" w:hAnsi="Calibri" w:cs="Times New Roman"/>
      <w:noProof/>
      <w:lang w:val="x-none"/>
    </w:rPr>
  </w:style>
  <w:style w:type="table" w:customStyle="1" w:styleId="PlainTable21">
    <w:name w:val="Plain Table 21"/>
    <w:basedOn w:val="TableNormal"/>
    <w:uiPriority w:val="42"/>
    <w:rsid w:val="00621189"/>
    <w:pPr>
      <w:spacing w:after="0" w:line="240" w:lineRule="auto"/>
    </w:pPr>
    <w:rPr>
      <w:rFonts w:ascii="Calibri" w:eastAsia="Calibri" w:hAnsi="Calibri" w:cs="Times New Roman"/>
      <w:sz w:val="20"/>
      <w:szCs w:val="20"/>
      <w:lang w:val="en-US"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621189"/>
    <w:pPr>
      <w:spacing w:after="0" w:line="240" w:lineRule="auto"/>
    </w:pPr>
    <w:rPr>
      <w:rFonts w:ascii="Calibri" w:eastAsia="Calibri" w:hAnsi="Calibri" w:cs="Times New Roman"/>
      <w:sz w:val="20"/>
      <w:szCs w:val="20"/>
      <w:lang w:val="en-US" w:eastAsia="zh-C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uiPriority w:val="22"/>
    <w:qFormat/>
    <w:rsid w:val="00621189"/>
    <w:rPr>
      <w:b/>
      <w:bCs/>
    </w:rPr>
  </w:style>
  <w:style w:type="character" w:styleId="LineNumber">
    <w:name w:val="line number"/>
    <w:uiPriority w:val="99"/>
    <w:semiHidden/>
    <w:unhideWhenUsed/>
    <w:rsid w:val="00621189"/>
  </w:style>
  <w:style w:type="character" w:styleId="PlaceholderText">
    <w:name w:val="Placeholder Text"/>
    <w:basedOn w:val="DefaultParagraphFont"/>
    <w:uiPriority w:val="99"/>
    <w:semiHidden/>
    <w:rsid w:val="006211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ata.bls.gov/cgi-bin/surveymost" TargetMode="External"/><Relationship Id="rId9" Type="http://schemas.openxmlformats.org/officeDocument/2006/relationships/hyperlink" Target="https://www.google.com/finance/converter?a=1&amp;from=EUR&amp;to=USD" TargetMode="Externa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891</Words>
  <Characters>5097</Characters>
  <Application>Microsoft Macintosh Word</Application>
  <DocSecurity>0</DocSecurity>
  <Lines>108</Lines>
  <Paragraphs>45</Paragraphs>
  <ScaleCrop>false</ScaleCrop>
  <HeadingPairs>
    <vt:vector size="2" baseType="variant">
      <vt:variant>
        <vt:lpstr>Título</vt:lpstr>
      </vt:variant>
      <vt:variant>
        <vt:i4>1</vt:i4>
      </vt:variant>
    </vt:vector>
  </HeadingPairs>
  <TitlesOfParts>
    <vt:vector size="1" baseType="lpstr">
      <vt:lpstr/>
    </vt:vector>
  </TitlesOfParts>
  <Company>Pfizer Inc</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mesaf</dc:creator>
  <cp:lastModifiedBy>Sya</cp:lastModifiedBy>
  <cp:revision>6</cp:revision>
  <dcterms:created xsi:type="dcterms:W3CDTF">2015-12-22T10:15:00Z</dcterms:created>
  <dcterms:modified xsi:type="dcterms:W3CDTF">2016-03-03T10:02:00Z</dcterms:modified>
</cp:coreProperties>
</file>