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444" w:rsidRPr="0096083A" w:rsidRDefault="000C2444" w:rsidP="000C2444">
      <w:pPr>
        <w:pStyle w:val="Caption"/>
      </w:pPr>
      <w:r>
        <w:t>Apéndice A.</w:t>
      </w:r>
      <w:r w:rsidRPr="0096083A">
        <w:t xml:space="preserve"> Resultados de la Escala </w:t>
      </w:r>
      <w:proofErr w:type="spellStart"/>
      <w:r w:rsidRPr="0096083A">
        <w:t>PEDro</w:t>
      </w:r>
      <w:proofErr w:type="spellEnd"/>
      <w:r w:rsidRPr="0096083A">
        <w:t xml:space="preserve"> de los estudios incluidos.</w:t>
      </w:r>
    </w:p>
    <w:tbl>
      <w:tblPr>
        <w:tblpPr w:leftFromText="141" w:rightFromText="141" w:vertAnchor="text" w:horzAnchor="margin" w:tblpY="81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540"/>
        <w:gridCol w:w="540"/>
        <w:gridCol w:w="540"/>
        <w:gridCol w:w="540"/>
        <w:gridCol w:w="360"/>
        <w:gridCol w:w="360"/>
        <w:gridCol w:w="360"/>
        <w:gridCol w:w="360"/>
        <w:gridCol w:w="360"/>
        <w:gridCol w:w="540"/>
        <w:gridCol w:w="540"/>
        <w:gridCol w:w="1080"/>
      </w:tblGrid>
      <w:tr w:rsidR="000C2444" w:rsidRPr="00C0680C" w:rsidTr="00E8657A">
        <w:trPr>
          <w:trHeight w:val="1610"/>
        </w:trPr>
        <w:tc>
          <w:tcPr>
            <w:tcW w:w="2628" w:type="dxa"/>
            <w:tcBorders>
              <w:top w:val="single" w:sz="4" w:space="0" w:color="auto"/>
            </w:tcBorders>
          </w:tcPr>
          <w:p w:rsidR="000C2444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0C2444" w:rsidRPr="006C57DE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C57DE">
              <w:rPr>
                <w:b/>
                <w:sz w:val="18"/>
                <w:szCs w:val="18"/>
              </w:rPr>
              <w:t xml:space="preserve">CLASIFICACIÓN METODOLÍGICA DE CALIDAD SEGÚN LA ESCALA </w:t>
            </w:r>
            <w:proofErr w:type="spellStart"/>
            <w:r w:rsidRPr="006C57DE">
              <w:rPr>
                <w:b/>
                <w:sz w:val="18"/>
                <w:szCs w:val="18"/>
              </w:rPr>
              <w:t>PEDro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3FBA">
              <w:rPr>
                <w:b/>
                <w:sz w:val="20"/>
                <w:szCs w:val="20"/>
              </w:rPr>
              <w:t>1</w:t>
            </w:r>
          </w:p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3FB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3FB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3FB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3FB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3FB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3FB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3FB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3FB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3FB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3FB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63FBA">
              <w:rPr>
                <w:b/>
                <w:sz w:val="20"/>
                <w:szCs w:val="20"/>
              </w:rPr>
              <w:t>TOTAL</w:t>
            </w:r>
          </w:p>
          <w:p w:rsidR="000C2444" w:rsidRPr="00463FBA" w:rsidRDefault="000C2444" w:rsidP="00E8657A">
            <w:pPr>
              <w:pStyle w:val="NormalWeb"/>
              <w:spacing w:line="276" w:lineRule="auto"/>
              <w:jc w:val="center"/>
              <w:rPr>
                <w:b/>
                <w:color w:val="212121"/>
                <w:sz w:val="20"/>
                <w:szCs w:val="20"/>
              </w:rPr>
            </w:pPr>
          </w:p>
        </w:tc>
      </w:tr>
      <w:tr w:rsidR="000C2444" w:rsidRPr="00C0680C" w:rsidTr="00E8657A">
        <w:tc>
          <w:tcPr>
            <w:tcW w:w="2628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proofErr w:type="spellStart"/>
            <w:r w:rsidRPr="0096083A">
              <w:t>Osborne</w:t>
            </w:r>
            <w:proofErr w:type="spellEnd"/>
            <w:r w:rsidRPr="0096083A">
              <w:t xml:space="preserve"> et al 2016</w:t>
            </w:r>
            <w:r>
              <w:rPr>
                <w:vertAlign w:val="superscript"/>
              </w:rPr>
              <w:t>22</w:t>
            </w:r>
            <w:r w:rsidRPr="0096083A">
              <w:t xml:space="preserve"> 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1080" w:type="dxa"/>
          </w:tcPr>
          <w:p w:rsidR="000C2444" w:rsidRPr="0096083A" w:rsidRDefault="000C2444" w:rsidP="00E8657A">
            <w:pPr>
              <w:pStyle w:val="NormalWeb"/>
              <w:spacing w:line="276" w:lineRule="auto"/>
              <w:jc w:val="center"/>
            </w:pPr>
            <w:r w:rsidRPr="0096083A">
              <w:t>5</w:t>
            </w:r>
          </w:p>
        </w:tc>
      </w:tr>
      <w:tr w:rsidR="000C2444" w:rsidRPr="00C0680C" w:rsidTr="00E8657A">
        <w:tc>
          <w:tcPr>
            <w:tcW w:w="2628" w:type="dxa"/>
          </w:tcPr>
          <w:p w:rsidR="000C2444" w:rsidRPr="00D45FD8" w:rsidRDefault="000C2444" w:rsidP="00E8657A">
            <w:pPr>
              <w:pStyle w:val="NormalWeb"/>
              <w:spacing w:line="276" w:lineRule="auto"/>
              <w:rPr>
                <w:vertAlign w:val="superscript"/>
              </w:rPr>
            </w:pPr>
            <w:proofErr w:type="spellStart"/>
            <w:r w:rsidRPr="0096083A">
              <w:t>Sacomori</w:t>
            </w:r>
            <w:proofErr w:type="spellEnd"/>
            <w:r w:rsidRPr="0096083A">
              <w:t xml:space="preserve"> et al 2015</w:t>
            </w:r>
            <w:r>
              <w:rPr>
                <w:vertAlign w:val="superscript"/>
              </w:rPr>
              <w:t>23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1080" w:type="dxa"/>
          </w:tcPr>
          <w:p w:rsidR="000C2444" w:rsidRPr="0096083A" w:rsidRDefault="000C2444" w:rsidP="00E8657A">
            <w:pPr>
              <w:pStyle w:val="NormalWeb"/>
              <w:spacing w:line="276" w:lineRule="auto"/>
              <w:jc w:val="center"/>
            </w:pPr>
            <w:r w:rsidRPr="0096083A">
              <w:t>5</w:t>
            </w:r>
          </w:p>
        </w:tc>
      </w:tr>
      <w:tr w:rsidR="000C2444" w:rsidRPr="00C0680C" w:rsidTr="00E8657A">
        <w:tc>
          <w:tcPr>
            <w:tcW w:w="2628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proofErr w:type="spellStart"/>
            <w:r w:rsidRPr="0096083A">
              <w:t>Borello</w:t>
            </w:r>
            <w:proofErr w:type="spellEnd"/>
            <w:r w:rsidRPr="0096083A">
              <w:t xml:space="preserve"> et al 2008</w:t>
            </w:r>
            <w:r>
              <w:rPr>
                <w:vertAlign w:val="superscript"/>
              </w:rPr>
              <w:t>24</w:t>
            </w:r>
            <w:r w:rsidRPr="0096083A">
              <w:t xml:space="preserve"> 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1080" w:type="dxa"/>
          </w:tcPr>
          <w:p w:rsidR="000C2444" w:rsidRPr="0096083A" w:rsidRDefault="000C2444" w:rsidP="00E8657A">
            <w:pPr>
              <w:pStyle w:val="NormalWeb"/>
              <w:spacing w:line="276" w:lineRule="auto"/>
              <w:jc w:val="center"/>
            </w:pPr>
            <w:r w:rsidRPr="0096083A">
              <w:t>5</w:t>
            </w:r>
          </w:p>
        </w:tc>
      </w:tr>
      <w:tr w:rsidR="000C2444" w:rsidRPr="00C0680C" w:rsidTr="00E8657A">
        <w:tc>
          <w:tcPr>
            <w:tcW w:w="2628" w:type="dxa"/>
          </w:tcPr>
          <w:p w:rsidR="000C2444" w:rsidRPr="00D45FD8" w:rsidRDefault="000C2444" w:rsidP="00E8657A">
            <w:pPr>
              <w:pStyle w:val="NormalWeb"/>
              <w:spacing w:line="276" w:lineRule="auto"/>
              <w:rPr>
                <w:vertAlign w:val="superscript"/>
              </w:rPr>
            </w:pPr>
            <w:r w:rsidRPr="0096083A">
              <w:t>Porta Roda et al 2016</w:t>
            </w:r>
            <w:r>
              <w:rPr>
                <w:vertAlign w:val="superscript"/>
              </w:rPr>
              <w:t>25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1080" w:type="dxa"/>
          </w:tcPr>
          <w:p w:rsidR="000C2444" w:rsidRPr="0096083A" w:rsidRDefault="000C2444" w:rsidP="00E8657A">
            <w:pPr>
              <w:pStyle w:val="NormalWeb"/>
              <w:spacing w:line="276" w:lineRule="auto"/>
              <w:jc w:val="center"/>
            </w:pPr>
            <w:r w:rsidRPr="0096083A">
              <w:t>5</w:t>
            </w:r>
          </w:p>
        </w:tc>
      </w:tr>
      <w:tr w:rsidR="000C2444" w:rsidRPr="00C0680C" w:rsidTr="00E8657A">
        <w:tc>
          <w:tcPr>
            <w:tcW w:w="2628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proofErr w:type="spellStart"/>
            <w:r w:rsidRPr="0096083A">
              <w:t>Borello</w:t>
            </w:r>
            <w:proofErr w:type="spellEnd"/>
            <w:r w:rsidRPr="0096083A">
              <w:t xml:space="preserve"> et al 2013</w:t>
            </w:r>
            <w:r>
              <w:rPr>
                <w:vertAlign w:val="superscript"/>
              </w:rPr>
              <w:t>26</w:t>
            </w:r>
            <w:r w:rsidRPr="0096083A">
              <w:t xml:space="preserve"> 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1080" w:type="dxa"/>
          </w:tcPr>
          <w:p w:rsidR="000C2444" w:rsidRPr="0096083A" w:rsidRDefault="000C2444" w:rsidP="00E8657A">
            <w:pPr>
              <w:pStyle w:val="NormalWeb"/>
              <w:spacing w:line="276" w:lineRule="auto"/>
              <w:jc w:val="center"/>
            </w:pPr>
            <w:r w:rsidRPr="0096083A">
              <w:t>7</w:t>
            </w:r>
          </w:p>
        </w:tc>
      </w:tr>
      <w:tr w:rsidR="000C2444" w:rsidRPr="00C0680C" w:rsidTr="00E8657A">
        <w:tc>
          <w:tcPr>
            <w:tcW w:w="2628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proofErr w:type="spellStart"/>
            <w:r w:rsidRPr="0096083A">
              <w:t>Fitz</w:t>
            </w:r>
            <w:proofErr w:type="spellEnd"/>
            <w:r w:rsidRPr="0096083A">
              <w:t xml:space="preserve"> et al 2017</w:t>
            </w:r>
            <w:r>
              <w:rPr>
                <w:vertAlign w:val="superscript"/>
              </w:rPr>
              <w:t>27</w:t>
            </w:r>
            <w:r w:rsidRPr="00C0680C">
              <w:rPr>
                <w:vertAlign w:val="superscript"/>
              </w:rPr>
              <w:t xml:space="preserve"> 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36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1080" w:type="dxa"/>
          </w:tcPr>
          <w:p w:rsidR="000C2444" w:rsidRPr="0096083A" w:rsidRDefault="000C2444" w:rsidP="00E8657A">
            <w:pPr>
              <w:pStyle w:val="NormalWeb"/>
              <w:spacing w:line="276" w:lineRule="auto"/>
              <w:jc w:val="center"/>
            </w:pPr>
            <w:r w:rsidRPr="0096083A">
              <w:t>8</w:t>
            </w:r>
          </w:p>
        </w:tc>
      </w:tr>
      <w:tr w:rsidR="000C2444" w:rsidRPr="00C0680C" w:rsidTr="00E8657A">
        <w:tc>
          <w:tcPr>
            <w:tcW w:w="2628" w:type="dxa"/>
            <w:tcBorders>
              <w:bottom w:val="single" w:sz="4" w:space="0" w:color="auto"/>
            </w:tcBorders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Schmidt et al 2009</w:t>
            </w:r>
            <w:r>
              <w:rPr>
                <w:vertAlign w:val="superscript"/>
              </w:rPr>
              <w:t>28</w:t>
            </w:r>
            <w:r w:rsidRPr="00C0680C">
              <w:rPr>
                <w:vertAlign w:val="superscript"/>
              </w:rPr>
              <w:t xml:space="preserve">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0C2444" w:rsidRPr="0096083A" w:rsidRDefault="000C2444" w:rsidP="00E8657A">
            <w:pPr>
              <w:pStyle w:val="NormalWeb"/>
              <w:spacing w:line="276" w:lineRule="auto"/>
            </w:pPr>
            <w:r w:rsidRPr="0096083A"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C2444" w:rsidRPr="0096083A" w:rsidRDefault="000C2444" w:rsidP="00E8657A">
            <w:pPr>
              <w:pStyle w:val="NormalWeb"/>
              <w:spacing w:line="276" w:lineRule="auto"/>
              <w:jc w:val="center"/>
            </w:pPr>
            <w:r w:rsidRPr="0096083A">
              <w:t>8</w:t>
            </w:r>
          </w:p>
        </w:tc>
      </w:tr>
    </w:tbl>
    <w:p w:rsidR="000C2444" w:rsidRDefault="000C2444" w:rsidP="000C2444">
      <w:pPr>
        <w:jc w:val="both"/>
        <w:rPr>
          <w:rFonts w:ascii="Times New Roman" w:hAnsi="Times New Roman"/>
          <w:b/>
          <w:sz w:val="24"/>
          <w:szCs w:val="24"/>
        </w:rPr>
      </w:pPr>
    </w:p>
    <w:p w:rsidR="000C2444" w:rsidRDefault="000C2444" w:rsidP="000C2444"/>
    <w:p w:rsidR="000C2444" w:rsidRPr="00C549E7" w:rsidRDefault="000C2444" w:rsidP="000C2444">
      <w:pPr>
        <w:pStyle w:val="Caption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APÉNDICE B. </w:t>
      </w:r>
      <w:r w:rsidRPr="00C549E7">
        <w:rPr>
          <w:rFonts w:ascii="Times New Roman" w:hAnsi="Times New Roman"/>
        </w:rPr>
        <w:t>RESULTADOS</w:t>
      </w:r>
      <w:r>
        <w:rPr>
          <w:rFonts w:ascii="Times New Roman" w:hAnsi="Times New Roman"/>
        </w:rPr>
        <w:t>. “Adherencia al ejercicio muscular del suelo pélvico en las mujeres con incontinencia urinaria”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1147"/>
        <w:gridCol w:w="858"/>
        <w:gridCol w:w="1064"/>
        <w:gridCol w:w="930"/>
        <w:gridCol w:w="858"/>
        <w:gridCol w:w="864"/>
        <w:gridCol w:w="979"/>
        <w:gridCol w:w="1047"/>
      </w:tblGrid>
      <w:tr w:rsidR="000C2444" w:rsidRPr="005E28D9" w:rsidTr="00E8657A"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ESTUDIO autor/año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N mujeres /Metodología/Tipo IU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Intervención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Efecto corto plazo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Periodo de seguimiento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Intervención para seguimiento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Medidas de resultado tras seguimiento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Pérdida de seguimiento/ adherencia seguimiento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Efecto en el largo plazo</w:t>
            </w:r>
          </w:p>
        </w:tc>
      </w:tr>
      <w:tr w:rsidR="000C2444" w:rsidRPr="005E28D9" w:rsidTr="00E8657A">
        <w:trPr>
          <w:trHeight w:val="1650"/>
        </w:trPr>
        <w:tc>
          <w:tcPr>
            <w:tcW w:w="0" w:type="auto"/>
          </w:tcPr>
          <w:p w:rsidR="000C2444" w:rsidRDefault="000C2444" w:rsidP="00E8657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C2444" w:rsidRPr="00767C0B" w:rsidRDefault="000C2444" w:rsidP="00E8657A">
            <w:pPr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proofErr w:type="spellStart"/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Borello</w:t>
            </w:r>
            <w:proofErr w:type="spellEnd"/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-France et al. 2008</w:t>
            </w:r>
            <w:r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24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 xml:space="preserve">36/ECA/ IUE diario vesical, historia clínica y examen físico, ( prueba 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urodinámica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 xml:space="preserve">, prueba de almohadilla,  prueba de fuerza de MSP puntaje 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Brink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>, y QOL IIQ)</w:t>
            </w:r>
          </w:p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Programa EMSP supervisado 9-12 semanas. Todos los participantes.</w:t>
            </w:r>
          </w:p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</w:p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 xml:space="preserve">Media pérdidas de orina por semana 1,2 2,1 versus 1,4 3,1; Pérdida de orina media 0,2 0,5 frente a 0,2 0,8 g. Media IIQ puntaje 17 20 versus 22 30. Media puntaje 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Brink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 xml:space="preserve"> 11 1 versus 11 1Prevalencia de IUE 60,07% versus 42,8%).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6 meses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EMSP n 28. Alta frecuencia ( 4 veces en semana) n 15/Baja frecuencia (1 vez en semana) n 13</w:t>
            </w:r>
          </w:p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 xml:space="preserve">Diario vesical , IIQ y (n28/28)*, resultados de fuerza PFM (24/28),prueba de almohadilla,  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urodinamia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 xml:space="preserve"> (n 23/28) *n= mujeres que completaron los test del total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proofErr w:type="gramStart"/>
            <w:r w:rsidRPr="005E28D9">
              <w:rPr>
                <w:rFonts w:ascii="Times New Roman" w:hAnsi="Times New Roman"/>
                <w:sz w:val="14"/>
                <w:szCs w:val="16"/>
              </w:rPr>
              <w:t>n</w:t>
            </w:r>
            <w:proofErr w:type="gramEnd"/>
            <w:r w:rsidRPr="005E28D9">
              <w:rPr>
                <w:rFonts w:ascii="Times New Roman" w:hAnsi="Times New Roman"/>
                <w:sz w:val="14"/>
                <w:szCs w:val="16"/>
              </w:rPr>
              <w:t xml:space="preserve"> 8/ Diarios EMSP n 28 Alta frecuencia n =8 Baja frecuencia (1 vez en semana) n=7</w:t>
            </w:r>
          </w:p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Sin diferencias significativas entre grupos de intervención en seguimiento en cumplimiento. Disminución no estadísticamente significativa en QOL. IUE 35% (no estadísticamente significativo) Resto medidas se mantienen.</w:t>
            </w:r>
          </w:p>
        </w:tc>
      </w:tr>
      <w:tr w:rsidR="000C2444" w:rsidRPr="005E28D9" w:rsidTr="00E8657A">
        <w:trPr>
          <w:trHeight w:val="1695"/>
        </w:trPr>
        <w:tc>
          <w:tcPr>
            <w:tcW w:w="0" w:type="auto"/>
          </w:tcPr>
          <w:p w:rsidR="000C2444" w:rsidRDefault="000C2444" w:rsidP="00E8657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C2444" w:rsidRDefault="000C2444" w:rsidP="00E8657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C2444" w:rsidRPr="00767C0B" w:rsidRDefault="000C2444" w:rsidP="00E8657A">
            <w:pPr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Schmidt et al. 2009</w:t>
            </w:r>
            <w:r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28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proofErr w:type="gramStart"/>
            <w:r w:rsidRPr="005E28D9">
              <w:rPr>
                <w:rFonts w:ascii="Times New Roman" w:hAnsi="Times New Roman"/>
                <w:sz w:val="14"/>
                <w:szCs w:val="16"/>
              </w:rPr>
              <w:t>n</w:t>
            </w:r>
            <w:proofErr w:type="gramEnd"/>
            <w:r w:rsidRPr="005E28D9">
              <w:rPr>
                <w:rFonts w:ascii="Times New Roman" w:hAnsi="Times New Roman"/>
                <w:sz w:val="14"/>
                <w:szCs w:val="16"/>
              </w:rPr>
              <w:t xml:space="preserve"> 32/ECA Historia clínica examen físico, Análisis de orina, cultivo de orina y análisis 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urodinámico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>. IU de esfuerzo (IUE) o IU mixta (MUI)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 xml:space="preserve">12 semanas. Programa de ejercicio común. Evaluación inicial: Educación en 1ª consulta. DV 3 días KHQ Revisiones </w:t>
            </w:r>
            <w:r w:rsidRPr="005E28D9">
              <w:rPr>
                <w:rFonts w:ascii="Times New Roman" w:hAnsi="Times New Roman"/>
                <w:sz w:val="14"/>
                <w:szCs w:val="16"/>
              </w:rPr>
              <w:lastRenderedPageBreak/>
              <w:t xml:space="preserve">cada 15 días: cumplimiento y 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Perineometría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>. Portátil software: EMSP</w:t>
            </w:r>
            <w:proofErr w:type="gramStart"/>
            <w:r w:rsidRPr="005E28D9">
              <w:rPr>
                <w:rFonts w:ascii="Times New Roman" w:hAnsi="Times New Roman"/>
                <w:sz w:val="14"/>
                <w:szCs w:val="16"/>
              </w:rPr>
              <w:t>( n</w:t>
            </w:r>
            <w:proofErr w:type="gramEnd"/>
            <w:r w:rsidRPr="005E28D9">
              <w:rPr>
                <w:rFonts w:ascii="Times New Roman" w:hAnsi="Times New Roman"/>
                <w:sz w:val="14"/>
                <w:szCs w:val="16"/>
              </w:rPr>
              <w:t xml:space="preserve"> = 11) EMSP-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biofeedback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 xml:space="preserve"> (n = 10) EMSP-estimulación eléctrica (n = 11).</w:t>
            </w:r>
          </w:p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lastRenderedPageBreak/>
              <w:t xml:space="preserve">Calidad de vida mejora (Pb0.02) DV menos episodios de pérdidas de orina (Pb0.05).Parámetros 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urodinámicos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 xml:space="preserve"> y 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perineométricos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 xml:space="preserve">, aumento de </w:t>
            </w:r>
            <w:r w:rsidRPr="005E28D9">
              <w:rPr>
                <w:rFonts w:ascii="Times New Roman" w:hAnsi="Times New Roman"/>
                <w:sz w:val="14"/>
                <w:szCs w:val="16"/>
              </w:rPr>
              <w:lastRenderedPageBreak/>
              <w:t xml:space="preserve">fuerza (Pb0.05) Rendimiento mejor grupo 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biofeedback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 xml:space="preserve"> (P = 0.025).</w:t>
            </w:r>
          </w:p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lastRenderedPageBreak/>
              <w:t>3 meses Cumplimiento  similar 3 grupos (p = 0,201).</w:t>
            </w:r>
          </w:p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 xml:space="preserve"> Programa de ejercicios sin equipo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Perineometría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 xml:space="preserve"> KHQ DV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No/No recoge datos de adherencia en fase domiciliaria.</w:t>
            </w:r>
          </w:p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</w:p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0" w:type="auto"/>
          </w:tcPr>
          <w:p w:rsidR="000C2444" w:rsidRPr="005E28D9" w:rsidRDefault="000C2444" w:rsidP="00E8657A">
            <w:pPr>
              <w:spacing w:line="23" w:lineRule="atLeast"/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La mayoría de los pacientes mantienen resultados alcanzados. 6 los pacientes con buena respuesta inicial se quejaron de IU; sin embargo, no continuaron los ejercicios.</w:t>
            </w:r>
          </w:p>
          <w:p w:rsidR="000C2444" w:rsidRPr="005E28D9" w:rsidRDefault="000C2444" w:rsidP="00E8657A">
            <w:pPr>
              <w:spacing w:line="23" w:lineRule="atLeast"/>
              <w:rPr>
                <w:rFonts w:ascii="Times New Roman" w:hAnsi="Times New Roman"/>
                <w:sz w:val="14"/>
                <w:szCs w:val="16"/>
              </w:rPr>
            </w:pPr>
          </w:p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</w:tr>
      <w:tr w:rsidR="000C2444" w:rsidRPr="005E28D9" w:rsidTr="00E8657A">
        <w:trPr>
          <w:trHeight w:val="77"/>
        </w:trPr>
        <w:tc>
          <w:tcPr>
            <w:tcW w:w="0" w:type="auto"/>
          </w:tcPr>
          <w:p w:rsidR="000C2444" w:rsidRDefault="000C2444" w:rsidP="00E8657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C2444" w:rsidRDefault="000C2444" w:rsidP="00E8657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C2444" w:rsidRDefault="000C2444" w:rsidP="00E8657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C2444" w:rsidRPr="00767C0B" w:rsidRDefault="000C2444" w:rsidP="00E8657A">
            <w:pPr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proofErr w:type="spellStart"/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Borello</w:t>
            </w:r>
            <w:proofErr w:type="spellEnd"/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-France et al. 2013</w:t>
            </w:r>
            <w:r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26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 xml:space="preserve">N= 296 Análisis secundario planificado de datos de ECA de múltiples sitios/  (IUE/IUM) predominante de estrés. (Diario 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miccional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>, examen clínico).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 xml:space="preserve">Intervención conductual (incluye EMSP) sola (n = 146) o con pesarios (n = 150) Ambos grupos: 4 visitas clínicas a intervalos de 2 a 3 semanas (periodo máx. de10 semanas). Palpación vaginal (Escala 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Brink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 xml:space="preserve">) Diario 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miccional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>.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A los 3 y 6 m adherencia del 95% y 88%. Buena disposición hacia el ejercicio se mantiene entre grupos. Barreras a adherencia: falta de tiempo, falta de recuerdo, falta de seguridad en efectividad. Mejora subjetiva</w:t>
            </w:r>
          </w:p>
          <w:p w:rsidR="000C2444" w:rsidRPr="005E28D9" w:rsidRDefault="000C2444" w:rsidP="00E865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 xml:space="preserve">12 meses Pérdidas a los 3 meses 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postintervención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>. G Intervención conductual: n= 29 Grupo pesario + intervención n =36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Las mujeres no  recibieron ninguna instrucción adicional después de la visita de 3 meses posterior a la aleatorización. Revisión de cuestionarios de adherencia a 6 y 12 meses posteriores a la aleatorización Las barreras a la adherencia se miden solo en la fase de intervención.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Datos de cuestionarios de pacientes para adherencia. Mejoría subjetiva: sin diferencia entre grupos.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Pérdidas a los 12 meses. G Intervención conductual: n= 3(total desde inicio n=32) Grupo pesario + intervención =0 (total desde inicio n=36) Adherencia 80% para continuar tratamiento. Pero de ellas el 61% lo realiza al menos 3 veces en semana.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spacing w:line="23" w:lineRule="atLeast"/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La barrera "tener problemas para recordar hacer ejercicios" se relacionó de manera significativa con la adherencia al ejercicio a los 12 meses (P &lt;0.001). Las tasas de ejercicio a largo plazo no difirieron entre grupos.</w:t>
            </w:r>
          </w:p>
        </w:tc>
      </w:tr>
      <w:tr w:rsidR="000C2444" w:rsidRPr="005E28D9" w:rsidTr="00E8657A">
        <w:trPr>
          <w:trHeight w:val="1981"/>
        </w:trPr>
        <w:tc>
          <w:tcPr>
            <w:tcW w:w="993" w:type="dxa"/>
          </w:tcPr>
          <w:p w:rsidR="000C2444" w:rsidRDefault="000C2444" w:rsidP="00E8657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C2444" w:rsidRDefault="000C2444" w:rsidP="00E8657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C2444" w:rsidRPr="00767C0B" w:rsidRDefault="000C2444" w:rsidP="00E8657A">
            <w:pPr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proofErr w:type="spellStart"/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Sacomori</w:t>
            </w:r>
            <w:proofErr w:type="spellEnd"/>
            <w:r w:rsidRPr="005E28D9">
              <w:rPr>
                <w:rFonts w:ascii="Times New Roman" w:hAnsi="Times New Roman"/>
                <w:b/>
                <w:sz w:val="16"/>
                <w:szCs w:val="16"/>
              </w:rPr>
              <w:t xml:space="preserve"> et al. 2015</w:t>
            </w:r>
            <w:r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23</w:t>
            </w:r>
          </w:p>
        </w:tc>
        <w:tc>
          <w:tcPr>
            <w:tcW w:w="1958" w:type="dxa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N 86/ ECA GC=43 GE=43. IUE IUU IUM basados en historia clínica,  examen físico y cuestionario  ICIQ-SF</w:t>
            </w:r>
          </w:p>
          <w:p w:rsidR="000C2444" w:rsidRPr="005E28D9" w:rsidRDefault="000C2444" w:rsidP="00E8657A">
            <w:pPr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1958" w:type="dxa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Todos los participantes se sometieron a  3 visitas clínicas de fisioterapia individual en día 0, 15 y 30. GC EMSP. GE  recibió además intervenciones para mejorar la autoeficacia:</w:t>
            </w:r>
          </w:p>
          <w:p w:rsidR="000C2444" w:rsidRPr="005E28D9" w:rsidRDefault="000C2444" w:rsidP="00E8657A">
            <w:pPr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2181" w:type="dxa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Alta puntuación en cuestionario de adherencia sin diferencia entre grupos. Media de 71% de nota en cuestionario que se valora de 2 a 21 (media 15 puntos). Mejoría en ICIQ-SF en GE el día 30</w:t>
            </w:r>
          </w:p>
        </w:tc>
        <w:tc>
          <w:tcPr>
            <w:tcW w:w="1186" w:type="dxa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2 meses</w:t>
            </w:r>
          </w:p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7  mujeres se retiraron de cada grupo antes de la evaluación del día 30.</w:t>
            </w:r>
          </w:p>
        </w:tc>
        <w:tc>
          <w:tcPr>
            <w:tcW w:w="1291" w:type="dxa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Ejercicio domiciliario</w:t>
            </w:r>
          </w:p>
        </w:tc>
        <w:tc>
          <w:tcPr>
            <w:tcW w:w="1863" w:type="dxa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Adherencia: cuestionario validado y diario. Autoeficacia (día 90) Escala auto referida. Incontinencia urinaria y función muscular del suelo pélvico, exploración física. (Oxford). ICIQ-SF 90 días</w:t>
            </w:r>
          </w:p>
        </w:tc>
        <w:tc>
          <w:tcPr>
            <w:tcW w:w="1891" w:type="dxa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Entre los días 30 y 90 no hubo pérdidas</w:t>
            </w:r>
          </w:p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</w:p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2293" w:type="dxa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Adherencia: 56% del grupo experimental y el 44% del grupo de control realizaban los ejercicios todos los días.</w:t>
            </w:r>
          </w:p>
          <w:p w:rsidR="000C2444" w:rsidRPr="005E28D9" w:rsidRDefault="000C2444" w:rsidP="00E8657A">
            <w:pPr>
              <w:spacing w:line="23" w:lineRule="atLeast"/>
              <w:rPr>
                <w:rFonts w:ascii="Times New Roman" w:hAnsi="Times New Roman"/>
                <w:sz w:val="14"/>
                <w:szCs w:val="16"/>
              </w:rPr>
            </w:pPr>
          </w:p>
        </w:tc>
      </w:tr>
      <w:tr w:rsidR="000C2444" w:rsidRPr="005E28D9" w:rsidTr="00E8657A">
        <w:trPr>
          <w:trHeight w:val="848"/>
        </w:trPr>
        <w:tc>
          <w:tcPr>
            <w:tcW w:w="993" w:type="dxa"/>
          </w:tcPr>
          <w:p w:rsidR="000C2444" w:rsidRPr="005E28D9" w:rsidRDefault="000C2444" w:rsidP="00E8657A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ESTUDIO autor/año</w:t>
            </w:r>
          </w:p>
        </w:tc>
        <w:tc>
          <w:tcPr>
            <w:tcW w:w="1958" w:type="dxa"/>
          </w:tcPr>
          <w:p w:rsidR="000C2444" w:rsidRPr="005E28D9" w:rsidRDefault="000C2444" w:rsidP="00E8657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N mujeres /Metodología/Tipo IU</w:t>
            </w:r>
          </w:p>
        </w:tc>
        <w:tc>
          <w:tcPr>
            <w:tcW w:w="1958" w:type="dxa"/>
          </w:tcPr>
          <w:p w:rsidR="000C2444" w:rsidRPr="005E28D9" w:rsidRDefault="000C2444" w:rsidP="00E8657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Intervención</w:t>
            </w:r>
          </w:p>
        </w:tc>
        <w:tc>
          <w:tcPr>
            <w:tcW w:w="2181" w:type="dxa"/>
          </w:tcPr>
          <w:p w:rsidR="000C2444" w:rsidRPr="005E28D9" w:rsidRDefault="000C2444" w:rsidP="00E8657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Efecto corto plazo</w:t>
            </w:r>
          </w:p>
        </w:tc>
        <w:tc>
          <w:tcPr>
            <w:tcW w:w="1186" w:type="dxa"/>
          </w:tcPr>
          <w:p w:rsidR="000C2444" w:rsidRPr="005E28D9" w:rsidRDefault="000C2444" w:rsidP="00E8657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Periodo de seguimiento</w:t>
            </w:r>
          </w:p>
        </w:tc>
        <w:tc>
          <w:tcPr>
            <w:tcW w:w="1291" w:type="dxa"/>
          </w:tcPr>
          <w:p w:rsidR="000C2444" w:rsidRPr="005E28D9" w:rsidRDefault="000C2444" w:rsidP="00E8657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28D9">
              <w:rPr>
                <w:rFonts w:ascii="Times New Roman" w:hAnsi="Times New Roman"/>
                <w:b/>
                <w:sz w:val="16"/>
                <w:szCs w:val="16"/>
              </w:rPr>
              <w:t xml:space="preserve">Intervención para </w:t>
            </w:r>
            <w:r w:rsidRPr="005E28D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seguimiento</w:t>
            </w:r>
          </w:p>
        </w:tc>
        <w:tc>
          <w:tcPr>
            <w:tcW w:w="1863" w:type="dxa"/>
          </w:tcPr>
          <w:p w:rsidR="000C2444" w:rsidRPr="005E28D9" w:rsidRDefault="000C2444" w:rsidP="00E8657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28D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Medidas de resultado tras </w:t>
            </w:r>
            <w:r w:rsidRPr="005E28D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seguimiento</w:t>
            </w:r>
          </w:p>
        </w:tc>
        <w:tc>
          <w:tcPr>
            <w:tcW w:w="1891" w:type="dxa"/>
          </w:tcPr>
          <w:p w:rsidR="000C2444" w:rsidRPr="005E28D9" w:rsidRDefault="000C2444" w:rsidP="00E8657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28D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Pérdida de seguimiento/ adherencia </w:t>
            </w:r>
            <w:r w:rsidRPr="005E28D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seguimiento</w:t>
            </w:r>
          </w:p>
        </w:tc>
        <w:tc>
          <w:tcPr>
            <w:tcW w:w="2293" w:type="dxa"/>
          </w:tcPr>
          <w:p w:rsidR="000C2444" w:rsidRPr="005E28D9" w:rsidRDefault="000C2444" w:rsidP="00E8657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28D9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Efecto en el largo plazo</w:t>
            </w:r>
          </w:p>
        </w:tc>
      </w:tr>
      <w:tr w:rsidR="000C2444" w:rsidRPr="005E28D9" w:rsidTr="00E8657A">
        <w:trPr>
          <w:trHeight w:val="1683"/>
        </w:trPr>
        <w:tc>
          <w:tcPr>
            <w:tcW w:w="0" w:type="auto"/>
          </w:tcPr>
          <w:p w:rsidR="000C2444" w:rsidRDefault="000C2444" w:rsidP="00E8657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C2444" w:rsidRDefault="000C2444" w:rsidP="00E8657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C2444" w:rsidRPr="00767C0B" w:rsidRDefault="000C2444" w:rsidP="00E8657A">
            <w:pPr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Porta Roda et al. 2016</w:t>
            </w:r>
            <w:r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 xml:space="preserve">N 65/Análisis secundario de un ensayo aleatorizado (IU) (ICIQ-SF) No especifica 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subclasificación</w:t>
            </w:r>
            <w:proofErr w:type="spellEnd"/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 xml:space="preserve">GE= 35 EMSP y esferas vaginales. GC= 30 EMSP. GC Y GE: 15 min dos veces/día al menos 5 días/semana durante 6 meses. Visita a Fisioterapeuta día 0 y 7. Folleto de instrucciones para casa .Entre ambos se 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subclasifican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 xml:space="preserve"> en Adherentes y NO Adherentes. Adherencia día 7 MGQGC= 60% (n = 18) GE=65,7% (n = 23)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No diferencias significativas entre grupos en Adherencia. Día 30 GC50%- GE48,6% Día 90 GC50%-GE57;1%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6 meses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Controles por fisioterapeuta. Evaluación clínica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 xml:space="preserve">Adherencia: cuestionario 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Morisky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>-Green (MGQ)/ICIQ-SF/prueba de almohadilla de 1 h/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The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 xml:space="preserve"> Kings 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Health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Questionnaire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 xml:space="preserve"> (KHQ)/ Escala de Likert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No pérdidas. No diferencias significativas en la adherencia al tratamiento entre los grupos pero sí una disminución en ambos grupos. GC 33.3% (n = 10) GE 42.9% (n = 15)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Las puntuaciones de ICIQ-SF al final del seguimiento entre mujeres adherentes y no adherentes fueron similares y no mostraron diferencias significativas (p = 0,143) independientemente de la asignación inicial. No indica los datos originales de cambio en la puntuación del cuestionario ICIQ-SF: no diferencias entre grupos. No indica datos estadísticos.</w:t>
            </w:r>
          </w:p>
        </w:tc>
      </w:tr>
      <w:tr w:rsidR="000C2444" w:rsidRPr="005E28D9" w:rsidTr="00E8657A">
        <w:tc>
          <w:tcPr>
            <w:tcW w:w="0" w:type="auto"/>
          </w:tcPr>
          <w:p w:rsidR="000C2444" w:rsidRDefault="000C2444" w:rsidP="00E8657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C2444" w:rsidRDefault="000C2444" w:rsidP="00E8657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C2444" w:rsidRPr="00767C0B" w:rsidRDefault="000C2444" w:rsidP="00E8657A">
            <w:pPr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proofErr w:type="spellStart"/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Osborne</w:t>
            </w:r>
            <w:proofErr w:type="spellEnd"/>
            <w:r w:rsidRPr="005E28D9">
              <w:rPr>
                <w:rFonts w:ascii="Times New Roman" w:hAnsi="Times New Roman"/>
                <w:b/>
                <w:sz w:val="16"/>
                <w:szCs w:val="16"/>
              </w:rPr>
              <w:t xml:space="preserve"> et al. 2016 </w:t>
            </w:r>
            <w:r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22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N 31/ECA/Pacientes con</w:t>
            </w:r>
            <w:r w:rsidRPr="005E28D9">
              <w:rPr>
                <w:rFonts w:ascii="Times New Roman" w:hAnsi="Times New Roman"/>
                <w:b/>
                <w:sz w:val="14"/>
                <w:szCs w:val="16"/>
              </w:rPr>
              <w:t xml:space="preserve"> </w:t>
            </w:r>
            <w:r w:rsidRPr="005E28D9">
              <w:rPr>
                <w:rFonts w:ascii="Times New Roman" w:hAnsi="Times New Roman"/>
                <w:sz w:val="14"/>
                <w:szCs w:val="16"/>
              </w:rPr>
              <w:t>niveles moderados de depresión y ansiedad. IU ( IUE, IUU,IUM)*Historia clínica y examen físico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spacing w:line="23" w:lineRule="atLeast"/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GC: EMSP  (n = 15) GE: Apoyo motivacional (MI</w:t>
            </w:r>
            <w:proofErr w:type="gramStart"/>
            <w:r w:rsidRPr="005E28D9">
              <w:rPr>
                <w:rFonts w:ascii="Times New Roman" w:hAnsi="Times New Roman"/>
                <w:sz w:val="14"/>
                <w:szCs w:val="16"/>
              </w:rPr>
              <w:t>)(</w:t>
            </w:r>
            <w:proofErr w:type="gramEnd"/>
            <w:r w:rsidRPr="005E28D9">
              <w:rPr>
                <w:rFonts w:ascii="Times New Roman" w:hAnsi="Times New Roman"/>
                <w:sz w:val="14"/>
                <w:szCs w:val="16"/>
              </w:rPr>
              <w:t xml:space="preserve"> 3 sesiones grupales) y EMSP (n = 16) Diario. EMSP: 6 sesiones grupales y visitas individuales entre sesiones entre las 2ª y 3ª grupal y tras la 6ª grupal. Ejercicio domiciliario 2/ día entre sesiones grupales. </w:t>
            </w:r>
          </w:p>
          <w:p w:rsidR="000C2444" w:rsidRPr="005E28D9" w:rsidRDefault="000C2444" w:rsidP="00E8657A">
            <w:pPr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No se recoge. Se estima una media de asistencia a final de intervención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6 meses</w:t>
            </w:r>
          </w:p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</w:p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Sesiones grupales y visitas individuales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Asistencia del paciente a la sesiones grupales Diarios en casa (GE)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No hay pérdidas. La media del número de clases atendidas por el GE EMSP + MI fue 4.75 (+ 1.39), en comparación con 3.33 (+ 1.63) para el grupo de solo EMSP diferencia estadísticamente significativa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50% más de cumplimiento en GE</w:t>
            </w:r>
          </w:p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</w:tr>
      <w:tr w:rsidR="000C2444" w:rsidRPr="005E28D9" w:rsidTr="00E8657A">
        <w:tc>
          <w:tcPr>
            <w:tcW w:w="0" w:type="auto"/>
          </w:tcPr>
          <w:p w:rsidR="000C2444" w:rsidRDefault="000C2444" w:rsidP="00E8657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C2444" w:rsidRDefault="000C2444" w:rsidP="00E8657A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C2444" w:rsidRPr="00767C0B" w:rsidRDefault="000C2444" w:rsidP="00E8657A">
            <w:pPr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proofErr w:type="spellStart"/>
            <w:r w:rsidRPr="005E28D9">
              <w:rPr>
                <w:rFonts w:ascii="Times New Roman" w:hAnsi="Times New Roman"/>
                <w:b/>
                <w:sz w:val="16"/>
                <w:szCs w:val="16"/>
              </w:rPr>
              <w:t>Fitz</w:t>
            </w:r>
            <w:proofErr w:type="spellEnd"/>
            <w:r w:rsidRPr="005E28D9">
              <w:rPr>
                <w:rFonts w:ascii="Times New Roman" w:hAnsi="Times New Roman"/>
                <w:b/>
                <w:sz w:val="16"/>
                <w:szCs w:val="16"/>
              </w:rPr>
              <w:t xml:space="preserve"> et al. 2016 </w:t>
            </w:r>
            <w:r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 xml:space="preserve">N 72/ECA/IUE examen clínico y test de compresa  (o IUM con predominancia IUE en valoración por informe de los pacientes). </w:t>
            </w:r>
            <w:r w:rsidRPr="005E28D9">
              <w:rPr>
                <w:rFonts w:ascii="Times New Roman" w:hAnsi="Times New Roman"/>
                <w:sz w:val="14"/>
                <w:szCs w:val="16"/>
              </w:rPr>
              <w:lastRenderedPageBreak/>
              <w:t>Evaluación al inicio/ tras 3 meses de tratamiento supervisado.</w:t>
            </w:r>
          </w:p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lastRenderedPageBreak/>
              <w:t>Comparación entre G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Pr="005E28D9">
              <w:rPr>
                <w:rFonts w:ascii="Times New Roman" w:hAnsi="Times New Roman"/>
                <w:sz w:val="14"/>
                <w:szCs w:val="16"/>
              </w:rPr>
              <w:t xml:space="preserve">BF n=35 (BF ambulatorio +EMSP domiciliario)/ GEMSP n=37 </w:t>
            </w:r>
            <w:r w:rsidRPr="005E28D9">
              <w:rPr>
                <w:rFonts w:ascii="Times New Roman" w:hAnsi="Times New Roman"/>
                <w:sz w:val="14"/>
                <w:szCs w:val="16"/>
              </w:rPr>
              <w:lastRenderedPageBreak/>
              <w:t>(EMSP ambulatorio +EMSP domiciliario). Sesiones ambulatorias: 24 de 40 min. EMSP domiciliario personalizado PERFECT. Diario de ejercicio evaluado a los 3 meses</w:t>
            </w:r>
          </w:p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lastRenderedPageBreak/>
              <w:t>Pérdida G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Pr="005E28D9">
              <w:rPr>
                <w:rFonts w:ascii="Times New Roman" w:hAnsi="Times New Roman"/>
                <w:sz w:val="14"/>
                <w:szCs w:val="16"/>
              </w:rPr>
              <w:t>BF n=5 G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Pr="005E28D9">
              <w:rPr>
                <w:rFonts w:ascii="Times New Roman" w:hAnsi="Times New Roman"/>
                <w:sz w:val="14"/>
                <w:szCs w:val="16"/>
              </w:rPr>
              <w:t xml:space="preserve">EMSP n=7 Frecuencia similar  de ejercicios mensuales en casa GBF </w:t>
            </w:r>
            <w:r w:rsidRPr="005E28D9">
              <w:rPr>
                <w:rFonts w:ascii="Times New Roman" w:hAnsi="Times New Roman"/>
                <w:sz w:val="14"/>
                <w:szCs w:val="16"/>
              </w:rPr>
              <w:lastRenderedPageBreak/>
              <w:t>(67.9 de 82</w:t>
            </w:r>
            <w:r w:rsidRPr="00CC428E">
              <w:rPr>
                <w:rStyle w:val="FootnoteReference"/>
              </w:rPr>
              <w:footnoteReference w:id="1"/>
            </w:r>
            <w:r w:rsidRPr="005E28D9">
              <w:rPr>
                <w:rFonts w:ascii="Times New Roman" w:hAnsi="Times New Roman"/>
                <w:sz w:val="14"/>
                <w:szCs w:val="16"/>
              </w:rPr>
              <w:t>) y GPFMT (68.2 de 82). Igual satisfacción, pero una curación objetiva superior de la IUE para el grupo BF. (Probabilidad de curación tres veces mayor en GBF) Adherencia: GBF=85.7%  GEMSP=81.1%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lastRenderedPageBreak/>
              <w:t>9 meses</w:t>
            </w:r>
          </w:p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t>G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Pr="005E28D9">
              <w:rPr>
                <w:rFonts w:ascii="Times New Roman" w:hAnsi="Times New Roman"/>
                <w:sz w:val="14"/>
                <w:szCs w:val="16"/>
              </w:rPr>
              <w:t>BF  y GE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Pr="005E28D9">
              <w:rPr>
                <w:rFonts w:ascii="Times New Roman" w:hAnsi="Times New Roman"/>
                <w:sz w:val="14"/>
                <w:szCs w:val="16"/>
              </w:rPr>
              <w:t xml:space="preserve">MSPM. Sólo EMSP domiciliario. Contacto telefónico para </w:t>
            </w:r>
            <w:r w:rsidRPr="005E28D9">
              <w:rPr>
                <w:rFonts w:ascii="Times New Roman" w:hAnsi="Times New Roman"/>
                <w:sz w:val="14"/>
                <w:szCs w:val="16"/>
              </w:rPr>
              <w:lastRenderedPageBreak/>
              <w:t>evaluación final</w:t>
            </w:r>
          </w:p>
          <w:p w:rsidR="000C2444" w:rsidRPr="005E28D9" w:rsidRDefault="000C2444" w:rsidP="00E8657A">
            <w:pPr>
              <w:rPr>
                <w:rFonts w:ascii="Times New Roman" w:hAnsi="Times New Roman"/>
                <w:b/>
                <w:sz w:val="14"/>
                <w:szCs w:val="16"/>
              </w:rPr>
            </w:pP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lastRenderedPageBreak/>
              <w:t>Ad</w:t>
            </w:r>
            <w:r>
              <w:rPr>
                <w:rFonts w:ascii="Times New Roman" w:hAnsi="Times New Roman"/>
                <w:sz w:val="14"/>
                <w:szCs w:val="16"/>
              </w:rPr>
              <w:t>herencia  hogar. (Diarios). Frecuencia</w:t>
            </w:r>
            <w:r w:rsidRPr="005E28D9">
              <w:rPr>
                <w:rFonts w:ascii="Times New Roman" w:hAnsi="Times New Roman"/>
                <w:sz w:val="14"/>
                <w:szCs w:val="16"/>
              </w:rPr>
              <w:t xml:space="preserve">. Asistencia ambulatoria    (notas 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Fisio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 xml:space="preserve">) Síntomas urinarios      </w:t>
            </w:r>
            <w:r w:rsidRPr="005E28D9">
              <w:rPr>
                <w:rFonts w:ascii="Times New Roman" w:hAnsi="Times New Roman"/>
                <w:sz w:val="14"/>
                <w:szCs w:val="16"/>
              </w:rPr>
              <w:lastRenderedPageBreak/>
              <w:t xml:space="preserve">(Diario 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miccional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>), función muscular            (Oxford)  Fuerza (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Perineometría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>) Gravedad, curación de la IUE (test de compresa) Cura subjetiva, (informe paciente), calidad de vida. (I-</w:t>
            </w:r>
            <w:proofErr w:type="spellStart"/>
            <w:r w:rsidRPr="005E28D9">
              <w:rPr>
                <w:rFonts w:ascii="Times New Roman" w:hAnsi="Times New Roman"/>
                <w:sz w:val="14"/>
                <w:szCs w:val="16"/>
              </w:rPr>
              <w:t>QoL</w:t>
            </w:r>
            <w:proofErr w:type="spellEnd"/>
            <w:r w:rsidRPr="005E28D9">
              <w:rPr>
                <w:rFonts w:ascii="Times New Roman" w:hAnsi="Times New Roman"/>
                <w:sz w:val="14"/>
                <w:szCs w:val="16"/>
              </w:rPr>
              <w:t>).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lastRenderedPageBreak/>
              <w:t>G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Pr="005E28D9">
              <w:rPr>
                <w:rFonts w:ascii="Times New Roman" w:hAnsi="Times New Roman"/>
                <w:sz w:val="14"/>
                <w:szCs w:val="16"/>
              </w:rPr>
              <w:t>BF n=5 G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Pr="005E28D9">
              <w:rPr>
                <w:rFonts w:ascii="Times New Roman" w:hAnsi="Times New Roman"/>
                <w:sz w:val="14"/>
                <w:szCs w:val="16"/>
              </w:rPr>
              <w:t xml:space="preserve">EMSP n=6 El cumplimiento de los ejercicios en casa fue similar (alrededor del 50%) y se redujo </w:t>
            </w:r>
            <w:r w:rsidRPr="005E28D9">
              <w:rPr>
                <w:rFonts w:ascii="Times New Roman" w:hAnsi="Times New Roman"/>
                <w:sz w:val="14"/>
                <w:szCs w:val="16"/>
              </w:rPr>
              <w:lastRenderedPageBreak/>
              <w:t>significativamente en ambos grupos en comparación con los resultados de 3 meses (alrededor del 85%): GBF=51.4% GEMSP=48.6%</w:t>
            </w:r>
          </w:p>
        </w:tc>
        <w:tc>
          <w:tcPr>
            <w:tcW w:w="0" w:type="auto"/>
          </w:tcPr>
          <w:p w:rsidR="000C2444" w:rsidRPr="005E28D9" w:rsidRDefault="000C2444" w:rsidP="00E8657A">
            <w:pPr>
              <w:rPr>
                <w:rFonts w:ascii="Times New Roman" w:hAnsi="Times New Roman"/>
                <w:sz w:val="14"/>
                <w:szCs w:val="16"/>
              </w:rPr>
            </w:pPr>
            <w:r w:rsidRPr="005E28D9">
              <w:rPr>
                <w:rFonts w:ascii="Times New Roman" w:hAnsi="Times New Roman"/>
                <w:sz w:val="14"/>
                <w:szCs w:val="16"/>
              </w:rPr>
              <w:lastRenderedPageBreak/>
              <w:t xml:space="preserve">Ambas terapias mejoraron de manera similar la función muscular y la calidad de vida durante el estudio (P &lt;0.005). </w:t>
            </w:r>
            <w:r w:rsidRPr="005E28D9">
              <w:rPr>
                <w:rFonts w:ascii="Times New Roman" w:hAnsi="Times New Roman"/>
                <w:sz w:val="14"/>
                <w:szCs w:val="16"/>
              </w:rPr>
              <w:lastRenderedPageBreak/>
              <w:t xml:space="preserve">Mejoría en la calidad de vida igual y sostenida en el seguimiento. </w:t>
            </w:r>
          </w:p>
        </w:tc>
      </w:tr>
    </w:tbl>
    <w:p w:rsidR="000C2444" w:rsidRPr="005E28D9" w:rsidRDefault="000C2444" w:rsidP="000C2444">
      <w:pPr>
        <w:pStyle w:val="Caption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APÉNDICE B. </w:t>
      </w:r>
      <w:r w:rsidRPr="005E28D9">
        <w:rPr>
          <w:rFonts w:ascii="Times New Roman" w:hAnsi="Times New Roman"/>
          <w:sz w:val="16"/>
          <w:szCs w:val="16"/>
        </w:rPr>
        <w:t xml:space="preserve"> RESULTADOS Continuación</w:t>
      </w:r>
    </w:p>
    <w:p w:rsidR="000C2444" w:rsidRDefault="000C2444" w:rsidP="000C2444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ECA: Ensayo Clínico Aleatorizado</w:t>
      </w:r>
    </w:p>
    <w:p w:rsidR="000C2444" w:rsidRPr="007F1D27" w:rsidRDefault="000C2444" w:rsidP="000C2444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IUE: Incontinencia Urinaria de Esfuerzo. IUU: Incontinencia Urinaria de Urgencia. UIM: Incontinencia Urinaria Mixta. EMSP: Entrenamiento muscular de suelo pélvico. QOL: Calidad de vida. DV: Diario vesical. PERFECT: escala de evaluación de la musculatura del suelo pélvico (</w:t>
      </w:r>
      <w:proofErr w:type="spellStart"/>
      <w:r>
        <w:rPr>
          <w:rFonts w:ascii="Times New Roman" w:hAnsi="Times New Roman"/>
          <w:sz w:val="16"/>
          <w:szCs w:val="16"/>
        </w:rPr>
        <w:t>Laycock</w:t>
      </w:r>
      <w:proofErr w:type="spellEnd"/>
      <w:r>
        <w:rPr>
          <w:rFonts w:ascii="Times New Roman" w:hAnsi="Times New Roman"/>
          <w:sz w:val="16"/>
          <w:szCs w:val="16"/>
        </w:rPr>
        <w:t xml:space="preserve"> 2002). </w:t>
      </w:r>
    </w:p>
    <w:p w:rsidR="000C2444" w:rsidRPr="003C5A4F" w:rsidRDefault="000C2444" w:rsidP="000C2444">
      <w:pPr>
        <w:rPr>
          <w:rFonts w:ascii="Times New Roman" w:hAnsi="Times New Roman"/>
          <w:sz w:val="16"/>
          <w:szCs w:val="16"/>
          <w:lang w:val="en-GB"/>
        </w:rPr>
      </w:pPr>
      <w:r>
        <w:rPr>
          <w:rFonts w:ascii="Times New Roman" w:hAnsi="Times New Roman"/>
          <w:sz w:val="16"/>
          <w:szCs w:val="16"/>
        </w:rPr>
        <w:t xml:space="preserve">GE: Grupo Experimental.  </w:t>
      </w:r>
      <w:r w:rsidRPr="00CC428E">
        <w:rPr>
          <w:rFonts w:ascii="Times New Roman" w:hAnsi="Times New Roman"/>
          <w:sz w:val="16"/>
          <w:szCs w:val="16"/>
        </w:rPr>
        <w:t xml:space="preserve">GC: Grupo Control.  </w:t>
      </w:r>
      <w:r w:rsidRPr="003C5A4F">
        <w:rPr>
          <w:rFonts w:ascii="Times New Roman" w:hAnsi="Times New Roman"/>
          <w:sz w:val="16"/>
          <w:szCs w:val="16"/>
          <w:lang w:val="en-GB"/>
        </w:rPr>
        <w:t xml:space="preserve">BF: Biofeedback. MGQGC: </w:t>
      </w:r>
      <w:proofErr w:type="spellStart"/>
      <w:r>
        <w:rPr>
          <w:rFonts w:ascii="Times New Roman" w:hAnsi="Times New Roman"/>
          <w:sz w:val="16"/>
          <w:szCs w:val="16"/>
          <w:lang w:val="en-GB"/>
        </w:rPr>
        <w:t>Cuestionario</w:t>
      </w:r>
      <w:proofErr w:type="spellEnd"/>
      <w:r>
        <w:rPr>
          <w:rFonts w:ascii="Times New Roman" w:hAnsi="Times New Roman"/>
          <w:sz w:val="16"/>
          <w:szCs w:val="16"/>
          <w:lang w:val="en-GB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  <w:lang w:val="en-GB"/>
        </w:rPr>
        <w:t>Morisky</w:t>
      </w:r>
      <w:proofErr w:type="spellEnd"/>
      <w:r>
        <w:rPr>
          <w:rFonts w:ascii="Times New Roman" w:hAnsi="Times New Roman"/>
          <w:sz w:val="16"/>
          <w:szCs w:val="16"/>
          <w:lang w:val="en-GB"/>
        </w:rPr>
        <w:t>-Green</w:t>
      </w:r>
    </w:p>
    <w:p w:rsidR="000C2444" w:rsidRPr="003C5A4F" w:rsidRDefault="000C2444" w:rsidP="000C2444">
      <w:pPr>
        <w:pStyle w:val="Caption"/>
        <w:rPr>
          <w:rFonts w:ascii="Times New Roman" w:hAnsi="Times New Roman"/>
          <w:sz w:val="16"/>
          <w:szCs w:val="16"/>
          <w:lang w:val="en-GB"/>
        </w:rPr>
      </w:pPr>
    </w:p>
    <w:p w:rsidR="000C2444" w:rsidRPr="003C5A4F" w:rsidRDefault="000C2444" w:rsidP="000C2444">
      <w:pPr>
        <w:rPr>
          <w:rFonts w:ascii="Times New Roman" w:hAnsi="Times New Roman"/>
          <w:sz w:val="16"/>
          <w:szCs w:val="16"/>
          <w:lang w:val="en-GB"/>
        </w:rPr>
      </w:pPr>
    </w:p>
    <w:p w:rsidR="000C2444" w:rsidRPr="003C5A4F" w:rsidRDefault="000C2444" w:rsidP="000C2444">
      <w:pPr>
        <w:rPr>
          <w:rFonts w:ascii="Times New Roman" w:hAnsi="Times New Roman"/>
          <w:sz w:val="16"/>
          <w:szCs w:val="16"/>
          <w:lang w:val="en-GB"/>
        </w:rPr>
      </w:pPr>
    </w:p>
    <w:p w:rsidR="000C2444" w:rsidRPr="0070554E" w:rsidRDefault="000C2444" w:rsidP="000C2444">
      <w:pPr>
        <w:pStyle w:val="Caption"/>
        <w:rPr>
          <w:rFonts w:ascii="Times New Roman" w:hAnsi="Times New Roman"/>
        </w:rPr>
      </w:pPr>
      <w:r>
        <w:rPr>
          <w:rFonts w:ascii="Times New Roman" w:hAnsi="Times New Roman"/>
        </w:rPr>
        <w:t>APENDICE C</w:t>
      </w:r>
      <w:r w:rsidRPr="0070554E">
        <w:rPr>
          <w:rFonts w:ascii="Times New Roman" w:hAnsi="Times New Roman"/>
        </w:rPr>
        <w:t xml:space="preserve"> Evaluación de Calidad según </w:t>
      </w:r>
      <w:proofErr w:type="spellStart"/>
      <w:r w:rsidRPr="0070554E">
        <w:rPr>
          <w:rFonts w:ascii="Times New Roman" w:hAnsi="Times New Roman"/>
        </w:rPr>
        <w:t>Domoulin</w:t>
      </w:r>
      <w:proofErr w:type="spellEnd"/>
      <w:r w:rsidRPr="0070554E">
        <w:rPr>
          <w:rFonts w:ascii="Times New Roman" w:hAnsi="Times New Roman"/>
        </w:rPr>
        <w:t xml:space="preserve"> et al.</w:t>
      </w:r>
      <w:r>
        <w:rPr>
          <w:rFonts w:ascii="Times New Roman" w:hAnsi="Times New Roman"/>
        </w:rPr>
        <w:t xml:space="preserve"> (29)</w:t>
      </w:r>
      <w:r w:rsidRPr="0070554E">
        <w:rPr>
          <w:rFonts w:ascii="Times New Roman" w:hAnsi="Times New Roman"/>
        </w:rPr>
        <w:t xml:space="preserve"> </w:t>
      </w:r>
      <w:r w:rsidRPr="0070554E">
        <w:rPr>
          <w:rStyle w:val="FootnoteReference"/>
          <w:rFonts w:ascii="Times New Roman" w:hAnsi="Times New Roman"/>
        </w:rPr>
        <w:footnoteReference w:id="2"/>
      </w:r>
    </w:p>
    <w:tbl>
      <w:tblPr>
        <w:tblW w:w="12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44"/>
        <w:gridCol w:w="547"/>
        <w:gridCol w:w="642"/>
        <w:gridCol w:w="595"/>
        <w:gridCol w:w="642"/>
        <w:gridCol w:w="712"/>
        <w:gridCol w:w="713"/>
        <w:gridCol w:w="1373"/>
        <w:gridCol w:w="1373"/>
        <w:gridCol w:w="1373"/>
        <w:gridCol w:w="1373"/>
        <w:gridCol w:w="1450"/>
      </w:tblGrid>
      <w:tr w:rsidR="000C2444" w:rsidRPr="00A36C9F" w:rsidTr="00E8657A">
        <w:trPr>
          <w:trHeight w:val="244"/>
        </w:trPr>
        <w:tc>
          <w:tcPr>
            <w:tcW w:w="1551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b/>
                <w:bCs/>
                <w:sz w:val="20"/>
                <w:szCs w:val="20"/>
              </w:rPr>
              <w:t>Estudio</w:t>
            </w:r>
            <w:r w:rsidRPr="00A36C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34" w:type="dxa"/>
            <w:gridSpan w:val="4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1432" w:type="dxa"/>
            <w:gridSpan w:val="2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A36C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A36C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A36C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A36C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A36C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36C9F">
              <w:rPr>
                <w:rFonts w:ascii="Times New Roman" w:hAnsi="Times New Roman"/>
                <w:b/>
                <w:bCs/>
                <w:sz w:val="20"/>
                <w:szCs w:val="20"/>
              </w:rPr>
              <w:t>Puntuación/10</w:t>
            </w:r>
          </w:p>
        </w:tc>
      </w:tr>
      <w:tr w:rsidR="000C2444" w:rsidRPr="00A36C9F" w:rsidTr="00E8657A">
        <w:trPr>
          <w:trHeight w:val="611"/>
        </w:trPr>
        <w:tc>
          <w:tcPr>
            <w:tcW w:w="1551" w:type="dxa"/>
          </w:tcPr>
          <w:p w:rsidR="000C2444" w:rsidRPr="002646A8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spellStart"/>
            <w:r w:rsidRPr="00A36C9F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Borello</w:t>
            </w:r>
            <w:proofErr w:type="spellEnd"/>
            <w:r w:rsidRPr="00A36C9F">
              <w:rPr>
                <w:rFonts w:ascii="Times New Roman" w:hAnsi="Times New Roman"/>
                <w:b/>
                <w:bCs/>
                <w:sz w:val="20"/>
                <w:szCs w:val="20"/>
              </w:rPr>
              <w:t>-France et al. 2008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24</w:t>
            </w:r>
          </w:p>
        </w:tc>
        <w:tc>
          <w:tcPr>
            <w:tcW w:w="549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64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597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64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716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716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>5/10</w:t>
            </w:r>
          </w:p>
        </w:tc>
      </w:tr>
      <w:tr w:rsidR="000C2444" w:rsidRPr="00A36C9F" w:rsidTr="00E8657A">
        <w:trPr>
          <w:trHeight w:val="394"/>
        </w:trPr>
        <w:tc>
          <w:tcPr>
            <w:tcW w:w="1551" w:type="dxa"/>
          </w:tcPr>
          <w:p w:rsidR="000C2444" w:rsidRPr="002646A8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36C9F">
              <w:rPr>
                <w:rFonts w:ascii="Times New Roman" w:hAnsi="Times New Roman"/>
                <w:b/>
                <w:bCs/>
                <w:sz w:val="20"/>
                <w:szCs w:val="20"/>
              </w:rPr>
              <w:t>Schmidt et al 2009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28</w:t>
            </w:r>
          </w:p>
        </w:tc>
        <w:tc>
          <w:tcPr>
            <w:tcW w:w="549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64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597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64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716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716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>4/10</w:t>
            </w:r>
          </w:p>
        </w:tc>
      </w:tr>
      <w:tr w:rsidR="000C2444" w:rsidRPr="00A36C9F" w:rsidTr="00E8657A">
        <w:trPr>
          <w:trHeight w:val="394"/>
        </w:trPr>
        <w:tc>
          <w:tcPr>
            <w:tcW w:w="1551" w:type="dxa"/>
          </w:tcPr>
          <w:p w:rsidR="000C2444" w:rsidRPr="002646A8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spellStart"/>
            <w:r w:rsidRPr="00A36C9F">
              <w:rPr>
                <w:rFonts w:ascii="Times New Roman" w:hAnsi="Times New Roman"/>
                <w:b/>
                <w:bCs/>
                <w:sz w:val="20"/>
                <w:szCs w:val="20"/>
              </w:rPr>
              <w:t>Borello</w:t>
            </w:r>
            <w:proofErr w:type="spellEnd"/>
            <w:r w:rsidRPr="00A36C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et al 2013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549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64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597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64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716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716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>8/10</w:t>
            </w:r>
          </w:p>
        </w:tc>
      </w:tr>
      <w:tr w:rsidR="000C2444" w:rsidRPr="00A36C9F" w:rsidTr="00E8657A">
        <w:trPr>
          <w:trHeight w:val="489"/>
        </w:trPr>
        <w:tc>
          <w:tcPr>
            <w:tcW w:w="1551" w:type="dxa"/>
          </w:tcPr>
          <w:p w:rsidR="000C2444" w:rsidRPr="002646A8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spellStart"/>
            <w:r w:rsidRPr="00A36C9F">
              <w:rPr>
                <w:rFonts w:ascii="Times New Roman" w:hAnsi="Times New Roman"/>
                <w:b/>
                <w:bCs/>
                <w:sz w:val="20"/>
                <w:szCs w:val="20"/>
              </w:rPr>
              <w:t>Sacomori</w:t>
            </w:r>
            <w:proofErr w:type="spellEnd"/>
            <w:r w:rsidRPr="00A36C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et al. 2015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549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64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597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64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716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716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>9/10</w:t>
            </w:r>
          </w:p>
        </w:tc>
      </w:tr>
      <w:tr w:rsidR="000C2444" w:rsidRPr="00A36C9F" w:rsidTr="00E8657A">
        <w:trPr>
          <w:trHeight w:val="598"/>
        </w:trPr>
        <w:tc>
          <w:tcPr>
            <w:tcW w:w="1551" w:type="dxa"/>
          </w:tcPr>
          <w:p w:rsidR="000C2444" w:rsidRPr="002646A8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36C9F">
              <w:rPr>
                <w:rFonts w:ascii="Times New Roman" w:hAnsi="Times New Roman"/>
                <w:b/>
                <w:bCs/>
                <w:sz w:val="20"/>
                <w:szCs w:val="20"/>
              </w:rPr>
              <w:t>Porta Roda et al 2016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549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64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597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64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716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716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>10/10</w:t>
            </w:r>
          </w:p>
        </w:tc>
      </w:tr>
      <w:tr w:rsidR="000C2444" w:rsidRPr="00A36C9F" w:rsidTr="00E8657A">
        <w:trPr>
          <w:trHeight w:val="489"/>
        </w:trPr>
        <w:tc>
          <w:tcPr>
            <w:tcW w:w="1551" w:type="dxa"/>
          </w:tcPr>
          <w:p w:rsidR="000C2444" w:rsidRPr="002646A8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spellStart"/>
            <w:r w:rsidRPr="00A36C9F">
              <w:rPr>
                <w:rFonts w:ascii="Times New Roman" w:hAnsi="Times New Roman"/>
                <w:b/>
                <w:bCs/>
                <w:sz w:val="20"/>
                <w:szCs w:val="20"/>
              </w:rPr>
              <w:t>Osborne</w:t>
            </w:r>
            <w:proofErr w:type="spellEnd"/>
            <w:r w:rsidRPr="00A36C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et al. 2016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22</w:t>
            </w:r>
          </w:p>
        </w:tc>
        <w:tc>
          <w:tcPr>
            <w:tcW w:w="549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64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597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64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716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716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>8/10</w:t>
            </w:r>
          </w:p>
        </w:tc>
      </w:tr>
      <w:tr w:rsidR="000C2444" w:rsidRPr="00A36C9F" w:rsidTr="00E8657A">
        <w:trPr>
          <w:trHeight w:val="394"/>
        </w:trPr>
        <w:tc>
          <w:tcPr>
            <w:tcW w:w="1551" w:type="dxa"/>
          </w:tcPr>
          <w:p w:rsidR="000C2444" w:rsidRPr="002646A8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spellStart"/>
            <w:r w:rsidRPr="00A36C9F">
              <w:rPr>
                <w:rFonts w:ascii="Times New Roman" w:hAnsi="Times New Roman"/>
                <w:b/>
                <w:bCs/>
                <w:sz w:val="20"/>
                <w:szCs w:val="20"/>
              </w:rPr>
              <w:t>Fitz</w:t>
            </w:r>
            <w:proofErr w:type="spellEnd"/>
            <w:r w:rsidRPr="00A36C9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et al 2017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27</w:t>
            </w:r>
          </w:p>
        </w:tc>
        <w:tc>
          <w:tcPr>
            <w:tcW w:w="549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64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597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64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716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716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No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 xml:space="preserve">Sí </w:t>
            </w:r>
          </w:p>
        </w:tc>
        <w:tc>
          <w:tcPr>
            <w:tcW w:w="1384" w:type="dxa"/>
          </w:tcPr>
          <w:p w:rsidR="000C2444" w:rsidRPr="00A36C9F" w:rsidRDefault="000C2444" w:rsidP="00E865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6C9F">
              <w:rPr>
                <w:rFonts w:ascii="Times New Roman" w:hAnsi="Times New Roman"/>
                <w:sz w:val="20"/>
                <w:szCs w:val="20"/>
              </w:rPr>
              <w:t>8/10</w:t>
            </w:r>
          </w:p>
        </w:tc>
      </w:tr>
    </w:tbl>
    <w:p w:rsidR="000C2444" w:rsidRDefault="000C2444" w:rsidP="000C2444"/>
    <w:p w:rsidR="00194BC8" w:rsidRDefault="00194BC8">
      <w:bookmarkStart w:id="0" w:name="_GoBack"/>
      <w:bookmarkEnd w:id="0"/>
    </w:p>
    <w:sectPr w:rsidR="00194BC8" w:rsidSect="008366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7D2" w:rsidRDefault="009137D2" w:rsidP="000C2444">
      <w:pPr>
        <w:spacing w:after="0" w:line="240" w:lineRule="auto"/>
      </w:pPr>
      <w:r>
        <w:separator/>
      </w:r>
    </w:p>
  </w:endnote>
  <w:endnote w:type="continuationSeparator" w:id="0">
    <w:p w:rsidR="009137D2" w:rsidRDefault="009137D2" w:rsidP="000C2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7D2" w:rsidRDefault="009137D2" w:rsidP="000C2444">
      <w:pPr>
        <w:spacing w:after="0" w:line="240" w:lineRule="auto"/>
      </w:pPr>
      <w:r>
        <w:separator/>
      </w:r>
    </w:p>
  </w:footnote>
  <w:footnote w:type="continuationSeparator" w:id="0">
    <w:p w:rsidR="009137D2" w:rsidRDefault="009137D2" w:rsidP="000C2444">
      <w:pPr>
        <w:spacing w:after="0" w:line="240" w:lineRule="auto"/>
      </w:pPr>
      <w:r>
        <w:continuationSeparator/>
      </w:r>
    </w:p>
  </w:footnote>
  <w:footnote w:id="1">
    <w:p w:rsidR="000C2444" w:rsidRPr="00CC428E" w:rsidRDefault="000C2444" w:rsidP="000C2444">
      <w:pPr>
        <w:pStyle w:val="FootnoteText"/>
        <w:rPr>
          <w:rStyle w:val="FootnoteReference"/>
        </w:rPr>
      </w:pPr>
    </w:p>
  </w:footnote>
  <w:footnote w:id="2">
    <w:p w:rsidR="000C2444" w:rsidRPr="003A0D4F" w:rsidRDefault="000C2444" w:rsidP="000C2444">
      <w:pPr>
        <w:rPr>
          <w:rFonts w:ascii="Times New Roman" w:hAnsi="Times New Roma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3A0D4F">
        <w:rPr>
          <w:rFonts w:ascii="Times New Roman" w:hAnsi="Times New Roman"/>
          <w:sz w:val="16"/>
          <w:szCs w:val="16"/>
        </w:rPr>
        <w:t>Con objeto de una mejor aplicación de la evaluación, hemos subdividido los apartados 1 y 2 de la siguiente forma:</w:t>
      </w:r>
    </w:p>
    <w:p w:rsidR="000C2444" w:rsidRPr="003A0D4F" w:rsidRDefault="000C2444" w:rsidP="000C244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16"/>
          <w:szCs w:val="16"/>
        </w:rPr>
      </w:pPr>
      <w:r w:rsidRPr="003A0D4F">
        <w:rPr>
          <w:rFonts w:ascii="Times New Roman" w:hAnsi="Times New Roman"/>
          <w:sz w:val="16"/>
          <w:szCs w:val="16"/>
        </w:rPr>
        <w:t>Monitorización e información consistente del cumplimiento de todos los participantes del estudio independientemente de la asignación del grupo (1.1), y durante intervención clínica (1.2)  inmediatamente después del tratamiento (1.3)  y en el seguimiento (1.4)</w:t>
      </w:r>
    </w:p>
    <w:p w:rsidR="000C2444" w:rsidRPr="003A0D4F" w:rsidRDefault="000C2444" w:rsidP="000C244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16"/>
          <w:szCs w:val="16"/>
        </w:rPr>
      </w:pPr>
      <w:r w:rsidRPr="003A0D4F">
        <w:rPr>
          <w:rFonts w:ascii="Times New Roman" w:hAnsi="Times New Roman"/>
          <w:sz w:val="16"/>
          <w:szCs w:val="16"/>
        </w:rPr>
        <w:t>Descripción, en los métodos de estudio, del instrumento de medición de la adherencia (incluida la administración, las propiedades psicométricas, si están disponibles y el análisis de datos) (2.1) e informar clara y completamente los datos de adherencia en los resultados (2.2).</w:t>
      </w:r>
    </w:p>
    <w:p w:rsidR="000C2444" w:rsidRPr="003A0D4F" w:rsidRDefault="000C2444" w:rsidP="000C244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16"/>
          <w:szCs w:val="16"/>
        </w:rPr>
      </w:pPr>
      <w:r w:rsidRPr="003A0D4F">
        <w:rPr>
          <w:rFonts w:ascii="Times New Roman" w:hAnsi="Times New Roman"/>
          <w:sz w:val="16"/>
          <w:szCs w:val="16"/>
        </w:rPr>
        <w:t>Realización de evaluaciones psicométricas de los instrumentos de medición de la adherencia para identificar medidas robustas.</w:t>
      </w:r>
    </w:p>
    <w:p w:rsidR="000C2444" w:rsidRPr="003A0D4F" w:rsidRDefault="000C2444" w:rsidP="000C244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i/>
          <w:sz w:val="16"/>
          <w:szCs w:val="16"/>
        </w:rPr>
      </w:pPr>
      <w:r w:rsidRPr="003A0D4F">
        <w:rPr>
          <w:rFonts w:ascii="Times New Roman" w:hAnsi="Times New Roman"/>
          <w:sz w:val="16"/>
          <w:szCs w:val="16"/>
        </w:rPr>
        <w:t xml:space="preserve">Realización de un análisis primario o secundario de los determinantes de la adherencia suficientemente amplios. </w:t>
      </w:r>
    </w:p>
    <w:p w:rsidR="000C2444" w:rsidRPr="003A0D4F" w:rsidRDefault="000C2444" w:rsidP="000C244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16"/>
          <w:szCs w:val="16"/>
        </w:rPr>
      </w:pPr>
      <w:r w:rsidRPr="003A0D4F">
        <w:rPr>
          <w:rFonts w:ascii="Times New Roman" w:hAnsi="Times New Roman"/>
          <w:sz w:val="16"/>
          <w:szCs w:val="16"/>
        </w:rPr>
        <w:t xml:space="preserve"> Estudio de los determinantes previamente identificados (mediadores) (por ejemplo, intención de adherirse, autoeficacia, etc.).</w:t>
      </w:r>
    </w:p>
    <w:p w:rsidR="000C2444" w:rsidRPr="004915CD" w:rsidRDefault="000C2444" w:rsidP="000C2444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/>
          <w:sz w:val="16"/>
          <w:szCs w:val="16"/>
        </w:rPr>
      </w:pPr>
      <w:r w:rsidRPr="003A0D4F">
        <w:rPr>
          <w:rFonts w:ascii="Times New Roman" w:hAnsi="Times New Roman"/>
          <w:sz w:val="16"/>
          <w:szCs w:val="16"/>
        </w:rPr>
        <w:t>Diseñar estudios robustos experimentales y de observación para probar los efectos de las estrategias de adherencia identificadas como una intervención adicional al EMSP.</w:t>
      </w:r>
      <w:r>
        <w:rPr>
          <w:rFonts w:ascii="Times New Roman" w:hAnsi="Times New Roman"/>
          <w:sz w:val="16"/>
          <w:szCs w:val="16"/>
        </w:rPr>
        <w:t xml:space="preserve"> </w:t>
      </w:r>
      <w:r w:rsidRPr="004915CD">
        <w:rPr>
          <w:rFonts w:ascii="Times New Roman" w:hAnsi="Times New Roman"/>
          <w:sz w:val="16"/>
          <w:szCs w:val="16"/>
        </w:rPr>
        <w:t>Nota: Se ha considerado positivo el punto 6</w:t>
      </w:r>
      <w:r>
        <w:rPr>
          <w:rFonts w:ascii="Times New Roman" w:hAnsi="Times New Roman"/>
          <w:sz w:val="16"/>
          <w:szCs w:val="16"/>
        </w:rPr>
        <w:t>,</w:t>
      </w:r>
      <w:r w:rsidRPr="004915CD">
        <w:rPr>
          <w:rFonts w:ascii="Times New Roman" w:hAnsi="Times New Roman"/>
          <w:sz w:val="16"/>
          <w:szCs w:val="16"/>
        </w:rPr>
        <w:t xml:space="preserve"> si los puntos 1, 2 y 3 son  positivos. Por ello tres de los siete se han considerado positivos.</w:t>
      </w:r>
      <w:r w:rsidRPr="004915CD">
        <w:rPr>
          <w:rFonts w:ascii="Times New Roman" w:hAnsi="Times New Roman"/>
          <w:sz w:val="24"/>
          <w:szCs w:val="24"/>
        </w:rPr>
        <w:t xml:space="preserve"> </w:t>
      </w:r>
    </w:p>
    <w:p w:rsidR="000C2444" w:rsidRPr="003A0D4F" w:rsidRDefault="000C2444" w:rsidP="000C2444">
      <w:pPr>
        <w:pStyle w:val="ListParagraph"/>
        <w:spacing w:before="100" w:beforeAutospacing="1" w:after="100" w:afterAutospacing="1"/>
        <w:jc w:val="both"/>
        <w:rPr>
          <w:rFonts w:ascii="Times New Roman" w:hAnsi="Times New Roman"/>
          <w:sz w:val="16"/>
          <w:szCs w:val="16"/>
        </w:rPr>
      </w:pPr>
    </w:p>
    <w:p w:rsidR="000C2444" w:rsidRDefault="000C2444" w:rsidP="000C2444">
      <w:pPr>
        <w:pStyle w:val="ListParagraph"/>
        <w:spacing w:before="100" w:beforeAutospacing="1" w:after="100" w:afterAutospacing="1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6753A5"/>
    <w:multiLevelType w:val="hybridMultilevel"/>
    <w:tmpl w:val="3100463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44"/>
    <w:rsid w:val="000C2444"/>
    <w:rsid w:val="00194BC8"/>
    <w:rsid w:val="0091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AABBE-E038-4511-9498-9D48EF3C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444"/>
    <w:pPr>
      <w:spacing w:after="200" w:line="276" w:lineRule="auto"/>
    </w:pPr>
    <w:rPr>
      <w:rFonts w:ascii="Calibri" w:eastAsia="Times New Roman" w:hAnsi="Calibri" w:cs="Times New Roman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C2444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0C2444"/>
    <w:pPr>
      <w:keepNext/>
      <w:spacing w:beforeAutospacing="1" w:afterAutospacing="1" w:line="240" w:lineRule="auto"/>
      <w:jc w:val="both"/>
    </w:pPr>
    <w:rPr>
      <w:rFonts w:eastAsia="Calibri"/>
      <w:b/>
      <w:bCs/>
      <w:color w:val="4F81BD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C2444"/>
    <w:pPr>
      <w:spacing w:beforeAutospacing="1" w:after="0" w:afterAutospacing="1" w:line="240" w:lineRule="auto"/>
      <w:jc w:val="both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C244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444"/>
    <w:rPr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0C2444"/>
    <w:rPr>
      <w:vertAlign w:val="superscript"/>
    </w:rPr>
  </w:style>
  <w:style w:type="paragraph" w:styleId="ListParagraph">
    <w:name w:val="List Paragraph"/>
    <w:basedOn w:val="Normal"/>
    <w:uiPriority w:val="99"/>
    <w:qFormat/>
    <w:rsid w:val="000C2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2019-03-20T10:21:00Z</dcterms:created>
  <dcterms:modified xsi:type="dcterms:W3CDTF">2019-03-20T10:23:00Z</dcterms:modified>
</cp:coreProperties>
</file>