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C5" w:rsidRPr="00143FE9" w:rsidRDefault="006374C5" w:rsidP="006374C5">
      <w:bookmarkStart w:id="0" w:name="_GoBack"/>
      <w:bookmarkEnd w:id="0"/>
      <w:r w:rsidRPr="00143FE9">
        <w:rPr>
          <w:rFonts w:ascii="Arial" w:hAnsi="Arial" w:cs="Arial"/>
          <w:b/>
        </w:rPr>
        <w:t>Tabla suplementaria 1</w:t>
      </w:r>
      <w:proofErr w:type="gramStart"/>
      <w:r w:rsidRPr="00143FE9">
        <w:rPr>
          <w:rFonts w:ascii="Arial" w:hAnsi="Arial" w:cs="Arial"/>
          <w:b/>
        </w:rPr>
        <w:t>:  Características</w:t>
      </w:r>
      <w:proofErr w:type="gramEnd"/>
      <w:r w:rsidRPr="00143FE9">
        <w:rPr>
          <w:rFonts w:ascii="Arial" w:hAnsi="Arial" w:cs="Arial"/>
          <w:b/>
        </w:rPr>
        <w:t xml:space="preserve"> de la población con ERC estadio 1, 2 vs 3, 4, 5. </w:t>
      </w:r>
    </w:p>
    <w:p w:rsidR="006374C5" w:rsidRPr="00143FE9" w:rsidRDefault="006374C5" w:rsidP="006374C5">
      <w:pPr>
        <w:rPr>
          <w:rFonts w:ascii="Arial" w:hAnsi="Arial" w:cs="Arial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04"/>
        <w:gridCol w:w="127"/>
        <w:gridCol w:w="1562"/>
        <w:gridCol w:w="280"/>
        <w:gridCol w:w="1421"/>
        <w:gridCol w:w="142"/>
        <w:gridCol w:w="546"/>
        <w:gridCol w:w="588"/>
      </w:tblGrid>
      <w:tr w:rsidR="006374C5" w:rsidRPr="00143FE9" w:rsidTr="000F518C">
        <w:trPr>
          <w:trHeight w:val="300"/>
        </w:trPr>
        <w:tc>
          <w:tcPr>
            <w:tcW w:w="41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07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Estadio ERC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</w:p>
        </w:tc>
      </w:tr>
      <w:tr w:rsidR="006374C5" w:rsidRPr="00143FE9" w:rsidTr="000F518C">
        <w:trPr>
          <w:trHeight w:val="300"/>
        </w:trPr>
        <w:tc>
          <w:tcPr>
            <w:tcW w:w="41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 </w:t>
            </w:r>
          </w:p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1, 2  n (%)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3, 4, 5 n (%)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P 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Sexo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Femenino 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708 (45,9%)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1.943 (47,2%)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0,377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vMerge/>
            <w:tcBorders>
              <w:top w:val="nil"/>
            </w:tcBorders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Masculino 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836 (54,1%)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2.176 (52,8%)</w:t>
            </w:r>
          </w:p>
        </w:tc>
        <w:tc>
          <w:tcPr>
            <w:tcW w:w="1276" w:type="dxa"/>
            <w:gridSpan w:val="3"/>
            <w:vMerge/>
            <w:tcBorders>
              <w:top w:val="nil"/>
            </w:tcBorders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Edad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Menor 65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1.166 (75,5%)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1.291 (31,3%)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vMerge/>
            <w:tcBorders>
              <w:top w:val="nil"/>
            </w:tcBorders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65 y más 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378 (24,5%)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2.828 (68,7%)</w:t>
            </w:r>
          </w:p>
        </w:tc>
        <w:tc>
          <w:tcPr>
            <w:tcW w:w="1276" w:type="dxa"/>
            <w:gridSpan w:val="3"/>
            <w:vMerge/>
            <w:tcBorders>
              <w:top w:val="nil"/>
            </w:tcBorders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DM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532 (34,5%)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1.466 (35,6%) </w:t>
            </w: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0,426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Obesidad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311 (20,1%)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468 (11,4%)</w:t>
            </w: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HTA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1.324 (85,8%)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3.896 (94,6%)</w:t>
            </w: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proofErr w:type="spellStart"/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Dislipidemia</w:t>
            </w:r>
            <w:proofErr w:type="spellEnd"/>
          </w:p>
        </w:tc>
        <w:tc>
          <w:tcPr>
            <w:tcW w:w="1131" w:type="dxa"/>
            <w:gridSpan w:val="2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890 (57,6%)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2.581 (62,7%)</w:t>
            </w:r>
          </w:p>
        </w:tc>
        <w:tc>
          <w:tcPr>
            <w:tcW w:w="1276" w:type="dxa"/>
            <w:gridSpan w:val="3"/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Enfermedad </w:t>
            </w:r>
            <w:proofErr w:type="spellStart"/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Cardiovascular</w:t>
            </w:r>
            <w:r w:rsidRPr="00143FE9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es-CO"/>
              </w:rPr>
              <w:t>a</w:t>
            </w:r>
            <w:proofErr w:type="spellEnd"/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218 (14,1%) 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1.125 (27,3%)</w:t>
            </w: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proofErr w:type="spellStart"/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Nefrotóxicos</w:t>
            </w:r>
            <w:proofErr w:type="spellEnd"/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166 (10,8%)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303 (7,4%)</w:t>
            </w: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proofErr w:type="spellStart"/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Nefroprotectores</w:t>
            </w:r>
            <w:proofErr w:type="spellEnd"/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1.082 (70,1%)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3.032 (73,6%)</w:t>
            </w: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0,008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EPS 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PPR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1.300 (84%)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2.902 (70,5%)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 xml:space="preserve">TC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244 (15,8%)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  <w:r w:rsidRPr="00143FE9">
              <w:rPr>
                <w:rFonts w:ascii="Arial" w:eastAsia="Times New Roman" w:hAnsi="Arial" w:cs="Arial"/>
                <w:sz w:val="22"/>
                <w:szCs w:val="22"/>
                <w:lang w:val="es-CO"/>
              </w:rPr>
              <w:t>1.217 (29,5%)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sz w:val="22"/>
                <w:szCs w:val="22"/>
                <w:lang w:val="es-CO"/>
              </w:rPr>
            </w:pPr>
          </w:p>
        </w:tc>
      </w:tr>
    </w:tbl>
    <w:p w:rsidR="006374C5" w:rsidRPr="00143FE9" w:rsidRDefault="006374C5" w:rsidP="006374C5">
      <w:pPr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 w:rsidRPr="00143FE9">
        <w:rPr>
          <w:rFonts w:ascii="Arial" w:eastAsia="Arial" w:hAnsi="Arial" w:cs="Arial"/>
          <w:sz w:val="20"/>
          <w:szCs w:val="20"/>
          <w:vertAlign w:val="superscript"/>
        </w:rPr>
        <w:t>a</w:t>
      </w:r>
      <w:r w:rsidRPr="00143FE9">
        <w:rPr>
          <w:rFonts w:ascii="Arial" w:eastAsia="Arial" w:hAnsi="Arial" w:cs="Arial"/>
          <w:sz w:val="20"/>
          <w:szCs w:val="20"/>
        </w:rPr>
        <w:t>Enfermedad</w:t>
      </w:r>
      <w:proofErr w:type="spellEnd"/>
      <w:proofErr w:type="gramEnd"/>
      <w:r w:rsidRPr="00143FE9">
        <w:rPr>
          <w:rFonts w:ascii="Arial" w:eastAsia="Arial" w:hAnsi="Arial" w:cs="Arial"/>
          <w:sz w:val="20"/>
          <w:szCs w:val="20"/>
        </w:rPr>
        <w:t xml:space="preserve"> cardiovascular: definido como presencia de Infarto agudo de miocardio, </w:t>
      </w:r>
    </w:p>
    <w:p w:rsidR="006374C5" w:rsidRPr="00143FE9" w:rsidRDefault="006374C5" w:rsidP="006374C5">
      <w:pPr>
        <w:rPr>
          <w:rFonts w:ascii="Arial" w:eastAsia="Arial" w:hAnsi="Arial" w:cs="Arial"/>
          <w:sz w:val="20"/>
          <w:szCs w:val="20"/>
        </w:rPr>
      </w:pPr>
      <w:proofErr w:type="gramStart"/>
      <w:r w:rsidRPr="00143FE9">
        <w:rPr>
          <w:rFonts w:ascii="Arial" w:eastAsia="Arial" w:hAnsi="Arial" w:cs="Arial"/>
          <w:sz w:val="20"/>
          <w:szCs w:val="20"/>
        </w:rPr>
        <w:t>accidente</w:t>
      </w:r>
      <w:proofErr w:type="gramEnd"/>
      <w:r w:rsidRPr="00143FE9">
        <w:rPr>
          <w:rFonts w:ascii="Arial" w:eastAsia="Arial" w:hAnsi="Arial" w:cs="Arial"/>
          <w:sz w:val="20"/>
          <w:szCs w:val="20"/>
        </w:rPr>
        <w:t xml:space="preserve"> cerebrovascular o enfermedad coronaria </w:t>
      </w:r>
    </w:p>
    <w:p w:rsidR="006374C5" w:rsidRPr="00143FE9" w:rsidRDefault="006374C5" w:rsidP="006374C5">
      <w:pPr>
        <w:rPr>
          <w:rFonts w:ascii="Arial" w:eastAsia="Arial" w:hAnsi="Arial" w:cs="Arial"/>
          <w:sz w:val="20"/>
          <w:szCs w:val="20"/>
        </w:rPr>
      </w:pPr>
      <w:r w:rsidRPr="00143FE9">
        <w:rPr>
          <w:rFonts w:ascii="Arial" w:eastAsia="Arial" w:hAnsi="Arial" w:cs="Arial"/>
          <w:sz w:val="20"/>
          <w:szCs w:val="20"/>
        </w:rPr>
        <w:t>DMT2: Diabetes mellitus tipo 2, ERC: enfermedad renal crónica, HTA: hipertensión arterial</w:t>
      </w:r>
    </w:p>
    <w:p w:rsidR="006374C5" w:rsidRPr="00143FE9" w:rsidRDefault="006374C5" w:rsidP="006374C5">
      <w:pPr>
        <w:rPr>
          <w:rFonts w:ascii="Arial" w:eastAsia="Arial" w:hAnsi="Arial" w:cs="Arial"/>
          <w:sz w:val="20"/>
          <w:szCs w:val="20"/>
        </w:rPr>
      </w:pPr>
      <w:r w:rsidRPr="00143FE9">
        <w:rPr>
          <w:rFonts w:ascii="Arial" w:eastAsia="Arial" w:hAnsi="Arial" w:cs="Arial"/>
          <w:sz w:val="20"/>
          <w:szCs w:val="20"/>
        </w:rPr>
        <w:t>PPR: programa de protección renal, TC: tratamiento convencional</w:t>
      </w:r>
    </w:p>
    <w:p w:rsidR="006374C5" w:rsidRDefault="006374C5" w:rsidP="006374C5">
      <w:pPr>
        <w:rPr>
          <w:rFonts w:ascii="Arial" w:hAnsi="Arial" w:cs="Arial"/>
        </w:rPr>
      </w:pPr>
    </w:p>
    <w:p w:rsidR="006374C5" w:rsidRPr="00143FE9" w:rsidRDefault="006374C5" w:rsidP="006374C5">
      <w:pPr>
        <w:rPr>
          <w:rFonts w:ascii="Arial" w:hAnsi="Arial" w:cs="Arial"/>
        </w:rPr>
      </w:pPr>
    </w:p>
    <w:p w:rsidR="006374C5" w:rsidRPr="00143FE9" w:rsidRDefault="006374C5" w:rsidP="006374C5">
      <w:pPr>
        <w:rPr>
          <w:rFonts w:ascii="Arial" w:hAnsi="Arial" w:cs="Arial"/>
          <w:b/>
        </w:rPr>
      </w:pPr>
      <w:r w:rsidRPr="00143FE9">
        <w:rPr>
          <w:rFonts w:ascii="Arial" w:hAnsi="Arial" w:cs="Arial"/>
          <w:b/>
        </w:rPr>
        <w:t xml:space="preserve">Tabla suplementaria 2: Paraclínicos de base en pacientes con y sin DMT2. </w:t>
      </w:r>
    </w:p>
    <w:p w:rsidR="006374C5" w:rsidRPr="00143FE9" w:rsidRDefault="006374C5" w:rsidP="006374C5">
      <w:pPr>
        <w:rPr>
          <w:rFonts w:ascii="Arial" w:hAnsi="Arial" w:cs="Arial"/>
        </w:rPr>
      </w:pPr>
    </w:p>
    <w:tbl>
      <w:tblPr>
        <w:tblW w:w="8272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3"/>
        <w:gridCol w:w="880"/>
        <w:gridCol w:w="1601"/>
        <w:gridCol w:w="756"/>
        <w:gridCol w:w="1528"/>
        <w:gridCol w:w="754"/>
      </w:tblGrid>
      <w:tr w:rsidR="006374C5" w:rsidRPr="00143FE9" w:rsidTr="000F518C">
        <w:trPr>
          <w:trHeight w:val="331"/>
        </w:trPr>
        <w:tc>
          <w:tcPr>
            <w:tcW w:w="2753" w:type="dxa"/>
            <w:vMerge w:val="restart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65" w:type="dxa"/>
            <w:gridSpan w:val="4"/>
            <w:tcBorders>
              <w:bottom w:val="nil"/>
            </w:tcBorders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Diabetes mellitus tipo 2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6374C5" w:rsidRPr="00143FE9" w:rsidTr="000F518C">
        <w:trPr>
          <w:trHeight w:val="331"/>
        </w:trPr>
        <w:tc>
          <w:tcPr>
            <w:tcW w:w="2753" w:type="dxa"/>
            <w:vMerge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4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Sí</w:t>
            </w:r>
          </w:p>
        </w:tc>
        <w:tc>
          <w:tcPr>
            <w:tcW w:w="22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No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6374C5" w:rsidRPr="00143FE9" w:rsidTr="000F518C">
        <w:trPr>
          <w:trHeight w:val="590"/>
        </w:trPr>
        <w:tc>
          <w:tcPr>
            <w:tcW w:w="2753" w:type="dxa"/>
            <w:vMerge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(n)</w:t>
            </w:r>
          </w:p>
        </w:tc>
        <w:tc>
          <w:tcPr>
            <w:tcW w:w="16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Mediana (IQR)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(n)</w:t>
            </w: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Mediana (IQR)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(P)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Peso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1.797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68 (60-76)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3.290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66 (59-75)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 xml:space="preserve">PAS 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mmHg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1.799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130 (120-140)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3.296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122 (120-140)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 xml:space="preserve">PAD 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mmHg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1.798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80 (70-80)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3.292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80 (70-80)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0,4588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Glicemia en ayunas mg/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dL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1.351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112 (93-142)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1.609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92 (85-100)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HbA1c (%)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1.101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7,1 (6,3-8,5)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112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6,0 (5,6-6,5)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Proteinuria 24h mg/día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1.167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265 (155-696)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2.006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190 (116-640)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Creatinina Sérica (mg/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dL</w:t>
            </w:r>
            <w:proofErr w:type="spellEnd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)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1.881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1,39 (1,19-1,65)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3.350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1,38 (1,20-1,62)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0,8950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Colesterol total mg/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dL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1.081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192 (164-222)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1.864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197 (169-226)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0,0013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Trigliceridos</w:t>
            </w:r>
            <w:proofErr w:type="spellEnd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 xml:space="preserve"> mg/L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1.059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170 (123-245)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1.813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154 (112-218)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Colesterol HDL mg/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dL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795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41 (35-50)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1.352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43,3 (36-52)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0,0001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Colesterol LDL mg/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dL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196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109 (83-135)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355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117 (93-143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0,0095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Hemoglobina gr/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dL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915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13 (12-14,3)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1.654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13,7 (12,3-15,0)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 xml:space="preserve">Potasio sérico 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mEq</w:t>
            </w:r>
            <w:proofErr w:type="spellEnd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/L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844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4,6 (4,3-5)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1.537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4,4 (4,1-4,8)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 xml:space="preserve">Calcio sérico 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mEq</w:t>
            </w:r>
            <w:proofErr w:type="spellEnd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/L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502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9,4 (9-9,8)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918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9,4 (9,0-9,9)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0,7766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lastRenderedPageBreak/>
              <w:t xml:space="preserve">Fosfato sérico </w:t>
            </w:r>
            <w:proofErr w:type="spellStart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mEq</w:t>
            </w:r>
            <w:proofErr w:type="spellEnd"/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/L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425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3,9 (3,5-4,4)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765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3,7 (3,3-4,2)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  <w:tr w:rsidR="006374C5" w:rsidRPr="00143FE9" w:rsidTr="000F518C">
        <w:trPr>
          <w:trHeight w:val="346"/>
        </w:trPr>
        <w:tc>
          <w:tcPr>
            <w:tcW w:w="2753" w:type="dxa"/>
            <w:shd w:val="clear" w:color="auto" w:fill="auto"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Albúmina g/L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583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4,0 (3,9-4,3)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1.073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  <w:t>4,10 (3,8-4,4)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6374C5" w:rsidRPr="00143FE9" w:rsidRDefault="006374C5" w:rsidP="000F518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/>
              </w:rPr>
            </w:pPr>
            <w:r w:rsidRPr="00143FE9">
              <w:rPr>
                <w:rFonts w:ascii="Arial" w:hAnsi="Arial" w:cs="Arial"/>
                <w:color w:val="000000"/>
                <w:sz w:val="18"/>
                <w:szCs w:val="18"/>
              </w:rPr>
              <w:t>0,0005</w:t>
            </w:r>
          </w:p>
        </w:tc>
      </w:tr>
    </w:tbl>
    <w:p w:rsidR="006374C5" w:rsidRPr="00143FE9" w:rsidRDefault="006374C5" w:rsidP="006374C5">
      <w:pPr>
        <w:rPr>
          <w:rFonts w:ascii="Arial" w:hAnsi="Arial" w:cs="Arial"/>
          <w:sz w:val="16"/>
          <w:szCs w:val="16"/>
        </w:rPr>
      </w:pPr>
      <w:r w:rsidRPr="00143FE9">
        <w:rPr>
          <w:rFonts w:ascii="Arial" w:hAnsi="Arial" w:cs="Arial"/>
          <w:sz w:val="16"/>
          <w:szCs w:val="16"/>
        </w:rPr>
        <w:t xml:space="preserve">ERC: enfermedad renal crónica, PAS: presión arterial sistólica, PAD: presión arterial diastólica, HbA1c: hemoglobina </w:t>
      </w:r>
      <w:proofErr w:type="spellStart"/>
      <w:r w:rsidRPr="00143FE9">
        <w:rPr>
          <w:rFonts w:ascii="Arial" w:hAnsi="Arial" w:cs="Arial"/>
          <w:sz w:val="16"/>
          <w:szCs w:val="16"/>
        </w:rPr>
        <w:t>glicada</w:t>
      </w:r>
      <w:proofErr w:type="spellEnd"/>
      <w:r w:rsidRPr="00143FE9">
        <w:rPr>
          <w:rFonts w:ascii="Arial" w:hAnsi="Arial" w:cs="Arial"/>
          <w:sz w:val="16"/>
          <w:szCs w:val="16"/>
        </w:rPr>
        <w:t xml:space="preserve">. IQR: rango </w:t>
      </w:r>
      <w:proofErr w:type="spellStart"/>
      <w:r w:rsidRPr="00143FE9">
        <w:rPr>
          <w:rFonts w:ascii="Arial" w:hAnsi="Arial" w:cs="Arial"/>
          <w:sz w:val="16"/>
          <w:szCs w:val="16"/>
        </w:rPr>
        <w:t>intercuartil</w:t>
      </w:r>
      <w:proofErr w:type="spellEnd"/>
      <w:r w:rsidRPr="00143FE9">
        <w:rPr>
          <w:rFonts w:ascii="Arial" w:hAnsi="Arial" w:cs="Arial"/>
          <w:sz w:val="16"/>
          <w:szCs w:val="16"/>
        </w:rPr>
        <w:t xml:space="preserve"> </w:t>
      </w:r>
    </w:p>
    <w:p w:rsidR="006374C5" w:rsidRPr="00143FE9" w:rsidRDefault="006374C5" w:rsidP="006374C5">
      <w:pPr>
        <w:rPr>
          <w:rFonts w:ascii="Arial" w:hAnsi="Arial" w:cs="Arial"/>
        </w:rPr>
      </w:pPr>
    </w:p>
    <w:p w:rsidR="006374C5" w:rsidRPr="00143FE9" w:rsidRDefault="006374C5" w:rsidP="006374C5">
      <w:pPr>
        <w:rPr>
          <w:rFonts w:ascii="Arial" w:hAnsi="Arial" w:cs="Arial"/>
        </w:rPr>
      </w:pPr>
    </w:p>
    <w:p w:rsidR="006374C5" w:rsidRPr="00143FE9" w:rsidRDefault="006374C5" w:rsidP="006374C5">
      <w:pPr>
        <w:rPr>
          <w:rFonts w:ascii="Arial" w:hAnsi="Arial" w:cs="Arial"/>
          <w:b/>
        </w:rPr>
      </w:pPr>
      <w:r w:rsidRPr="00143FE9">
        <w:rPr>
          <w:rFonts w:ascii="Arial" w:hAnsi="Arial" w:cs="Arial"/>
          <w:b/>
        </w:rPr>
        <w:t xml:space="preserve">Tabla suplementaria 3: Modelo de riesgos proporcionales de </w:t>
      </w:r>
      <w:proofErr w:type="spellStart"/>
      <w:r w:rsidRPr="00143FE9">
        <w:rPr>
          <w:rFonts w:ascii="Arial" w:hAnsi="Arial" w:cs="Arial"/>
          <w:b/>
        </w:rPr>
        <w:t>cox</w:t>
      </w:r>
      <w:proofErr w:type="spellEnd"/>
      <w:r w:rsidRPr="00143FE9">
        <w:rPr>
          <w:rFonts w:ascii="Arial" w:hAnsi="Arial" w:cs="Arial"/>
          <w:b/>
        </w:rPr>
        <w:t xml:space="preserve"> ajustado por </w:t>
      </w:r>
      <w:proofErr w:type="spellStart"/>
      <w:r w:rsidRPr="00143FE9">
        <w:rPr>
          <w:rFonts w:ascii="Arial" w:hAnsi="Arial" w:cs="Arial"/>
          <w:b/>
        </w:rPr>
        <w:t>covariables</w:t>
      </w:r>
      <w:proofErr w:type="spellEnd"/>
      <w:r w:rsidRPr="00143FE9">
        <w:rPr>
          <w:rFonts w:ascii="Arial" w:hAnsi="Arial" w:cs="Arial"/>
          <w:b/>
        </w:rPr>
        <w:t xml:space="preserve"> sin la interacción estadio ERC-DMT2 </w:t>
      </w:r>
    </w:p>
    <w:p w:rsidR="006374C5" w:rsidRPr="00143FE9" w:rsidRDefault="006374C5" w:rsidP="006374C5">
      <w:pPr>
        <w:rPr>
          <w:rFonts w:ascii="Arial" w:hAnsi="Arial" w:cs="Arial"/>
        </w:rPr>
      </w:pPr>
    </w:p>
    <w:tbl>
      <w:tblPr>
        <w:tblStyle w:val="1"/>
        <w:tblW w:w="6521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977"/>
        <w:gridCol w:w="2694"/>
        <w:gridCol w:w="850"/>
      </w:tblGrid>
      <w:tr w:rsidR="006374C5" w:rsidRPr="00143FE9" w:rsidTr="000F518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3FE9">
              <w:rPr>
                <w:rFonts w:ascii="Arial" w:hAnsi="Arial" w:cs="Arial"/>
                <w:b/>
                <w:sz w:val="22"/>
                <w:szCs w:val="22"/>
              </w:rPr>
              <w:t>Variable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b/>
                <w:sz w:val="22"/>
                <w:szCs w:val="22"/>
              </w:rPr>
              <w:t>HR (IC 95%)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EPS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1,42 (1,09 - 1,84)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Estadio ERC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2,05 (1,37 - 3,06)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3,04 (2,21 - 4,19)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Sexo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1,01 (0,81 - 1,27)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0,897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HTA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0,54 (0,34 - 0,87)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0,011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3FE9">
              <w:rPr>
                <w:rFonts w:ascii="Arial" w:hAnsi="Arial" w:cs="Arial"/>
                <w:sz w:val="22"/>
                <w:szCs w:val="22"/>
              </w:rPr>
              <w:t>Dislipidemia</w:t>
            </w:r>
            <w:proofErr w:type="spellEnd"/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0,37 (0,29 - 0,47)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3FE9">
              <w:rPr>
                <w:rFonts w:ascii="Arial" w:hAnsi="Arial" w:cs="Arial"/>
                <w:sz w:val="22"/>
                <w:szCs w:val="22"/>
              </w:rPr>
              <w:t>Nefrotóxicos</w:t>
            </w:r>
            <w:proofErr w:type="spellEnd"/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0,94 (0,59 - 1,48)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0,792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3FE9">
              <w:rPr>
                <w:rFonts w:ascii="Arial" w:hAnsi="Arial" w:cs="Arial"/>
                <w:sz w:val="22"/>
                <w:szCs w:val="22"/>
              </w:rPr>
              <w:t>Nefroprotectores</w:t>
            </w:r>
            <w:proofErr w:type="spellEnd"/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0,71 (0,55 - 0,94)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0,015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Enfermedad cardiovascular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1,38 (1,08 - 1,76)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0,009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DMT2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1,61 (1,28 - 2,03)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&lt;0,001</w:t>
            </w:r>
          </w:p>
        </w:tc>
      </w:tr>
    </w:tbl>
    <w:p w:rsidR="006374C5" w:rsidRPr="00143FE9" w:rsidRDefault="006374C5" w:rsidP="006374C5">
      <w:pPr>
        <w:rPr>
          <w:rFonts w:ascii="Arial" w:eastAsia="Arial" w:hAnsi="Arial" w:cs="Arial"/>
          <w:sz w:val="16"/>
          <w:szCs w:val="16"/>
        </w:rPr>
      </w:pPr>
      <w:r w:rsidRPr="00143FE9">
        <w:rPr>
          <w:rFonts w:ascii="Arial" w:eastAsia="Arial" w:hAnsi="Arial" w:cs="Arial"/>
          <w:sz w:val="16"/>
          <w:szCs w:val="16"/>
        </w:rPr>
        <w:t xml:space="preserve">DMT2: diabetes mellitus tipo 2. EPS: empresa prestadora de servicios de salud, </w:t>
      </w:r>
    </w:p>
    <w:p w:rsidR="006374C5" w:rsidRPr="00143FE9" w:rsidRDefault="006374C5" w:rsidP="006374C5">
      <w:pPr>
        <w:rPr>
          <w:rFonts w:ascii="Arial" w:eastAsia="Arial" w:hAnsi="Arial" w:cs="Arial"/>
          <w:sz w:val="16"/>
          <w:szCs w:val="16"/>
        </w:rPr>
      </w:pPr>
      <w:r w:rsidRPr="00143FE9">
        <w:rPr>
          <w:rFonts w:ascii="Arial" w:eastAsia="Arial" w:hAnsi="Arial" w:cs="Arial"/>
          <w:sz w:val="16"/>
          <w:szCs w:val="16"/>
        </w:rPr>
        <w:t>ERC: enfermedad renal crónica, HTA: hipertensión arterial</w:t>
      </w:r>
    </w:p>
    <w:p w:rsidR="006374C5" w:rsidRDefault="006374C5" w:rsidP="006374C5">
      <w:pPr>
        <w:rPr>
          <w:rFonts w:ascii="Arial" w:hAnsi="Arial" w:cs="Arial"/>
          <w:b/>
        </w:rPr>
      </w:pPr>
    </w:p>
    <w:p w:rsidR="006374C5" w:rsidRDefault="006374C5" w:rsidP="006374C5">
      <w:pPr>
        <w:rPr>
          <w:rFonts w:ascii="Arial" w:hAnsi="Arial" w:cs="Arial"/>
          <w:b/>
        </w:rPr>
      </w:pPr>
    </w:p>
    <w:p w:rsidR="006374C5" w:rsidRPr="00143FE9" w:rsidRDefault="006374C5" w:rsidP="006374C5">
      <w:pPr>
        <w:rPr>
          <w:rFonts w:ascii="Arial" w:hAnsi="Arial" w:cs="Arial"/>
          <w:b/>
        </w:rPr>
      </w:pPr>
      <w:r w:rsidRPr="00143FE9">
        <w:rPr>
          <w:rFonts w:ascii="Arial" w:hAnsi="Arial" w:cs="Arial"/>
          <w:b/>
        </w:rPr>
        <w:t xml:space="preserve">Tabla suplementaria 4: Modelo de riesgos proporcionales de </w:t>
      </w:r>
      <w:proofErr w:type="spellStart"/>
      <w:r w:rsidRPr="00143FE9">
        <w:rPr>
          <w:rFonts w:ascii="Arial" w:hAnsi="Arial" w:cs="Arial"/>
          <w:b/>
        </w:rPr>
        <w:t>cox</w:t>
      </w:r>
      <w:proofErr w:type="spellEnd"/>
      <w:r w:rsidRPr="00143FE9">
        <w:rPr>
          <w:rFonts w:ascii="Arial" w:hAnsi="Arial" w:cs="Arial"/>
          <w:b/>
        </w:rPr>
        <w:t xml:space="preserve"> ajustado por </w:t>
      </w:r>
      <w:proofErr w:type="spellStart"/>
      <w:r w:rsidRPr="00143FE9">
        <w:rPr>
          <w:rFonts w:ascii="Arial" w:hAnsi="Arial" w:cs="Arial"/>
          <w:b/>
        </w:rPr>
        <w:t>covariables</w:t>
      </w:r>
      <w:proofErr w:type="spellEnd"/>
      <w:r w:rsidRPr="00143FE9">
        <w:rPr>
          <w:rFonts w:ascii="Arial" w:hAnsi="Arial" w:cs="Arial"/>
          <w:b/>
        </w:rPr>
        <w:t xml:space="preserve"> con l</w:t>
      </w:r>
      <w:r>
        <w:rPr>
          <w:rFonts w:ascii="Arial" w:hAnsi="Arial" w:cs="Arial"/>
          <w:b/>
        </w:rPr>
        <w:t xml:space="preserve">a interacción estadio ERC-DMT2 </w:t>
      </w:r>
    </w:p>
    <w:p w:rsidR="006374C5" w:rsidRPr="00143FE9" w:rsidRDefault="006374C5" w:rsidP="006374C5">
      <w:pPr>
        <w:rPr>
          <w:rFonts w:ascii="Arial" w:hAnsi="Arial" w:cs="Arial"/>
        </w:rPr>
      </w:pPr>
    </w:p>
    <w:tbl>
      <w:tblPr>
        <w:tblStyle w:val="1"/>
        <w:tblW w:w="6521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977"/>
        <w:gridCol w:w="2694"/>
        <w:gridCol w:w="850"/>
      </w:tblGrid>
      <w:tr w:rsidR="006374C5" w:rsidRPr="00143FE9" w:rsidTr="000F518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3FE9">
              <w:rPr>
                <w:rFonts w:ascii="Arial" w:hAnsi="Arial" w:cs="Arial"/>
                <w:b/>
                <w:sz w:val="22"/>
                <w:szCs w:val="22"/>
              </w:rPr>
              <w:t>Variable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b/>
                <w:sz w:val="22"/>
                <w:szCs w:val="22"/>
              </w:rPr>
              <w:t>HR (IC 95%)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EPS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1,43 (1,10 - 1,86)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Estadio ERC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4,36 (2,09 - 9,10)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2,89 (2,11 - 3,96)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Sexo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1,01 (0,80 - 1,26)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0,947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HTA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0,52 (0,33 - 0,82)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0,005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3FE9">
              <w:rPr>
                <w:rFonts w:ascii="Arial" w:hAnsi="Arial" w:cs="Arial"/>
                <w:sz w:val="22"/>
                <w:szCs w:val="22"/>
              </w:rPr>
              <w:t>Dislipidemia</w:t>
            </w:r>
            <w:proofErr w:type="spellEnd"/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0,37 (0,29 - 0,47)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3FE9">
              <w:rPr>
                <w:rFonts w:ascii="Arial" w:hAnsi="Arial" w:cs="Arial"/>
                <w:sz w:val="22"/>
                <w:szCs w:val="22"/>
              </w:rPr>
              <w:t>Nefrotóxicos</w:t>
            </w:r>
            <w:proofErr w:type="spellEnd"/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0,95 (0,60 - 1,50)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0,834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3FE9">
              <w:rPr>
                <w:rFonts w:ascii="Arial" w:hAnsi="Arial" w:cs="Arial"/>
                <w:sz w:val="22"/>
                <w:szCs w:val="22"/>
              </w:rPr>
              <w:t>Nefroprotectores</w:t>
            </w:r>
            <w:proofErr w:type="spellEnd"/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0,71 (0,55 - 0,93)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0,013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Enfermedad cardiovascular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1,37 (1,08 - 1,74)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0,010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DMT2</w:t>
            </w:r>
          </w:p>
        </w:tc>
        <w:tc>
          <w:tcPr>
            <w:tcW w:w="26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4,95 (2,17 - 11,25)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&lt;0,001</w:t>
            </w:r>
          </w:p>
        </w:tc>
      </w:tr>
      <w:tr w:rsidR="006374C5" w:rsidRPr="00143FE9" w:rsidTr="000F518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Interacción Estadio-DMT2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0,29 (0,12 - 0,69)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374C5" w:rsidRPr="00143FE9" w:rsidRDefault="006374C5" w:rsidP="000F518C">
            <w:pPr>
              <w:rPr>
                <w:rFonts w:ascii="Arial" w:hAnsi="Arial" w:cs="Arial"/>
                <w:sz w:val="22"/>
                <w:szCs w:val="22"/>
              </w:rPr>
            </w:pPr>
            <w:r w:rsidRPr="00143FE9">
              <w:rPr>
                <w:rFonts w:ascii="Arial" w:hAnsi="Arial" w:cs="Arial"/>
                <w:sz w:val="22"/>
                <w:szCs w:val="22"/>
              </w:rPr>
              <w:t>0,005</w:t>
            </w:r>
          </w:p>
        </w:tc>
      </w:tr>
    </w:tbl>
    <w:p w:rsidR="006374C5" w:rsidRPr="00143FE9" w:rsidRDefault="006374C5" w:rsidP="006374C5">
      <w:pPr>
        <w:rPr>
          <w:rFonts w:ascii="Arial" w:eastAsia="Arial" w:hAnsi="Arial" w:cs="Arial"/>
          <w:sz w:val="16"/>
          <w:szCs w:val="16"/>
        </w:rPr>
      </w:pPr>
      <w:r w:rsidRPr="00143FE9">
        <w:rPr>
          <w:rFonts w:ascii="Arial" w:eastAsia="Arial" w:hAnsi="Arial" w:cs="Arial"/>
          <w:sz w:val="16"/>
          <w:szCs w:val="16"/>
        </w:rPr>
        <w:t xml:space="preserve">DMT2: diabetes mellitus tipo 2. EPS: empresa prestadora de servicios de salud, </w:t>
      </w:r>
    </w:p>
    <w:p w:rsidR="006374C5" w:rsidRDefault="006374C5" w:rsidP="006374C5">
      <w:pPr>
        <w:rPr>
          <w:rFonts w:ascii="Arial" w:eastAsia="Arial" w:hAnsi="Arial" w:cs="Arial"/>
          <w:sz w:val="16"/>
          <w:szCs w:val="16"/>
        </w:rPr>
      </w:pPr>
      <w:r w:rsidRPr="00143FE9">
        <w:rPr>
          <w:rFonts w:ascii="Arial" w:eastAsia="Arial" w:hAnsi="Arial" w:cs="Arial"/>
          <w:sz w:val="16"/>
          <w:szCs w:val="16"/>
        </w:rPr>
        <w:t>ERC: enfermedad renal crónica, HTA: hipertensión arterial</w:t>
      </w:r>
    </w:p>
    <w:p w:rsidR="006374C5" w:rsidRDefault="006374C5" w:rsidP="006374C5">
      <w:pPr>
        <w:rPr>
          <w:rFonts w:ascii="Arial" w:eastAsia="Arial" w:hAnsi="Arial" w:cs="Arial"/>
          <w:sz w:val="16"/>
          <w:szCs w:val="16"/>
        </w:rPr>
      </w:pPr>
    </w:p>
    <w:p w:rsidR="006374C5" w:rsidRDefault="006374C5" w:rsidP="006374C5">
      <w:pPr>
        <w:rPr>
          <w:rFonts w:ascii="Arial" w:eastAsia="Arial" w:hAnsi="Arial" w:cs="Arial"/>
          <w:sz w:val="16"/>
          <w:szCs w:val="16"/>
        </w:rPr>
      </w:pPr>
    </w:p>
    <w:p w:rsidR="000C1CCF" w:rsidRDefault="006374C5"/>
    <w:sectPr w:rsidR="000C1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C5"/>
    <w:rsid w:val="006374C5"/>
    <w:rsid w:val="006721B8"/>
    <w:rsid w:val="00BF5119"/>
    <w:rsid w:val="00D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602BA-1673-407D-BD6E-2A15C5B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4C5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6374C5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ES_tradn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Company>Microsoft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Razia Khatoon</dc:creator>
  <cp:keywords/>
  <dc:description/>
  <cp:lastModifiedBy>Razia Khatoon</cp:lastModifiedBy>
  <cp:revision>1</cp:revision>
  <dcterms:created xsi:type="dcterms:W3CDTF">2021-08-09T06:25:00Z</dcterms:created>
  <dcterms:modified xsi:type="dcterms:W3CDTF">2021-08-09T06:26:00Z</dcterms:modified>
</cp:coreProperties>
</file>