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47F44" w14:textId="43E314F7" w:rsidR="00E2082F" w:rsidRPr="00E2082F" w:rsidRDefault="00E2082F" w:rsidP="00E2082F">
      <w:pPr>
        <w:spacing w:line="360" w:lineRule="auto"/>
        <w:jc w:val="center"/>
        <w:rPr>
          <w:rFonts w:asciiTheme="majorHAnsi" w:hAnsiTheme="majorHAnsi" w:cstheme="majorHAnsi"/>
          <w:b/>
        </w:rPr>
      </w:pPr>
      <w:bookmarkStart w:id="0" w:name="_GoBack"/>
      <w:bookmarkEnd w:id="0"/>
      <w:r w:rsidRPr="00E2082F">
        <w:rPr>
          <w:rFonts w:asciiTheme="majorHAnsi" w:hAnsiTheme="majorHAnsi" w:cstheme="majorHAnsi"/>
          <w:b/>
        </w:rPr>
        <w:t>Evidencia sobre la externalización de los servicios de diálisis: una revisión de alcance</w:t>
      </w:r>
    </w:p>
    <w:p w14:paraId="79A82995" w14:textId="77777777" w:rsidR="00E2082F" w:rsidRPr="00E2082F" w:rsidRDefault="00E2082F" w:rsidP="00E2082F">
      <w:pPr>
        <w:spacing w:line="360" w:lineRule="auto"/>
        <w:jc w:val="center"/>
        <w:rPr>
          <w:rFonts w:asciiTheme="majorHAnsi" w:hAnsiTheme="majorHAnsi" w:cstheme="majorHAnsi"/>
          <w:b/>
        </w:rPr>
      </w:pPr>
    </w:p>
    <w:p w14:paraId="31EF93D9" w14:textId="7057B908" w:rsidR="00314BBA" w:rsidRDefault="00314BBA" w:rsidP="00314BBA">
      <w:pPr>
        <w:spacing w:line="360" w:lineRule="auto"/>
        <w:jc w:val="both"/>
        <w:rPr>
          <w:rFonts w:asciiTheme="majorHAnsi" w:hAnsiTheme="majorHAnsi" w:cstheme="majorHAnsi"/>
          <w:b/>
          <w:lang w:val="es-ES_tradnl"/>
        </w:rPr>
      </w:pPr>
      <w:r>
        <w:rPr>
          <w:rFonts w:asciiTheme="majorHAnsi" w:hAnsiTheme="majorHAnsi" w:cstheme="majorHAnsi"/>
          <w:b/>
          <w:lang w:val="es-ES_tradnl"/>
        </w:rPr>
        <w:t>Resumen</w:t>
      </w:r>
    </w:p>
    <w:p w14:paraId="0088E1AF" w14:textId="0B8AFED0" w:rsidR="00D04F4A" w:rsidRDefault="00AC69F3" w:rsidP="00F276F8">
      <w:pPr>
        <w:spacing w:line="360" w:lineRule="auto"/>
        <w:ind w:firstLine="708"/>
        <w:jc w:val="both"/>
        <w:rPr>
          <w:rFonts w:asciiTheme="majorHAnsi" w:hAnsiTheme="majorHAnsi" w:cstheme="majorHAnsi"/>
          <w:lang w:val="es-ES_tradnl"/>
        </w:rPr>
      </w:pPr>
      <w:r>
        <w:rPr>
          <w:rFonts w:asciiTheme="majorHAnsi" w:hAnsiTheme="majorHAnsi" w:cstheme="majorHAnsi"/>
          <w:b/>
          <w:lang w:val="es-ES_tradnl"/>
        </w:rPr>
        <w:t xml:space="preserve">Introducción: </w:t>
      </w:r>
      <w:r w:rsidRPr="29201C76">
        <w:rPr>
          <w:rFonts w:asciiTheme="majorHAnsi" w:hAnsiTheme="majorHAnsi" w:cstheme="majorBidi"/>
        </w:rPr>
        <w:t>La enfermedad renal crónica representa un importante problema de salud, tanto por su elevada incidencia y prevalencia, como por su importante morbimortalidad y coste socioeconómico</w:t>
      </w:r>
      <w:r>
        <w:rPr>
          <w:rFonts w:asciiTheme="majorHAnsi" w:hAnsiTheme="majorHAnsi" w:cstheme="majorBidi"/>
        </w:rPr>
        <w:t>.</w:t>
      </w:r>
      <w:r w:rsidR="00A80850">
        <w:rPr>
          <w:rFonts w:asciiTheme="majorHAnsi" w:hAnsiTheme="majorHAnsi" w:cstheme="majorBidi"/>
        </w:rPr>
        <w:t xml:space="preserve"> </w:t>
      </w:r>
      <w:r w:rsidR="00314BBA">
        <w:rPr>
          <w:rFonts w:asciiTheme="majorHAnsi" w:hAnsiTheme="majorHAnsi" w:cstheme="majorHAnsi"/>
          <w:b/>
          <w:lang w:val="es-ES_tradnl"/>
        </w:rPr>
        <w:t>Objetivo:</w:t>
      </w:r>
      <w:r w:rsidR="00314BBA" w:rsidRPr="00314BBA">
        <w:rPr>
          <w:rFonts w:asciiTheme="majorHAnsi" w:hAnsiTheme="majorHAnsi" w:cstheme="majorHAnsi"/>
          <w:b/>
          <w:lang w:val="es-ES_tradnl"/>
        </w:rPr>
        <w:t xml:space="preserve"> </w:t>
      </w:r>
      <w:r w:rsidR="004D14B6">
        <w:rPr>
          <w:rFonts w:asciiTheme="majorHAnsi" w:hAnsiTheme="majorHAnsi" w:cstheme="majorHAnsi"/>
        </w:rPr>
        <w:t xml:space="preserve">Comparar </w:t>
      </w:r>
      <w:r w:rsidR="00144B76">
        <w:rPr>
          <w:rFonts w:asciiTheme="majorHAnsi" w:hAnsiTheme="majorHAnsi" w:cstheme="majorHAnsi"/>
        </w:rPr>
        <w:t>la efectividad y consecuencias económicas de la diálisis concertada frente a la diálisis hospitalaria.</w:t>
      </w:r>
      <w:r w:rsidR="0090298D">
        <w:rPr>
          <w:rFonts w:asciiTheme="majorHAnsi" w:hAnsiTheme="majorHAnsi" w:cstheme="majorHAnsi"/>
        </w:rPr>
        <w:t xml:space="preserve"> </w:t>
      </w:r>
      <w:r w:rsidR="0090298D" w:rsidRPr="00F276F8">
        <w:rPr>
          <w:rFonts w:asciiTheme="majorHAnsi" w:hAnsiTheme="majorHAnsi" w:cstheme="majorHAnsi"/>
          <w:b/>
        </w:rPr>
        <w:t>Metodología</w:t>
      </w:r>
      <w:r w:rsidR="0090298D">
        <w:rPr>
          <w:rFonts w:asciiTheme="majorHAnsi" w:hAnsiTheme="majorHAnsi" w:cstheme="majorHAnsi"/>
        </w:rPr>
        <w:t>: Revisión de alcance</w:t>
      </w:r>
      <w:r w:rsidR="004D14B6">
        <w:rPr>
          <w:rFonts w:asciiTheme="majorHAnsi" w:hAnsiTheme="majorHAnsi" w:cstheme="majorHAnsi"/>
        </w:rPr>
        <w:t xml:space="preserve">, para lo cual </w:t>
      </w:r>
      <w:r w:rsidR="0090298D">
        <w:rPr>
          <w:rFonts w:asciiTheme="majorHAnsi" w:hAnsiTheme="majorHAnsi" w:cstheme="majorHAnsi"/>
        </w:rPr>
        <w:t xml:space="preserve">se consultaron </w:t>
      </w:r>
      <w:r w:rsidR="000D794A">
        <w:rPr>
          <w:rFonts w:asciiTheme="majorHAnsi" w:hAnsiTheme="majorHAnsi" w:cstheme="majorHAnsi"/>
        </w:rPr>
        <w:t xml:space="preserve">diferentes bases de </w:t>
      </w:r>
      <w:r w:rsidR="00144B76" w:rsidRPr="0090298D">
        <w:rPr>
          <w:rFonts w:asciiTheme="majorHAnsi" w:hAnsiTheme="majorHAnsi" w:cstheme="majorBidi"/>
        </w:rPr>
        <w:t>datos</w:t>
      </w:r>
      <w:r w:rsidR="000D794A">
        <w:rPr>
          <w:rFonts w:asciiTheme="majorHAnsi" w:hAnsiTheme="majorHAnsi" w:cstheme="majorBidi"/>
        </w:rPr>
        <w:t>, mediante términos controlados y libres</w:t>
      </w:r>
      <w:r w:rsidR="00144B76">
        <w:rPr>
          <w:rFonts w:asciiTheme="majorHAnsi" w:hAnsiTheme="majorHAnsi" w:cstheme="majorBidi"/>
        </w:rPr>
        <w:t>.</w:t>
      </w:r>
      <w:r w:rsidR="009155A4">
        <w:rPr>
          <w:rFonts w:asciiTheme="majorHAnsi" w:hAnsiTheme="majorHAnsi" w:cstheme="majorBidi"/>
        </w:rPr>
        <w:t xml:space="preserve"> S</w:t>
      </w:r>
      <w:r w:rsidR="009155A4" w:rsidRPr="0025653C">
        <w:rPr>
          <w:rFonts w:asciiTheme="majorHAnsi" w:hAnsiTheme="majorHAnsi" w:cstheme="majorHAnsi"/>
        </w:rPr>
        <w:t xml:space="preserve">e incluyeron </w:t>
      </w:r>
      <w:r w:rsidR="009155A4">
        <w:rPr>
          <w:rFonts w:asciiTheme="majorHAnsi" w:hAnsiTheme="majorHAnsi" w:cstheme="majorHAnsi"/>
        </w:rPr>
        <w:t>aquello</w:t>
      </w:r>
      <w:r>
        <w:rPr>
          <w:rFonts w:asciiTheme="majorHAnsi" w:hAnsiTheme="majorHAnsi" w:cstheme="majorHAnsi"/>
        </w:rPr>
        <w:t>s</w:t>
      </w:r>
      <w:r w:rsidR="009155A4" w:rsidRPr="0025653C">
        <w:rPr>
          <w:rFonts w:asciiTheme="majorHAnsi" w:hAnsiTheme="majorHAnsi" w:cstheme="majorHAnsi"/>
        </w:rPr>
        <w:t xml:space="preserve"> artículos </w:t>
      </w:r>
      <w:r w:rsidR="009155A4">
        <w:rPr>
          <w:rFonts w:asciiTheme="majorHAnsi" w:hAnsiTheme="majorHAnsi" w:cstheme="majorHAnsi"/>
        </w:rPr>
        <w:t xml:space="preserve">que comparasen la </w:t>
      </w:r>
      <w:r w:rsidR="009155A4" w:rsidRPr="0025653C">
        <w:rPr>
          <w:rFonts w:asciiTheme="majorHAnsi" w:hAnsiTheme="majorHAnsi" w:cstheme="majorHAnsi"/>
        </w:rPr>
        <w:t xml:space="preserve">diálisis concertada </w:t>
      </w:r>
      <w:r w:rsidR="009155A4">
        <w:rPr>
          <w:rFonts w:asciiTheme="majorHAnsi" w:hAnsiTheme="majorHAnsi" w:cstheme="majorHAnsi"/>
        </w:rPr>
        <w:t>frente a la hospitalaria en términos de efectividad</w:t>
      </w:r>
      <w:r w:rsidR="00C90235">
        <w:rPr>
          <w:rFonts w:asciiTheme="majorHAnsi" w:hAnsiTheme="majorHAnsi" w:cstheme="majorHAnsi"/>
        </w:rPr>
        <w:t>. Igualmente, se incluyeron aquell</w:t>
      </w:r>
      <w:r>
        <w:rPr>
          <w:rFonts w:asciiTheme="majorHAnsi" w:hAnsiTheme="majorHAnsi" w:cstheme="majorHAnsi"/>
        </w:rPr>
        <w:t>a</w:t>
      </w:r>
      <w:r w:rsidR="00C90235">
        <w:rPr>
          <w:rFonts w:asciiTheme="majorHAnsi" w:hAnsiTheme="majorHAnsi" w:cstheme="majorHAnsi"/>
        </w:rPr>
        <w:t xml:space="preserve">s </w:t>
      </w:r>
      <w:r>
        <w:rPr>
          <w:rFonts w:asciiTheme="majorHAnsi" w:hAnsiTheme="majorHAnsi" w:cstheme="majorHAnsi"/>
        </w:rPr>
        <w:t>publicaciones</w:t>
      </w:r>
      <w:r w:rsidR="00C90235">
        <w:rPr>
          <w:rFonts w:asciiTheme="majorHAnsi" w:hAnsiTheme="majorHAnsi" w:cstheme="majorHAnsi"/>
        </w:rPr>
        <w:t xml:space="preserve"> </w:t>
      </w:r>
      <w:r w:rsidR="004D14B6">
        <w:rPr>
          <w:rFonts w:asciiTheme="majorHAnsi" w:hAnsiTheme="majorHAnsi" w:cstheme="majorHAnsi"/>
        </w:rPr>
        <w:t xml:space="preserve">que </w:t>
      </w:r>
      <w:r w:rsidR="00C90235">
        <w:rPr>
          <w:rFonts w:asciiTheme="majorHAnsi" w:hAnsiTheme="majorHAnsi" w:cstheme="majorHAnsi"/>
        </w:rPr>
        <w:t>comparasen</w:t>
      </w:r>
      <w:r>
        <w:rPr>
          <w:rFonts w:asciiTheme="majorHAnsi" w:hAnsiTheme="majorHAnsi" w:cstheme="majorHAnsi"/>
        </w:rPr>
        <w:t>,</w:t>
      </w:r>
      <w:r w:rsidR="00C90235">
        <w:rPr>
          <w:rFonts w:asciiTheme="majorHAnsi" w:hAnsiTheme="majorHAnsi" w:cstheme="majorHAnsi"/>
        </w:rPr>
        <w:t xml:space="preserve"> </w:t>
      </w:r>
      <w:r>
        <w:rPr>
          <w:rFonts w:asciiTheme="majorHAnsi" w:hAnsiTheme="majorHAnsi" w:cstheme="majorHAnsi"/>
        </w:rPr>
        <w:t xml:space="preserve">en el ámbito español, </w:t>
      </w:r>
      <w:r w:rsidR="00C90235">
        <w:rPr>
          <w:rFonts w:asciiTheme="majorHAnsi" w:hAnsiTheme="majorHAnsi" w:cstheme="majorHAnsi"/>
        </w:rPr>
        <w:t>el coste entre ambas modalidades de prestación de servicios</w:t>
      </w:r>
      <w:r w:rsidR="001045F6">
        <w:rPr>
          <w:rFonts w:asciiTheme="majorHAnsi" w:hAnsiTheme="majorHAnsi" w:cstheme="majorHAnsi"/>
        </w:rPr>
        <w:t xml:space="preserve"> y las tarifas de precios públicos de las diferentes Comunidades Autónomas</w:t>
      </w:r>
      <w:r w:rsidR="009155A4">
        <w:rPr>
          <w:rFonts w:asciiTheme="majorHAnsi" w:hAnsiTheme="majorHAnsi" w:cstheme="majorHAnsi"/>
        </w:rPr>
        <w:t xml:space="preserve">. </w:t>
      </w:r>
      <w:r w:rsidR="00C90235">
        <w:rPr>
          <w:rFonts w:asciiTheme="majorHAnsi" w:hAnsiTheme="majorHAnsi" w:cstheme="majorHAnsi"/>
          <w:b/>
        </w:rPr>
        <w:t>Resultados:</w:t>
      </w:r>
      <w:r w:rsidR="004D14B6">
        <w:rPr>
          <w:rFonts w:asciiTheme="majorHAnsi" w:hAnsiTheme="majorHAnsi" w:cstheme="majorHAnsi"/>
        </w:rPr>
        <w:t xml:space="preserve"> E</w:t>
      </w:r>
      <w:r w:rsidR="00C90235" w:rsidRPr="00F276F8">
        <w:rPr>
          <w:rFonts w:asciiTheme="majorHAnsi" w:hAnsiTheme="majorHAnsi" w:cstheme="majorHAnsi"/>
        </w:rPr>
        <w:t>n esta revisión s</w:t>
      </w:r>
      <w:r w:rsidR="00C90235" w:rsidRPr="006B101C">
        <w:rPr>
          <w:rFonts w:asciiTheme="majorHAnsi" w:hAnsiTheme="majorHAnsi" w:cstheme="majorHAnsi"/>
          <w:highlight w:val="yellow"/>
        </w:rPr>
        <w:t xml:space="preserve">e incluyeron </w:t>
      </w:r>
      <w:r w:rsidR="00D546F6" w:rsidRPr="006B101C">
        <w:rPr>
          <w:rFonts w:asciiTheme="majorHAnsi" w:hAnsiTheme="majorHAnsi" w:cstheme="majorHAnsi"/>
          <w:highlight w:val="yellow"/>
        </w:rPr>
        <w:t xml:space="preserve">11 </w:t>
      </w:r>
      <w:r w:rsidR="00C90235" w:rsidRPr="006B101C">
        <w:rPr>
          <w:rFonts w:asciiTheme="majorHAnsi" w:hAnsiTheme="majorHAnsi" w:cstheme="majorHAnsi"/>
          <w:highlight w:val="yellow"/>
        </w:rPr>
        <w:t xml:space="preserve">artículos: </w:t>
      </w:r>
      <w:r w:rsidR="001045F6" w:rsidRPr="006B101C">
        <w:rPr>
          <w:rFonts w:asciiTheme="majorHAnsi" w:hAnsiTheme="majorHAnsi" w:cstheme="majorHAnsi"/>
          <w:highlight w:val="yellow"/>
        </w:rPr>
        <w:t>8</w:t>
      </w:r>
      <w:r w:rsidR="00C90235" w:rsidRPr="006B101C">
        <w:rPr>
          <w:rFonts w:asciiTheme="majorHAnsi" w:hAnsiTheme="majorHAnsi" w:cstheme="majorHAnsi"/>
          <w:highlight w:val="yellow"/>
        </w:rPr>
        <w:t xml:space="preserve"> sobre comparación de la efectividad</w:t>
      </w:r>
      <w:r w:rsidR="006A4553" w:rsidRPr="006B101C">
        <w:rPr>
          <w:rFonts w:asciiTheme="majorHAnsi" w:hAnsiTheme="majorHAnsi" w:cstheme="majorHAnsi"/>
          <w:highlight w:val="yellow"/>
        </w:rPr>
        <w:t xml:space="preserve">, todos ellos en EEUU </w:t>
      </w:r>
      <w:r w:rsidR="00C90235" w:rsidRPr="006B101C">
        <w:rPr>
          <w:rFonts w:asciiTheme="majorHAnsi" w:hAnsiTheme="majorHAnsi" w:cstheme="majorHAnsi"/>
          <w:highlight w:val="yellow"/>
        </w:rPr>
        <w:t xml:space="preserve">y </w:t>
      </w:r>
      <w:r w:rsidR="00D546F6" w:rsidRPr="006B101C">
        <w:rPr>
          <w:rFonts w:asciiTheme="majorHAnsi" w:hAnsiTheme="majorHAnsi" w:cstheme="majorHAnsi"/>
          <w:highlight w:val="yellow"/>
        </w:rPr>
        <w:t xml:space="preserve">3 </w:t>
      </w:r>
      <w:r w:rsidR="00C90235" w:rsidRPr="006B101C">
        <w:rPr>
          <w:rFonts w:asciiTheme="majorHAnsi" w:hAnsiTheme="majorHAnsi" w:cstheme="majorHAnsi"/>
          <w:highlight w:val="yellow"/>
        </w:rPr>
        <w:t>sobre coste</w:t>
      </w:r>
      <w:r w:rsidRPr="006B101C">
        <w:rPr>
          <w:rFonts w:asciiTheme="majorHAnsi" w:hAnsiTheme="majorHAnsi" w:cstheme="majorHAnsi"/>
          <w:highlight w:val="yellow"/>
        </w:rPr>
        <w:t>s</w:t>
      </w:r>
      <w:r w:rsidR="00C90235" w:rsidRPr="006B101C">
        <w:rPr>
          <w:rFonts w:asciiTheme="majorHAnsi" w:hAnsiTheme="majorHAnsi" w:cstheme="majorHAnsi"/>
          <w:highlight w:val="yellow"/>
        </w:rPr>
        <w:t>.</w:t>
      </w:r>
      <w:r w:rsidR="00C90235">
        <w:rPr>
          <w:rFonts w:asciiTheme="majorHAnsi" w:hAnsiTheme="majorHAnsi" w:cstheme="majorHAnsi"/>
        </w:rPr>
        <w:t xml:space="preserve"> </w:t>
      </w:r>
      <w:r w:rsidR="006A4553">
        <w:rPr>
          <w:rFonts w:asciiTheme="majorHAnsi" w:hAnsiTheme="majorHAnsi" w:cstheme="majorHAnsi"/>
        </w:rPr>
        <w:t>Se observó una mayor tasa de hospitalización en aquellos centros concertados, pero no se observaron diferencias en mortalidad. Además, una mayor competencia entre proveedores se asoció a menores tasas de hospitalización</w:t>
      </w:r>
      <w:r w:rsidR="004D14B6">
        <w:rPr>
          <w:rFonts w:asciiTheme="majorHAnsi" w:hAnsiTheme="majorHAnsi" w:cstheme="majorHAnsi"/>
        </w:rPr>
        <w:t>.</w:t>
      </w:r>
      <w:r w:rsidR="007813C8" w:rsidRPr="007813C8">
        <w:t xml:space="preserve"> </w:t>
      </w:r>
      <w:r w:rsidR="007813C8" w:rsidRPr="007813C8">
        <w:rPr>
          <w:rFonts w:asciiTheme="majorHAnsi" w:hAnsiTheme="majorHAnsi" w:cstheme="majorHAnsi"/>
        </w:rPr>
        <w:t xml:space="preserve">Los estudios </w:t>
      </w:r>
      <w:r w:rsidR="007813C8">
        <w:rPr>
          <w:rFonts w:asciiTheme="majorHAnsi" w:hAnsiTheme="majorHAnsi" w:cstheme="majorHAnsi"/>
        </w:rPr>
        <w:t xml:space="preserve">de costes </w:t>
      </w:r>
      <w:r w:rsidR="007813C8" w:rsidRPr="007813C8">
        <w:rPr>
          <w:rFonts w:asciiTheme="majorHAnsi" w:hAnsiTheme="majorHAnsi" w:cstheme="majorHAnsi"/>
        </w:rPr>
        <w:t xml:space="preserve">revisados </w:t>
      </w:r>
      <w:r w:rsidR="007813C8">
        <w:rPr>
          <w:rFonts w:asciiTheme="majorHAnsi" w:hAnsiTheme="majorHAnsi" w:cstheme="majorHAnsi"/>
        </w:rPr>
        <w:t xml:space="preserve">muestran </w:t>
      </w:r>
      <w:r w:rsidR="007813C8" w:rsidRPr="007813C8">
        <w:rPr>
          <w:rFonts w:asciiTheme="majorHAnsi" w:hAnsiTheme="majorHAnsi" w:cstheme="majorHAnsi"/>
        </w:rPr>
        <w:t xml:space="preserve">que la </w:t>
      </w:r>
      <w:r w:rsidR="004D14B6">
        <w:rPr>
          <w:rFonts w:asciiTheme="majorHAnsi" w:hAnsiTheme="majorHAnsi" w:cstheme="majorHAnsi"/>
        </w:rPr>
        <w:t>h</w:t>
      </w:r>
      <w:r w:rsidR="00195D6C">
        <w:rPr>
          <w:rFonts w:asciiTheme="majorHAnsi" w:hAnsiTheme="majorHAnsi" w:cstheme="majorHAnsi"/>
        </w:rPr>
        <w:t>emodiálisis</w:t>
      </w:r>
      <w:r w:rsidR="007813C8" w:rsidRPr="007813C8">
        <w:rPr>
          <w:rFonts w:asciiTheme="majorHAnsi" w:hAnsiTheme="majorHAnsi" w:cstheme="majorHAnsi"/>
        </w:rPr>
        <w:t xml:space="preserve"> hospitalaria es más costosa que en centros concertados, debido a los costes de estructura. </w:t>
      </w:r>
      <w:r w:rsidR="00EB3AF3">
        <w:rPr>
          <w:rFonts w:asciiTheme="majorHAnsi" w:hAnsiTheme="majorHAnsi" w:cstheme="majorHAnsi"/>
        </w:rPr>
        <w:t>Los datos de las</w:t>
      </w:r>
      <w:r w:rsidR="007813C8" w:rsidRPr="007813C8">
        <w:rPr>
          <w:rFonts w:asciiTheme="majorHAnsi" w:hAnsiTheme="majorHAnsi" w:cstheme="majorHAnsi"/>
        </w:rPr>
        <w:t xml:space="preserve"> tarifas públicas de la</w:t>
      </w:r>
      <w:r w:rsidR="00EB3AF3">
        <w:rPr>
          <w:rFonts w:asciiTheme="majorHAnsi" w:hAnsiTheme="majorHAnsi" w:cstheme="majorHAnsi"/>
        </w:rPr>
        <w:t xml:space="preserve">s diferentes Comunidades Autónomas </w:t>
      </w:r>
      <w:r w:rsidR="007813C8" w:rsidRPr="007813C8">
        <w:rPr>
          <w:rFonts w:asciiTheme="majorHAnsi" w:hAnsiTheme="majorHAnsi" w:cstheme="majorHAnsi"/>
        </w:rPr>
        <w:t>muestran una amplia heterogeneidad en el pago de los conciertos.</w:t>
      </w:r>
      <w:r w:rsidR="00EB3AF3">
        <w:rPr>
          <w:rFonts w:asciiTheme="majorHAnsi" w:hAnsiTheme="majorHAnsi" w:cstheme="majorHAnsi"/>
        </w:rPr>
        <w:t xml:space="preserve"> </w:t>
      </w:r>
      <w:r w:rsidR="00314BBA">
        <w:rPr>
          <w:rFonts w:asciiTheme="majorHAnsi" w:hAnsiTheme="majorHAnsi" w:cstheme="majorHAnsi"/>
          <w:b/>
          <w:lang w:val="es-ES_tradnl"/>
        </w:rPr>
        <w:t>C</w:t>
      </w:r>
      <w:r w:rsidR="00314BBA" w:rsidRPr="00314BBA">
        <w:rPr>
          <w:rFonts w:asciiTheme="majorHAnsi" w:hAnsiTheme="majorHAnsi" w:cstheme="majorHAnsi"/>
          <w:b/>
          <w:lang w:val="es-ES_tradnl"/>
        </w:rPr>
        <w:t>onclusione</w:t>
      </w:r>
      <w:r w:rsidR="00314BBA">
        <w:rPr>
          <w:rFonts w:asciiTheme="majorHAnsi" w:hAnsiTheme="majorHAnsi" w:cstheme="majorHAnsi"/>
          <w:b/>
          <w:lang w:val="es-ES_tradnl"/>
        </w:rPr>
        <w:t>s:</w:t>
      </w:r>
      <w:r w:rsidR="00AF61BB">
        <w:rPr>
          <w:rFonts w:asciiTheme="majorHAnsi" w:hAnsiTheme="majorHAnsi" w:cstheme="majorHAnsi"/>
          <w:b/>
          <w:lang w:val="es-ES_tradnl"/>
        </w:rPr>
        <w:t xml:space="preserve"> </w:t>
      </w:r>
      <w:r w:rsidR="00D04F4A">
        <w:rPr>
          <w:rFonts w:asciiTheme="majorHAnsi" w:hAnsiTheme="majorHAnsi" w:cstheme="majorHAnsi"/>
          <w:lang w:val="es-ES_tradnl"/>
        </w:rPr>
        <w:t xml:space="preserve">la coexistencia en España de centros públicos y concertados, la variabilidad en la prestación y costes de las técnicas de diálisis y la escasa evidencia sobre </w:t>
      </w:r>
      <w:r w:rsidR="00435322">
        <w:rPr>
          <w:rFonts w:asciiTheme="majorHAnsi" w:hAnsiTheme="majorHAnsi" w:cstheme="majorHAnsi"/>
          <w:lang w:val="es-ES_tradnl"/>
        </w:rPr>
        <w:t xml:space="preserve">la efectividad de </w:t>
      </w:r>
      <w:r w:rsidR="00D04F4A">
        <w:rPr>
          <w:rFonts w:asciiTheme="majorHAnsi" w:hAnsiTheme="majorHAnsi" w:cstheme="majorHAnsi"/>
          <w:lang w:val="es-ES_tradnl"/>
        </w:rPr>
        <w:t>la externalización del tratamiento ponen de manifiesto la necesidad de seguir potenciando estrategias que redunden en una mejora de la atención a la</w:t>
      </w:r>
      <w:r w:rsidR="00D04F4A" w:rsidRPr="003027CE">
        <w:rPr>
          <w:rFonts w:asciiTheme="majorHAnsi" w:hAnsiTheme="majorHAnsi" w:cstheme="majorHAnsi"/>
          <w:lang w:val="es-ES_tradnl"/>
        </w:rPr>
        <w:t xml:space="preserve"> Enfermedad Renal Crónica</w:t>
      </w:r>
      <w:r w:rsidR="00435322">
        <w:rPr>
          <w:rFonts w:asciiTheme="majorHAnsi" w:hAnsiTheme="majorHAnsi" w:cstheme="majorHAnsi"/>
          <w:lang w:val="es-ES_tradnl"/>
        </w:rPr>
        <w:t>.</w:t>
      </w:r>
      <w:r w:rsidR="00D04F4A">
        <w:rPr>
          <w:rFonts w:asciiTheme="majorHAnsi" w:hAnsiTheme="majorHAnsi" w:cstheme="majorHAnsi"/>
          <w:lang w:val="es-ES_tradnl"/>
        </w:rPr>
        <w:t xml:space="preserve"> </w:t>
      </w:r>
    </w:p>
    <w:p w14:paraId="6ED30337" w14:textId="77777777" w:rsidR="002A5BDF" w:rsidRPr="00151A96" w:rsidRDefault="002A5BDF" w:rsidP="002A5BDF">
      <w:pPr>
        <w:spacing w:line="360" w:lineRule="auto"/>
        <w:jc w:val="both"/>
        <w:rPr>
          <w:rFonts w:asciiTheme="majorHAnsi" w:hAnsiTheme="majorHAnsi" w:cstheme="majorHAnsi"/>
          <w:lang w:val="es-ES_tradnl"/>
        </w:rPr>
      </w:pPr>
      <w:r>
        <w:rPr>
          <w:rFonts w:asciiTheme="majorHAnsi" w:hAnsiTheme="majorHAnsi" w:cstheme="majorHAnsi"/>
          <w:b/>
          <w:lang w:val="es-ES_tradnl"/>
        </w:rPr>
        <w:t>Palabras clave:</w:t>
      </w:r>
      <w:r w:rsidRPr="00151A96">
        <w:rPr>
          <w:rFonts w:asciiTheme="majorHAnsi" w:hAnsiTheme="majorHAnsi" w:cstheme="majorHAnsi"/>
          <w:lang w:val="es-ES_tradnl"/>
        </w:rPr>
        <w:t xml:space="preserve"> Diálisis; Servicios Externos</w:t>
      </w:r>
      <w:r>
        <w:rPr>
          <w:rFonts w:asciiTheme="majorHAnsi" w:hAnsiTheme="majorHAnsi" w:cstheme="majorHAnsi"/>
          <w:lang w:val="es-ES_tradnl"/>
        </w:rPr>
        <w:t>; síntesis evidencia; efectividad; costes</w:t>
      </w:r>
    </w:p>
    <w:p w14:paraId="16C3C115" w14:textId="77777777" w:rsidR="002A5BDF" w:rsidRPr="00AF61BB" w:rsidRDefault="002A5BDF" w:rsidP="00F276F8">
      <w:pPr>
        <w:spacing w:line="360" w:lineRule="auto"/>
        <w:ind w:firstLine="708"/>
        <w:jc w:val="both"/>
        <w:rPr>
          <w:rFonts w:asciiTheme="majorHAnsi" w:hAnsiTheme="majorHAnsi" w:cstheme="majorHAnsi"/>
          <w:lang w:val="es-ES_tradnl"/>
        </w:rPr>
      </w:pPr>
    </w:p>
    <w:p w14:paraId="5A2E798B" w14:textId="77777777" w:rsidR="00A80850" w:rsidRPr="00805CB5" w:rsidRDefault="00A80850">
      <w:pPr>
        <w:rPr>
          <w:rFonts w:asciiTheme="majorHAnsi" w:hAnsiTheme="majorHAnsi" w:cstheme="majorHAnsi"/>
          <w:b/>
        </w:rPr>
      </w:pPr>
      <w:r w:rsidRPr="00805CB5">
        <w:rPr>
          <w:rFonts w:asciiTheme="majorHAnsi" w:hAnsiTheme="majorHAnsi" w:cstheme="majorHAnsi"/>
          <w:b/>
        </w:rPr>
        <w:br w:type="page"/>
      </w:r>
    </w:p>
    <w:p w14:paraId="7F6FEB6B" w14:textId="1D58EA5D" w:rsidR="00A43E16" w:rsidRDefault="00A43E16" w:rsidP="00A43E16">
      <w:pPr>
        <w:spacing w:line="360" w:lineRule="auto"/>
        <w:jc w:val="center"/>
        <w:rPr>
          <w:rFonts w:asciiTheme="majorHAnsi" w:hAnsiTheme="majorHAnsi" w:cstheme="majorHAnsi"/>
          <w:b/>
          <w:lang w:val="en-US"/>
        </w:rPr>
      </w:pPr>
      <w:r w:rsidRPr="00A43E16">
        <w:rPr>
          <w:rFonts w:asciiTheme="majorHAnsi" w:hAnsiTheme="majorHAnsi" w:cstheme="majorHAnsi"/>
          <w:b/>
          <w:lang w:val="en-US"/>
        </w:rPr>
        <w:lastRenderedPageBreak/>
        <w:t>Evidence on Outsourcing Dialysis Services: A Scoping Review</w:t>
      </w:r>
    </w:p>
    <w:p w14:paraId="4A55DB5F" w14:textId="77777777" w:rsidR="00A43E16" w:rsidRDefault="00A43E16" w:rsidP="00805CB5">
      <w:pPr>
        <w:spacing w:line="360" w:lineRule="auto"/>
        <w:jc w:val="both"/>
        <w:rPr>
          <w:rFonts w:asciiTheme="majorHAnsi" w:hAnsiTheme="majorHAnsi" w:cstheme="majorHAnsi"/>
          <w:b/>
          <w:lang w:val="en-US"/>
        </w:rPr>
      </w:pPr>
    </w:p>
    <w:p w14:paraId="62449AC8" w14:textId="03A77591" w:rsidR="002A5BDF" w:rsidRDefault="002A5BDF" w:rsidP="00805CB5">
      <w:pPr>
        <w:spacing w:line="360" w:lineRule="auto"/>
        <w:jc w:val="both"/>
        <w:rPr>
          <w:rFonts w:asciiTheme="majorHAnsi" w:hAnsiTheme="majorHAnsi" w:cstheme="majorHAnsi"/>
          <w:b/>
          <w:lang w:val="en-US"/>
        </w:rPr>
      </w:pPr>
      <w:r>
        <w:rPr>
          <w:rFonts w:asciiTheme="majorHAnsi" w:hAnsiTheme="majorHAnsi" w:cstheme="majorHAnsi"/>
          <w:b/>
          <w:lang w:val="en-US"/>
        </w:rPr>
        <w:t>Abstract</w:t>
      </w:r>
    </w:p>
    <w:p w14:paraId="64CDF19B" w14:textId="587E9A38" w:rsidR="00A80850" w:rsidRPr="00B33230" w:rsidRDefault="00F93C23" w:rsidP="00805CB5">
      <w:pPr>
        <w:spacing w:line="360" w:lineRule="auto"/>
        <w:ind w:firstLine="708"/>
        <w:jc w:val="both"/>
        <w:rPr>
          <w:rFonts w:asciiTheme="majorHAnsi" w:hAnsiTheme="majorHAnsi" w:cstheme="majorHAnsi"/>
          <w:lang w:val="en-US"/>
        </w:rPr>
      </w:pPr>
      <w:r w:rsidRPr="00B33230">
        <w:rPr>
          <w:rFonts w:asciiTheme="majorHAnsi" w:hAnsiTheme="majorHAnsi" w:cstheme="majorHAnsi"/>
          <w:b/>
          <w:lang w:val="en-US"/>
        </w:rPr>
        <w:t>Introduction</w:t>
      </w:r>
      <w:r w:rsidRPr="00B33230">
        <w:rPr>
          <w:rFonts w:asciiTheme="majorHAnsi" w:hAnsiTheme="majorHAnsi" w:cstheme="majorHAnsi"/>
          <w:lang w:val="en-US"/>
        </w:rPr>
        <w:t xml:space="preserve">: </w:t>
      </w:r>
      <w:r>
        <w:rPr>
          <w:rFonts w:asciiTheme="majorHAnsi" w:hAnsiTheme="majorHAnsi" w:cstheme="majorHAnsi"/>
          <w:lang w:val="en-US"/>
        </w:rPr>
        <w:t>C</w:t>
      </w:r>
      <w:r w:rsidRPr="00F93C23">
        <w:rPr>
          <w:rFonts w:asciiTheme="majorHAnsi" w:hAnsiTheme="majorHAnsi" w:cstheme="majorHAnsi"/>
          <w:lang w:val="en-US"/>
        </w:rPr>
        <w:t>hronic kidney disease represents an important health problem, due to its high incidence and prevalence, as well as its significant morbidity and mortality and socioeconomic cost</w:t>
      </w:r>
      <w:r w:rsidR="00A80850" w:rsidRPr="00B33230">
        <w:rPr>
          <w:rFonts w:asciiTheme="majorHAnsi" w:hAnsiTheme="majorHAnsi" w:cstheme="majorHAnsi"/>
          <w:lang w:val="en-US"/>
        </w:rPr>
        <w:t>.</w:t>
      </w:r>
      <w:r>
        <w:rPr>
          <w:rFonts w:asciiTheme="majorHAnsi" w:hAnsiTheme="majorHAnsi" w:cstheme="majorHAnsi"/>
          <w:lang w:val="en-US"/>
        </w:rPr>
        <w:t xml:space="preserve"> </w:t>
      </w:r>
      <w:r w:rsidR="00A80850" w:rsidRPr="00B33230">
        <w:rPr>
          <w:rFonts w:asciiTheme="majorHAnsi" w:hAnsiTheme="majorHAnsi" w:cstheme="majorHAnsi"/>
          <w:b/>
          <w:lang w:val="en-US"/>
        </w:rPr>
        <w:t>Aims</w:t>
      </w:r>
      <w:r w:rsidR="00A80850" w:rsidRPr="00B33230">
        <w:rPr>
          <w:rFonts w:asciiTheme="majorHAnsi" w:hAnsiTheme="majorHAnsi" w:cstheme="majorHAnsi"/>
          <w:lang w:val="en-US"/>
        </w:rPr>
        <w:t>:</w:t>
      </w:r>
      <w:r w:rsidRPr="00B33230">
        <w:rPr>
          <w:lang w:val="en-US"/>
        </w:rPr>
        <w:t xml:space="preserve"> </w:t>
      </w:r>
      <w:r w:rsidR="007668C1" w:rsidRPr="007668C1">
        <w:rPr>
          <w:rFonts w:asciiTheme="majorHAnsi" w:hAnsiTheme="majorHAnsi" w:cstheme="majorHAnsi"/>
          <w:lang w:val="en-US"/>
        </w:rPr>
        <w:t>compare the effectiveness and economic consequences of outsourcing versus hospital dialysis.</w:t>
      </w:r>
      <w:r>
        <w:rPr>
          <w:rFonts w:asciiTheme="majorHAnsi" w:hAnsiTheme="majorHAnsi" w:cstheme="majorHAnsi"/>
          <w:lang w:val="en-US"/>
        </w:rPr>
        <w:t xml:space="preserve"> </w:t>
      </w:r>
      <w:r w:rsidR="00A80850" w:rsidRPr="00B33230">
        <w:rPr>
          <w:rFonts w:asciiTheme="majorHAnsi" w:hAnsiTheme="majorHAnsi" w:cstheme="majorHAnsi"/>
          <w:b/>
          <w:lang w:val="en-US"/>
        </w:rPr>
        <w:t>Method</w:t>
      </w:r>
      <w:r w:rsidR="00A80850" w:rsidRPr="00B33230">
        <w:rPr>
          <w:rFonts w:asciiTheme="majorHAnsi" w:hAnsiTheme="majorHAnsi" w:cstheme="majorHAnsi"/>
          <w:lang w:val="en-US"/>
        </w:rPr>
        <w:t>:</w:t>
      </w:r>
      <w:r w:rsidRPr="00B33230">
        <w:rPr>
          <w:lang w:val="en-US"/>
        </w:rPr>
        <w:t xml:space="preserve"> </w:t>
      </w:r>
      <w:r w:rsidR="00B47400" w:rsidRPr="00B47400">
        <w:rPr>
          <w:rFonts w:asciiTheme="majorHAnsi" w:hAnsiTheme="majorHAnsi" w:cstheme="majorHAnsi"/>
          <w:lang w:val="en-US"/>
        </w:rPr>
        <w:t xml:space="preserve">A </w:t>
      </w:r>
      <w:r w:rsidRPr="00B33230">
        <w:rPr>
          <w:rFonts w:asciiTheme="majorHAnsi" w:hAnsiTheme="majorHAnsi" w:cstheme="majorHAnsi"/>
          <w:lang w:val="en-US"/>
        </w:rPr>
        <w:t>scop</w:t>
      </w:r>
      <w:r w:rsidR="00B47400">
        <w:rPr>
          <w:rFonts w:asciiTheme="majorHAnsi" w:hAnsiTheme="majorHAnsi" w:cstheme="majorHAnsi"/>
          <w:lang w:val="en-US"/>
        </w:rPr>
        <w:t xml:space="preserve">ing </w:t>
      </w:r>
      <w:r w:rsidRPr="00B33230">
        <w:rPr>
          <w:rFonts w:asciiTheme="majorHAnsi" w:hAnsiTheme="majorHAnsi" w:cstheme="majorHAnsi"/>
          <w:lang w:val="en-US"/>
        </w:rPr>
        <w:t xml:space="preserve">review, for which different databases were consulted, using controlled and free terms. Those articles that compared concerted versus </w:t>
      </w:r>
      <w:r w:rsidR="00B33230">
        <w:rPr>
          <w:rFonts w:asciiTheme="majorHAnsi" w:hAnsiTheme="majorHAnsi" w:cstheme="majorHAnsi"/>
          <w:lang w:val="en-US"/>
        </w:rPr>
        <w:t xml:space="preserve">in </w:t>
      </w:r>
      <w:r w:rsidRPr="00B33230">
        <w:rPr>
          <w:rFonts w:asciiTheme="majorHAnsi" w:hAnsiTheme="majorHAnsi" w:cstheme="majorHAnsi"/>
          <w:lang w:val="en-US"/>
        </w:rPr>
        <w:t>hospital dialysis in terms of effectiveness were included. Likewise, those publications that compared, in the Spanish field, the cost between both modes of service provision and the public price rates of the different Autonomous Communities were included</w:t>
      </w:r>
      <w:r>
        <w:rPr>
          <w:rFonts w:asciiTheme="majorHAnsi" w:hAnsiTheme="majorHAnsi" w:cstheme="majorHAnsi"/>
          <w:lang w:val="en-US"/>
        </w:rPr>
        <w:t xml:space="preserve">. </w:t>
      </w:r>
      <w:r w:rsidR="00A80850" w:rsidRPr="00B33230">
        <w:rPr>
          <w:rFonts w:asciiTheme="majorHAnsi" w:hAnsiTheme="majorHAnsi" w:cstheme="majorHAnsi"/>
          <w:b/>
          <w:lang w:val="en-US"/>
        </w:rPr>
        <w:t>Results</w:t>
      </w:r>
      <w:r w:rsidR="00A80850" w:rsidRPr="00B33230">
        <w:rPr>
          <w:rFonts w:asciiTheme="majorHAnsi" w:hAnsiTheme="majorHAnsi" w:cstheme="majorHAnsi"/>
          <w:lang w:val="en-US"/>
        </w:rPr>
        <w:t>:</w:t>
      </w:r>
      <w:r w:rsidRPr="00B33230">
        <w:rPr>
          <w:lang w:val="en-US"/>
        </w:rPr>
        <w:t xml:space="preserve"> </w:t>
      </w:r>
      <w:r w:rsidR="00D546F6" w:rsidRPr="006B101C">
        <w:rPr>
          <w:rFonts w:asciiTheme="majorHAnsi" w:hAnsiTheme="majorHAnsi" w:cstheme="majorHAnsi"/>
          <w:highlight w:val="yellow"/>
          <w:lang w:val="en-US"/>
        </w:rPr>
        <w:t xml:space="preserve">11 </w:t>
      </w:r>
      <w:r w:rsidRPr="006B101C">
        <w:rPr>
          <w:rFonts w:asciiTheme="majorHAnsi" w:hAnsiTheme="majorHAnsi" w:cstheme="majorHAnsi"/>
          <w:highlight w:val="yellow"/>
          <w:lang w:val="en-US"/>
        </w:rPr>
        <w:t>articles were included in this review: 8 on comparison of effectiveness, all of them in the USA</w:t>
      </w:r>
      <w:r w:rsidR="00B33230" w:rsidRPr="006B101C">
        <w:rPr>
          <w:rFonts w:asciiTheme="majorHAnsi" w:hAnsiTheme="majorHAnsi" w:cstheme="majorHAnsi"/>
          <w:highlight w:val="yellow"/>
          <w:lang w:val="en-US"/>
        </w:rPr>
        <w:t>,</w:t>
      </w:r>
      <w:r w:rsidRPr="006B101C">
        <w:rPr>
          <w:rFonts w:asciiTheme="majorHAnsi" w:hAnsiTheme="majorHAnsi" w:cstheme="majorHAnsi"/>
          <w:highlight w:val="yellow"/>
          <w:lang w:val="en-US"/>
        </w:rPr>
        <w:t xml:space="preserve"> and </w:t>
      </w:r>
      <w:r w:rsidR="00D546F6" w:rsidRPr="006B101C">
        <w:rPr>
          <w:rFonts w:asciiTheme="majorHAnsi" w:hAnsiTheme="majorHAnsi" w:cstheme="majorHAnsi"/>
          <w:highlight w:val="yellow"/>
          <w:lang w:val="en-US"/>
        </w:rPr>
        <w:t xml:space="preserve">3 </w:t>
      </w:r>
      <w:r w:rsidRPr="006B101C">
        <w:rPr>
          <w:rFonts w:asciiTheme="majorHAnsi" w:hAnsiTheme="majorHAnsi" w:cstheme="majorHAnsi"/>
          <w:highlight w:val="yellow"/>
          <w:lang w:val="en-US"/>
        </w:rPr>
        <w:t>on costs</w:t>
      </w:r>
      <w:r w:rsidRPr="00B33230">
        <w:rPr>
          <w:rFonts w:asciiTheme="majorHAnsi" w:hAnsiTheme="majorHAnsi" w:cstheme="majorHAnsi"/>
          <w:lang w:val="en-US"/>
        </w:rPr>
        <w:t>. A higher rate of hospitalization was observed in subsidized centers, but no differences in mortality were observed. Additionally, greater competition among providers was associated with lower hospitalization rates. The cost studies reviewed show that hospital hemodialysis is more expensive than in subsidized centers, due to the structural costs. The data of the public rates of the different Autonomous Communities show a wide heterogeneity in the payment of the concerts.</w:t>
      </w:r>
      <w:r>
        <w:rPr>
          <w:rFonts w:asciiTheme="majorHAnsi" w:hAnsiTheme="majorHAnsi" w:cstheme="majorHAnsi"/>
          <w:lang w:val="en-US"/>
        </w:rPr>
        <w:t xml:space="preserve"> </w:t>
      </w:r>
      <w:r w:rsidR="00A80850" w:rsidRPr="00B33230">
        <w:rPr>
          <w:rFonts w:asciiTheme="majorHAnsi" w:hAnsiTheme="majorHAnsi" w:cstheme="majorHAnsi"/>
          <w:b/>
          <w:lang w:val="en-US"/>
        </w:rPr>
        <w:t>Conclusions</w:t>
      </w:r>
      <w:r w:rsidR="00A80850" w:rsidRPr="00B33230">
        <w:rPr>
          <w:rFonts w:asciiTheme="majorHAnsi" w:hAnsiTheme="majorHAnsi" w:cstheme="majorHAnsi"/>
          <w:lang w:val="en-US"/>
        </w:rPr>
        <w:t>:</w:t>
      </w:r>
      <w:r w:rsidRPr="00B33230">
        <w:rPr>
          <w:lang w:val="en-US"/>
        </w:rPr>
        <w:t xml:space="preserve"> </w:t>
      </w:r>
      <w:r w:rsidRPr="00F93C23">
        <w:rPr>
          <w:rFonts w:asciiTheme="majorHAnsi" w:hAnsiTheme="majorHAnsi" w:cstheme="majorHAnsi"/>
          <w:lang w:val="en-US"/>
        </w:rPr>
        <w:t xml:space="preserve">the coexistence in Spain of public and subsidized centers, the variability in the provision and costs of dialysis techniques, and the </w:t>
      </w:r>
      <w:r>
        <w:rPr>
          <w:rFonts w:asciiTheme="majorHAnsi" w:hAnsiTheme="majorHAnsi" w:cstheme="majorHAnsi"/>
          <w:lang w:val="en-US"/>
        </w:rPr>
        <w:t>low of</w:t>
      </w:r>
      <w:r w:rsidRPr="00F93C23">
        <w:rPr>
          <w:rFonts w:asciiTheme="majorHAnsi" w:hAnsiTheme="majorHAnsi" w:cstheme="majorHAnsi"/>
          <w:lang w:val="en-US"/>
        </w:rPr>
        <w:t xml:space="preserve"> evidence on the effectiveness of outsourcing treatment show</w:t>
      </w:r>
      <w:r w:rsidR="00B33230">
        <w:rPr>
          <w:rFonts w:asciiTheme="majorHAnsi" w:hAnsiTheme="majorHAnsi" w:cstheme="majorHAnsi"/>
          <w:lang w:val="en-US"/>
        </w:rPr>
        <w:t xml:space="preserve"> all</w:t>
      </w:r>
      <w:r w:rsidRPr="00F93C23">
        <w:rPr>
          <w:rFonts w:asciiTheme="majorHAnsi" w:hAnsiTheme="majorHAnsi" w:cstheme="majorHAnsi"/>
          <w:lang w:val="en-US"/>
        </w:rPr>
        <w:t xml:space="preserve"> the need to continue promoting strategies that result in improvement </w:t>
      </w:r>
      <w:r>
        <w:rPr>
          <w:rFonts w:asciiTheme="majorHAnsi" w:hAnsiTheme="majorHAnsi" w:cstheme="majorHAnsi"/>
          <w:lang w:val="en-US"/>
        </w:rPr>
        <w:t>in the</w:t>
      </w:r>
      <w:r w:rsidRPr="00F93C23">
        <w:rPr>
          <w:rFonts w:asciiTheme="majorHAnsi" w:hAnsiTheme="majorHAnsi" w:cstheme="majorHAnsi"/>
          <w:lang w:val="en-US"/>
        </w:rPr>
        <w:t xml:space="preserve"> care for Chronic Kidney Disease.</w:t>
      </w:r>
    </w:p>
    <w:p w14:paraId="55DE3146" w14:textId="77777777" w:rsidR="00A80850" w:rsidRPr="00A80850" w:rsidRDefault="00A80850" w:rsidP="00314BBA">
      <w:pPr>
        <w:spacing w:line="360" w:lineRule="auto"/>
        <w:jc w:val="both"/>
        <w:rPr>
          <w:rFonts w:asciiTheme="majorHAnsi" w:hAnsiTheme="majorHAnsi" w:cstheme="majorHAnsi"/>
          <w:b/>
          <w:lang w:val="en-US"/>
        </w:rPr>
      </w:pPr>
    </w:p>
    <w:p w14:paraId="1513DC7D" w14:textId="77777777" w:rsidR="00314BBA" w:rsidRPr="00A80850" w:rsidRDefault="00314BBA">
      <w:pPr>
        <w:rPr>
          <w:rFonts w:asciiTheme="majorHAnsi" w:hAnsiTheme="majorHAnsi" w:cstheme="majorHAnsi"/>
          <w:b/>
          <w:lang w:val="en-US"/>
        </w:rPr>
      </w:pPr>
      <w:r w:rsidRPr="00A80850">
        <w:rPr>
          <w:rFonts w:asciiTheme="majorHAnsi" w:hAnsiTheme="majorHAnsi" w:cstheme="majorHAnsi"/>
          <w:b/>
          <w:lang w:val="en-US"/>
        </w:rPr>
        <w:br w:type="page"/>
      </w:r>
    </w:p>
    <w:p w14:paraId="72FEFB97" w14:textId="113ABA90" w:rsidR="00E337D2" w:rsidRPr="0025653C" w:rsidRDefault="00E337D2" w:rsidP="00E337D2">
      <w:pPr>
        <w:spacing w:line="360" w:lineRule="auto"/>
        <w:jc w:val="both"/>
        <w:rPr>
          <w:rFonts w:asciiTheme="majorHAnsi" w:hAnsiTheme="majorHAnsi" w:cstheme="majorHAnsi"/>
          <w:b/>
          <w:lang w:val="es-ES_tradnl"/>
        </w:rPr>
      </w:pPr>
      <w:r w:rsidRPr="0025653C">
        <w:rPr>
          <w:rFonts w:asciiTheme="majorHAnsi" w:hAnsiTheme="majorHAnsi" w:cstheme="majorHAnsi"/>
          <w:b/>
          <w:lang w:val="es-ES_tradnl"/>
        </w:rPr>
        <w:lastRenderedPageBreak/>
        <w:t xml:space="preserve">Introducción </w:t>
      </w:r>
    </w:p>
    <w:p w14:paraId="0AA90DD3" w14:textId="313BA11D" w:rsidR="008B7FDA" w:rsidRDefault="29201C76" w:rsidP="29201C76">
      <w:pPr>
        <w:spacing w:line="360" w:lineRule="auto"/>
        <w:ind w:firstLine="640"/>
        <w:jc w:val="both"/>
        <w:rPr>
          <w:rFonts w:asciiTheme="majorHAnsi" w:hAnsiTheme="majorHAnsi" w:cstheme="majorBidi"/>
        </w:rPr>
      </w:pPr>
      <w:r w:rsidRPr="29201C76">
        <w:rPr>
          <w:rFonts w:asciiTheme="majorHAnsi" w:hAnsiTheme="majorHAnsi" w:cstheme="majorBidi"/>
        </w:rPr>
        <w:t>La enfermedad renal crónica (ERC) representa un importante problema de salud, tanto por su elevada incidencia y prevalencia, como por su importante morbimortalidad y coste socioeconómico</w:t>
      </w:r>
      <w:r w:rsidR="000F3D42" w:rsidRPr="29201C76">
        <w:rPr>
          <w:rFonts w:asciiTheme="majorHAnsi" w:hAnsiTheme="majorHAnsi" w:cstheme="majorBidi"/>
        </w:rPr>
        <w:fldChar w:fldCharType="begin" w:fldLock="1"/>
      </w:r>
      <w:r w:rsidR="00DE534A">
        <w:rPr>
          <w:rFonts w:asciiTheme="majorHAnsi" w:hAnsiTheme="majorHAnsi" w:cstheme="majorBidi"/>
        </w:rPr>
        <w:instrText>ADDIN CSL_CITATION {"citationItems":[{"id":"ITEM-1","itemData":{"DOI":"10.2215/CJN.08150718","ISSN":"1555-905X (Electronic)","PMID":"30545819","abstract":"BACKGROUND AND OBJECTIVES: The prevalence of patients with ESKD who receive extracorporeal kidney replacement therapy is rising worldwide. We compared government reimbursement for hemodialysis and peritoneal dialysis worldwide, assessed the effect on the government health care budget, and discussed strategies to reduce the cost of kidney replacement therapy. DESIGN, SETTING, PARTICIPANTS, &amp; MEASUREMENTS: Cross-sectional global survey of nephrologists in 90 countries to assess reimbursement for dialysis, number of patients receiving hemodialysis and peritoneal dialysis, and measures to prevent development or progression of CKD, conducted online July to December of 2016. RESULTS: Of the 90 survey respondents, governments from 81 countries (90%) provided reimbursement for maintenance dialysis. The prevalence of patients per million population being treated with long-term dialysis in low- and middle-income countries increased linearly with Gross Domestic Product per capita (GDP per capita), but was substantially lower in these countries compared with high-income countries where we did not observe an higher prevalence with higher GDP per capita. The absolute expenditure for dialysis by national governments showed a positive association with GDP per capita, but the percent of total health care budget spent on dialysis showed a negative association. The percentage of patients on peritoneal dialysis was low, even in countries where peritoneal dialysis is better reimbursed than hemodialysis. The so-called peritoneal dialysis-first policy without financial incentive seems to be effective in increasing the utilization of peritoneal dialysis. Few countries actively provide CKD prevention. CONCLUSIONS: In low- and middle-income countries, reimbursement of dialysis is insufficient to treat all patients with ESKD and has a disproportionately high effect on public health expenditure. Current reimbursement policies favor conventional in-center hemodialysis.","author":[{"dropping-particle":"","family":"Tol","given":"Arjan","non-dropping-particle":"van der","parse-names":false,"suffix":""},{"dropping-particle":"","family":"Lameire","given":"Norbert","non-dropping-particle":"","parse-names":false,"suffix":""},{"dropping-particle":"","family":"Morton","given":"Rachael L","non-dropping-particle":"","parse-names":false,"suffix":""},{"dropping-particle":"","family":"Biesen","given":"Wim","non-dropping-particle":"Van","parse-names":false,"suffix":""},{"dropping-particle":"","family":"Vanholder","given":"Raymond","non-dropping-particle":"","parse-names":false,"suffix":""}],"container-title":"Clinical journal of the American Society of Nephrology : CJASN","id":"ITEM-1","issue":"1","issued":{"date-parts":[["2019"]]},"language":"eng","page":"84-93","publisher-place":"United States","title":"An International Analysis of Dialysis Services Reimbursement.","type":"article-journal","volume":"14"},"uris":["http://www.mendeley.com/documents/?uuid=eefb88d5-96d5-49e7-a7a9-6f758c39d70c"]}],"mendeley":{"formattedCitation":"&lt;sup&gt;1&lt;/sup&gt;","plainTextFormattedCitation":"1","previouslyFormattedCitation":"&lt;sup&gt;1&lt;/sup&gt;"},"properties":{"noteIndex":0},"schema":"https://github.com/citation-style-language/schema/raw/master/csl-citation.json"}</w:instrText>
      </w:r>
      <w:r w:rsidR="000F3D42" w:rsidRPr="29201C76">
        <w:rPr>
          <w:rFonts w:asciiTheme="majorHAnsi" w:hAnsiTheme="majorHAnsi" w:cstheme="majorBidi"/>
        </w:rPr>
        <w:fldChar w:fldCharType="separate"/>
      </w:r>
      <w:r w:rsidR="00095194" w:rsidRPr="00095194">
        <w:rPr>
          <w:rFonts w:asciiTheme="majorHAnsi" w:hAnsiTheme="majorHAnsi" w:cstheme="majorBidi"/>
          <w:noProof/>
          <w:vertAlign w:val="superscript"/>
        </w:rPr>
        <w:t>1</w:t>
      </w:r>
      <w:r w:rsidR="000F3D42" w:rsidRPr="29201C76">
        <w:rPr>
          <w:rFonts w:asciiTheme="majorHAnsi" w:hAnsiTheme="majorHAnsi" w:cstheme="majorBidi"/>
        </w:rPr>
        <w:fldChar w:fldCharType="end"/>
      </w:r>
      <w:r w:rsidRPr="29201C76">
        <w:rPr>
          <w:rFonts w:asciiTheme="majorHAnsi" w:hAnsiTheme="majorHAnsi" w:cstheme="majorBidi"/>
        </w:rPr>
        <w:t>. En nuestro país,</w:t>
      </w:r>
      <w:r w:rsidR="008C4296">
        <w:rPr>
          <w:rFonts w:asciiTheme="majorHAnsi" w:hAnsiTheme="majorHAnsi" w:cstheme="majorBidi"/>
        </w:rPr>
        <w:t xml:space="preserve"> </w:t>
      </w:r>
      <w:r w:rsidR="00ED3BDA">
        <w:rPr>
          <w:rFonts w:asciiTheme="majorHAnsi" w:hAnsiTheme="majorHAnsi" w:cstheme="majorBidi"/>
        </w:rPr>
        <w:t>el</w:t>
      </w:r>
      <w:r w:rsidR="008C4296">
        <w:rPr>
          <w:rFonts w:asciiTheme="majorHAnsi" w:hAnsiTheme="majorHAnsi" w:cstheme="majorBidi"/>
        </w:rPr>
        <w:t xml:space="preserve"> Tratamiento Sustitutivo Renal (TSR)</w:t>
      </w:r>
      <w:r w:rsidRPr="29201C76">
        <w:rPr>
          <w:rFonts w:asciiTheme="majorHAnsi" w:hAnsiTheme="majorHAnsi" w:cstheme="majorBidi"/>
        </w:rPr>
        <w:t xml:space="preserve"> </w:t>
      </w:r>
      <w:r w:rsidR="008C4296">
        <w:rPr>
          <w:rFonts w:asciiTheme="majorHAnsi" w:hAnsiTheme="majorHAnsi" w:cstheme="majorBidi"/>
        </w:rPr>
        <w:t xml:space="preserve">proporciona soporte terapéutico a </w:t>
      </w:r>
      <w:r w:rsidR="003C23AD" w:rsidRPr="29201C76">
        <w:rPr>
          <w:rFonts w:asciiTheme="majorHAnsi" w:hAnsiTheme="majorHAnsi" w:cstheme="majorBidi"/>
        </w:rPr>
        <w:t>6</w:t>
      </w:r>
      <w:r w:rsidR="003C23AD">
        <w:rPr>
          <w:rFonts w:asciiTheme="majorHAnsi" w:hAnsiTheme="majorHAnsi" w:cstheme="majorBidi"/>
        </w:rPr>
        <w:t>4</w:t>
      </w:r>
      <w:r w:rsidRPr="29201C76">
        <w:rPr>
          <w:rFonts w:asciiTheme="majorHAnsi" w:hAnsiTheme="majorHAnsi" w:cstheme="majorBidi"/>
        </w:rPr>
        <w:t>.</w:t>
      </w:r>
      <w:r w:rsidR="003C23AD">
        <w:rPr>
          <w:rFonts w:asciiTheme="majorHAnsi" w:hAnsiTheme="majorHAnsi" w:cstheme="majorBidi"/>
        </w:rPr>
        <w:t>292</w:t>
      </w:r>
      <w:r w:rsidR="003C23AD" w:rsidRPr="29201C76">
        <w:rPr>
          <w:rFonts w:asciiTheme="majorHAnsi" w:hAnsiTheme="majorHAnsi" w:cstheme="majorBidi"/>
        </w:rPr>
        <w:t xml:space="preserve"> </w:t>
      </w:r>
      <w:r w:rsidRPr="29201C76">
        <w:rPr>
          <w:rFonts w:asciiTheme="majorHAnsi" w:hAnsiTheme="majorHAnsi" w:cstheme="majorBidi"/>
        </w:rPr>
        <w:t>pacientes</w:t>
      </w:r>
      <w:r w:rsidR="008C4296">
        <w:rPr>
          <w:rFonts w:asciiTheme="majorHAnsi" w:hAnsiTheme="majorHAnsi" w:cstheme="majorBidi"/>
        </w:rPr>
        <w:t>, según los datos del</w:t>
      </w:r>
      <w:r w:rsidRPr="29201C76">
        <w:rPr>
          <w:rFonts w:asciiTheme="majorHAnsi" w:hAnsiTheme="majorHAnsi" w:cstheme="majorBidi"/>
        </w:rPr>
        <w:t xml:space="preserve"> año 201</w:t>
      </w:r>
      <w:r w:rsidR="003C23AD">
        <w:rPr>
          <w:rFonts w:asciiTheme="majorHAnsi" w:hAnsiTheme="majorHAnsi" w:cstheme="majorBidi"/>
        </w:rPr>
        <w:t>9</w:t>
      </w:r>
      <w:r w:rsidRPr="29201C76">
        <w:rPr>
          <w:rFonts w:asciiTheme="majorHAnsi" w:hAnsiTheme="majorHAnsi" w:cstheme="majorBidi"/>
        </w:rPr>
        <w:t>, de</w:t>
      </w:r>
      <w:r w:rsidR="003C23AD">
        <w:rPr>
          <w:rFonts w:asciiTheme="majorHAnsi" w:hAnsiTheme="majorHAnsi" w:cstheme="majorBidi"/>
        </w:rPr>
        <w:t xml:space="preserve"> los que un </w:t>
      </w:r>
      <w:r w:rsidR="003C23AD" w:rsidRPr="29201C76">
        <w:rPr>
          <w:rFonts w:asciiTheme="majorHAnsi" w:hAnsiTheme="majorHAnsi" w:cstheme="majorBidi"/>
        </w:rPr>
        <w:t>5</w:t>
      </w:r>
      <w:r w:rsidR="003C23AD">
        <w:rPr>
          <w:rFonts w:asciiTheme="majorHAnsi" w:hAnsiTheme="majorHAnsi" w:cstheme="majorBidi"/>
        </w:rPr>
        <w:t>4,7</w:t>
      </w:r>
      <w:r w:rsidRPr="29201C76">
        <w:rPr>
          <w:rFonts w:asciiTheme="majorHAnsi" w:hAnsiTheme="majorHAnsi" w:cstheme="majorBidi"/>
        </w:rPr>
        <w:t>%</w:t>
      </w:r>
      <w:r w:rsidR="00B415C7">
        <w:rPr>
          <w:rFonts w:asciiTheme="majorHAnsi" w:hAnsiTheme="majorHAnsi" w:cstheme="majorBidi"/>
        </w:rPr>
        <w:t xml:space="preserve"> </w:t>
      </w:r>
      <w:r w:rsidR="008C4296">
        <w:rPr>
          <w:rFonts w:asciiTheme="majorHAnsi" w:hAnsiTheme="majorHAnsi" w:cstheme="majorBidi"/>
        </w:rPr>
        <w:t>eran</w:t>
      </w:r>
      <w:r w:rsidR="003C23AD">
        <w:rPr>
          <w:rFonts w:asciiTheme="majorHAnsi" w:hAnsiTheme="majorHAnsi" w:cstheme="majorBidi"/>
        </w:rPr>
        <w:t xml:space="preserve"> pacientes con un trasplante funcionante</w:t>
      </w:r>
      <w:r w:rsidR="00385487">
        <w:rPr>
          <w:rFonts w:asciiTheme="majorHAnsi" w:hAnsiTheme="majorHAnsi" w:cstheme="majorBidi"/>
        </w:rPr>
        <w:t>, un</w:t>
      </w:r>
      <w:r w:rsidRPr="29201C76">
        <w:rPr>
          <w:rFonts w:asciiTheme="majorHAnsi" w:hAnsiTheme="majorHAnsi" w:cstheme="majorBidi"/>
        </w:rPr>
        <w:t xml:space="preserve"> </w:t>
      </w:r>
      <w:r w:rsidR="004718D1">
        <w:rPr>
          <w:rFonts w:asciiTheme="majorHAnsi" w:hAnsiTheme="majorHAnsi" w:cstheme="majorBidi"/>
        </w:rPr>
        <w:t>4,9</w:t>
      </w:r>
      <w:r w:rsidRPr="29201C76">
        <w:rPr>
          <w:rFonts w:asciiTheme="majorHAnsi" w:hAnsiTheme="majorHAnsi" w:cstheme="majorBidi"/>
        </w:rPr>
        <w:t>% está en tratamiento con Diálisis Peritoneal</w:t>
      </w:r>
      <w:r w:rsidR="004D14B6">
        <w:rPr>
          <w:rFonts w:asciiTheme="majorHAnsi" w:hAnsiTheme="majorHAnsi" w:cstheme="majorBidi"/>
        </w:rPr>
        <w:t xml:space="preserve"> (DP)</w:t>
      </w:r>
      <w:r w:rsidRPr="29201C76">
        <w:rPr>
          <w:rFonts w:asciiTheme="majorHAnsi" w:hAnsiTheme="majorHAnsi" w:cstheme="majorBidi"/>
        </w:rPr>
        <w:t xml:space="preserve">, </w:t>
      </w:r>
      <w:r w:rsidR="00385487">
        <w:rPr>
          <w:rFonts w:asciiTheme="majorHAnsi" w:hAnsiTheme="majorHAnsi" w:cstheme="majorBidi"/>
        </w:rPr>
        <w:t>y un</w:t>
      </w:r>
      <w:r w:rsidR="004718D1">
        <w:rPr>
          <w:rFonts w:asciiTheme="majorHAnsi" w:hAnsiTheme="majorHAnsi" w:cstheme="majorBidi"/>
        </w:rPr>
        <w:t xml:space="preserve"> </w:t>
      </w:r>
      <w:r w:rsidR="00385487">
        <w:rPr>
          <w:rFonts w:asciiTheme="majorHAnsi" w:hAnsiTheme="majorHAnsi" w:cstheme="majorBidi"/>
        </w:rPr>
        <w:t>40</w:t>
      </w:r>
      <w:r w:rsidR="004718D1">
        <w:rPr>
          <w:rFonts w:asciiTheme="majorHAnsi" w:hAnsiTheme="majorHAnsi" w:cstheme="majorBidi"/>
        </w:rPr>
        <w:t>,</w:t>
      </w:r>
      <w:r w:rsidR="00385487">
        <w:rPr>
          <w:rFonts w:asciiTheme="majorHAnsi" w:hAnsiTheme="majorHAnsi" w:cstheme="majorBidi"/>
        </w:rPr>
        <w:t>3</w:t>
      </w:r>
      <w:r w:rsidR="004718D1" w:rsidRPr="29201C76">
        <w:rPr>
          <w:rFonts w:asciiTheme="majorHAnsi" w:hAnsiTheme="majorHAnsi" w:cstheme="majorBidi"/>
        </w:rPr>
        <w:t>%</w:t>
      </w:r>
      <w:r w:rsidR="004718D1">
        <w:rPr>
          <w:rFonts w:asciiTheme="majorHAnsi" w:hAnsiTheme="majorHAnsi" w:cstheme="majorBidi"/>
        </w:rPr>
        <w:t xml:space="preserve"> en</w:t>
      </w:r>
      <w:r w:rsidRPr="29201C76">
        <w:rPr>
          <w:rFonts w:asciiTheme="majorHAnsi" w:hAnsiTheme="majorHAnsi" w:cstheme="majorBidi"/>
        </w:rPr>
        <w:t xml:space="preserve"> Hemodiálisis</w:t>
      </w:r>
      <w:r w:rsidR="004D14B6">
        <w:rPr>
          <w:rFonts w:asciiTheme="majorHAnsi" w:hAnsiTheme="majorHAnsi" w:cstheme="majorBidi"/>
        </w:rPr>
        <w:t xml:space="preserve"> (HD)</w:t>
      </w:r>
      <w:r w:rsidR="00330972">
        <w:rPr>
          <w:rFonts w:asciiTheme="majorHAnsi" w:hAnsiTheme="majorHAnsi" w:cstheme="majorBidi"/>
        </w:rPr>
        <w:fldChar w:fldCharType="begin" w:fldLock="1"/>
      </w:r>
      <w:r w:rsidR="00AD0D64">
        <w:rPr>
          <w:rFonts w:asciiTheme="majorHAnsi" w:hAnsiTheme="majorHAnsi" w:cstheme="majorBidi"/>
        </w:rPr>
        <w:instrText>ADDIN CSL_CITATION {"citationItems":[{"id":"ITEM-1","itemData":{"URL":"https://senefro.org/contents/webstructure/INFORME_REER_SEN_2020_WEB_SEN.pdf","author":[{"dropping-particle":"","family":"Sociedad Española de Nefrología y la Organización Nacional de Trasplantes","given":"","non-dropping-particle":"","parse-names":false,"suffix":""}],"id":"ITEM-1","issued":{"date-parts":[["0"]]},"title":"Informe de Diálisis y Trasplante 2019. Registro Español de Enfermos Renales","type":"webpage"},"uris":["http://www.mendeley.com/documents/?uuid=da9c4f57-c1b7-4660-a43e-4b69a290fa03"]}],"mendeley":{"formattedCitation":"&lt;sup&gt;2&lt;/sup&gt;","plainTextFormattedCitation":"2","previouslyFormattedCitation":"&lt;sup&gt;2&lt;/sup&gt;"},"properties":{"noteIndex":0},"schema":"https://github.com/citation-style-language/schema/raw/master/csl-citation.json"}</w:instrText>
      </w:r>
      <w:r w:rsidR="00330972">
        <w:rPr>
          <w:rFonts w:asciiTheme="majorHAnsi" w:hAnsiTheme="majorHAnsi" w:cstheme="majorBidi"/>
        </w:rPr>
        <w:fldChar w:fldCharType="separate"/>
      </w:r>
      <w:r w:rsidR="00095194" w:rsidRPr="00095194">
        <w:rPr>
          <w:rFonts w:asciiTheme="majorHAnsi" w:hAnsiTheme="majorHAnsi" w:cstheme="majorBidi"/>
          <w:noProof/>
          <w:vertAlign w:val="superscript"/>
        </w:rPr>
        <w:t>2</w:t>
      </w:r>
      <w:r w:rsidR="00330972">
        <w:rPr>
          <w:rFonts w:asciiTheme="majorHAnsi" w:hAnsiTheme="majorHAnsi" w:cstheme="majorBidi"/>
        </w:rPr>
        <w:fldChar w:fldCharType="end"/>
      </w:r>
      <w:r w:rsidRPr="29201C76">
        <w:rPr>
          <w:rFonts w:asciiTheme="majorHAnsi" w:hAnsiTheme="majorHAnsi" w:cstheme="majorBidi"/>
        </w:rPr>
        <w:t>.</w:t>
      </w:r>
    </w:p>
    <w:p w14:paraId="39ACB419" w14:textId="097006D3" w:rsidR="004B5D4D" w:rsidRDefault="00B415C7" w:rsidP="00926C87">
      <w:pPr>
        <w:spacing w:line="360" w:lineRule="auto"/>
        <w:ind w:firstLine="708"/>
        <w:jc w:val="both"/>
        <w:rPr>
          <w:rFonts w:asciiTheme="majorHAnsi" w:hAnsiTheme="majorHAnsi" w:cstheme="majorHAnsi"/>
        </w:rPr>
      </w:pPr>
      <w:r>
        <w:rPr>
          <w:rFonts w:asciiTheme="majorHAnsi" w:hAnsiTheme="majorHAnsi" w:cstheme="majorBidi"/>
        </w:rPr>
        <w:t>L</w:t>
      </w:r>
      <w:r w:rsidR="29201C76" w:rsidRPr="29201C76">
        <w:rPr>
          <w:rFonts w:asciiTheme="majorHAnsi" w:hAnsiTheme="majorHAnsi" w:cstheme="majorBidi"/>
        </w:rPr>
        <w:t>os pacientes no trasplantados</w:t>
      </w:r>
      <w:r w:rsidR="00E8535A">
        <w:rPr>
          <w:rFonts w:asciiTheme="majorHAnsi" w:hAnsiTheme="majorHAnsi" w:cstheme="majorBidi"/>
        </w:rPr>
        <w:t xml:space="preserve"> optan a diversas alternativas de TSR</w:t>
      </w:r>
      <w:r w:rsidR="29201C76" w:rsidRPr="29201C76">
        <w:rPr>
          <w:rFonts w:asciiTheme="majorHAnsi" w:hAnsiTheme="majorHAnsi" w:cstheme="majorBidi"/>
        </w:rPr>
        <w:t xml:space="preserve">: </w:t>
      </w:r>
      <w:r>
        <w:rPr>
          <w:rFonts w:asciiTheme="majorHAnsi" w:hAnsiTheme="majorHAnsi" w:cstheme="majorBidi"/>
        </w:rPr>
        <w:t>tratamiento conservador</w:t>
      </w:r>
      <w:r w:rsidR="001369C3">
        <w:rPr>
          <w:rFonts w:asciiTheme="majorHAnsi" w:hAnsiTheme="majorHAnsi" w:cstheme="majorBidi"/>
        </w:rPr>
        <w:t xml:space="preserve"> o</w:t>
      </w:r>
      <w:r w:rsidR="003A64B3">
        <w:rPr>
          <w:rFonts w:asciiTheme="majorHAnsi" w:hAnsiTheme="majorHAnsi" w:cstheme="majorBidi"/>
        </w:rPr>
        <w:t xml:space="preserve"> </w:t>
      </w:r>
      <w:r w:rsidR="00E8535A">
        <w:rPr>
          <w:rFonts w:asciiTheme="majorHAnsi" w:hAnsiTheme="majorHAnsi" w:cstheme="majorBidi"/>
        </w:rPr>
        <w:t>diálisis</w:t>
      </w:r>
      <w:r w:rsidR="00634182">
        <w:rPr>
          <w:rFonts w:asciiTheme="majorHAnsi" w:hAnsiTheme="majorHAnsi" w:cstheme="majorBidi"/>
        </w:rPr>
        <w:t>,</w:t>
      </w:r>
      <w:r w:rsidR="003A64B3">
        <w:rPr>
          <w:rFonts w:asciiTheme="majorHAnsi" w:hAnsiTheme="majorHAnsi" w:cstheme="majorBidi"/>
        </w:rPr>
        <w:t xml:space="preserve"> en sus diferentes modalidades</w:t>
      </w:r>
      <w:r w:rsidR="00320CEF">
        <w:rPr>
          <w:rFonts w:asciiTheme="majorHAnsi" w:hAnsiTheme="majorHAnsi" w:cstheme="majorBidi"/>
        </w:rPr>
        <w:t xml:space="preserve"> y ámbitos</w:t>
      </w:r>
      <w:r w:rsidR="00E8535A">
        <w:rPr>
          <w:rFonts w:asciiTheme="majorHAnsi" w:hAnsiTheme="majorHAnsi" w:cstheme="majorBidi"/>
        </w:rPr>
        <w:t xml:space="preserve">. </w:t>
      </w:r>
      <w:r w:rsidR="003A64B3">
        <w:rPr>
          <w:rFonts w:asciiTheme="majorHAnsi" w:hAnsiTheme="majorHAnsi" w:cstheme="majorBidi"/>
        </w:rPr>
        <w:t xml:space="preserve">La </w:t>
      </w:r>
      <w:r w:rsidR="001369C3">
        <w:rPr>
          <w:rFonts w:asciiTheme="majorHAnsi" w:hAnsiTheme="majorHAnsi" w:cstheme="majorBidi"/>
        </w:rPr>
        <w:t xml:space="preserve">elección de la </w:t>
      </w:r>
      <w:r w:rsidR="003A64B3">
        <w:rPr>
          <w:rFonts w:asciiTheme="majorHAnsi" w:hAnsiTheme="majorHAnsi" w:cstheme="majorBidi"/>
        </w:rPr>
        <w:t>diálisis en</w:t>
      </w:r>
      <w:r w:rsidR="29201C76" w:rsidRPr="29201C76">
        <w:rPr>
          <w:rFonts w:asciiTheme="majorHAnsi" w:hAnsiTheme="majorHAnsi" w:cstheme="majorBidi"/>
        </w:rPr>
        <w:t xml:space="preserve"> domicilio, </w:t>
      </w:r>
      <w:r w:rsidR="003A64B3">
        <w:rPr>
          <w:rFonts w:asciiTheme="majorHAnsi" w:hAnsiTheme="majorHAnsi" w:cstheme="majorBidi"/>
        </w:rPr>
        <w:t xml:space="preserve">en el ámbito </w:t>
      </w:r>
      <w:r w:rsidR="00ED3BDA">
        <w:rPr>
          <w:rFonts w:asciiTheme="majorHAnsi" w:hAnsiTheme="majorHAnsi" w:cstheme="majorBidi"/>
        </w:rPr>
        <w:t>intra o extra-</w:t>
      </w:r>
      <w:r w:rsidR="003A64B3">
        <w:rPr>
          <w:rFonts w:asciiTheme="majorHAnsi" w:hAnsiTheme="majorHAnsi" w:cstheme="majorBidi"/>
        </w:rPr>
        <w:t>hosp</w:t>
      </w:r>
      <w:r w:rsidR="29201C76" w:rsidRPr="29201C76">
        <w:rPr>
          <w:rFonts w:asciiTheme="majorHAnsi" w:hAnsiTheme="majorHAnsi" w:cstheme="majorBidi"/>
        </w:rPr>
        <w:t>italari</w:t>
      </w:r>
      <w:r w:rsidR="003A64B3">
        <w:rPr>
          <w:rFonts w:asciiTheme="majorHAnsi" w:hAnsiTheme="majorHAnsi" w:cstheme="majorBidi"/>
        </w:rPr>
        <w:t>o</w:t>
      </w:r>
      <w:r w:rsidR="29201C76" w:rsidRPr="29201C76">
        <w:rPr>
          <w:rFonts w:asciiTheme="majorHAnsi" w:hAnsiTheme="majorHAnsi" w:cstheme="majorBidi"/>
        </w:rPr>
        <w:t xml:space="preserve"> </w:t>
      </w:r>
      <w:r w:rsidR="00492F61">
        <w:rPr>
          <w:rFonts w:asciiTheme="majorHAnsi" w:hAnsiTheme="majorHAnsi" w:cstheme="majorBidi"/>
        </w:rPr>
        <w:t>(</w:t>
      </w:r>
      <w:r w:rsidR="001369C3">
        <w:rPr>
          <w:rFonts w:asciiTheme="majorHAnsi" w:hAnsiTheme="majorHAnsi" w:cstheme="majorBidi"/>
        </w:rPr>
        <w:t xml:space="preserve">en </w:t>
      </w:r>
      <w:r w:rsidR="29201C76" w:rsidRPr="29201C76">
        <w:rPr>
          <w:rFonts w:asciiTheme="majorHAnsi" w:hAnsiTheme="majorHAnsi" w:cstheme="majorBidi"/>
        </w:rPr>
        <w:t>centros satélite</w:t>
      </w:r>
      <w:r w:rsidR="008D106A">
        <w:rPr>
          <w:rFonts w:asciiTheme="majorHAnsi" w:hAnsiTheme="majorHAnsi" w:cstheme="majorBidi"/>
        </w:rPr>
        <w:t xml:space="preserve"> o periféricos</w:t>
      </w:r>
      <w:r w:rsidR="00492F61">
        <w:rPr>
          <w:rFonts w:asciiTheme="majorHAnsi" w:hAnsiTheme="majorHAnsi" w:cstheme="majorBidi"/>
        </w:rPr>
        <w:t>)</w:t>
      </w:r>
      <w:r w:rsidR="29201C76" w:rsidRPr="29201C76">
        <w:rPr>
          <w:rFonts w:asciiTheme="majorHAnsi" w:hAnsiTheme="majorHAnsi" w:cstheme="majorBidi"/>
        </w:rPr>
        <w:t xml:space="preserve"> o los centros concertados</w:t>
      </w:r>
      <w:r w:rsidR="001369C3">
        <w:rPr>
          <w:rFonts w:asciiTheme="majorHAnsi" w:hAnsiTheme="majorHAnsi" w:cstheme="majorBidi"/>
        </w:rPr>
        <w:t xml:space="preserve"> </w:t>
      </w:r>
      <w:r w:rsidR="29201C76" w:rsidRPr="29201C76">
        <w:rPr>
          <w:rFonts w:asciiTheme="majorHAnsi" w:hAnsiTheme="majorHAnsi" w:cstheme="majorBidi"/>
        </w:rPr>
        <w:t>viene determinad</w:t>
      </w:r>
      <w:r w:rsidR="001369C3">
        <w:rPr>
          <w:rFonts w:asciiTheme="majorHAnsi" w:hAnsiTheme="majorHAnsi" w:cstheme="majorBidi"/>
        </w:rPr>
        <w:t>a</w:t>
      </w:r>
      <w:r w:rsidR="29201C76" w:rsidRPr="29201C76">
        <w:rPr>
          <w:rFonts w:asciiTheme="majorHAnsi" w:hAnsiTheme="majorHAnsi" w:cstheme="majorBidi"/>
        </w:rPr>
        <w:t xml:space="preserve"> por </w:t>
      </w:r>
      <w:r w:rsidR="001369C3">
        <w:rPr>
          <w:rFonts w:asciiTheme="majorHAnsi" w:hAnsiTheme="majorHAnsi" w:cstheme="majorBidi"/>
        </w:rPr>
        <w:t xml:space="preserve">diversos </w:t>
      </w:r>
      <w:r w:rsidR="00CE042C">
        <w:rPr>
          <w:rFonts w:asciiTheme="majorHAnsi" w:hAnsiTheme="majorHAnsi" w:cstheme="majorBidi"/>
        </w:rPr>
        <w:t>factores:</w:t>
      </w:r>
      <w:r w:rsidR="008D106A" w:rsidRPr="008D106A">
        <w:rPr>
          <w:rFonts w:asciiTheme="majorHAnsi" w:hAnsiTheme="majorHAnsi" w:cstheme="majorBidi"/>
        </w:rPr>
        <w:t xml:space="preserve"> estructurales y </w:t>
      </w:r>
      <w:r w:rsidR="00CE042C">
        <w:rPr>
          <w:rFonts w:asciiTheme="majorHAnsi" w:hAnsiTheme="majorHAnsi" w:cstheme="majorBidi"/>
        </w:rPr>
        <w:t xml:space="preserve">de </w:t>
      </w:r>
      <w:r w:rsidR="008D106A" w:rsidRPr="008D106A">
        <w:rPr>
          <w:rFonts w:asciiTheme="majorHAnsi" w:hAnsiTheme="majorHAnsi" w:cstheme="majorBidi"/>
        </w:rPr>
        <w:t>alineación de incentivos</w:t>
      </w:r>
      <w:r w:rsidR="00CE042C">
        <w:rPr>
          <w:rFonts w:asciiTheme="majorHAnsi" w:hAnsiTheme="majorHAnsi" w:cstheme="majorBidi"/>
        </w:rPr>
        <w:t xml:space="preserve">, </w:t>
      </w:r>
      <w:r w:rsidR="29201C76" w:rsidRPr="29201C76">
        <w:rPr>
          <w:rFonts w:asciiTheme="majorHAnsi" w:hAnsiTheme="majorHAnsi" w:cstheme="majorBidi"/>
        </w:rPr>
        <w:t>sociodemográficos,</w:t>
      </w:r>
      <w:r w:rsidR="001369C3">
        <w:rPr>
          <w:rFonts w:asciiTheme="majorHAnsi" w:hAnsiTheme="majorHAnsi" w:cstheme="majorBidi"/>
        </w:rPr>
        <w:t xml:space="preserve"> del paciente (comorbilidad, auto</w:t>
      </w:r>
      <w:r w:rsidR="29201C76" w:rsidRPr="29201C76">
        <w:rPr>
          <w:rFonts w:asciiTheme="majorHAnsi" w:hAnsiTheme="majorHAnsi" w:cstheme="majorBidi"/>
        </w:rPr>
        <w:t>nom</w:t>
      </w:r>
      <w:r w:rsidR="001369C3">
        <w:rPr>
          <w:rFonts w:asciiTheme="majorHAnsi" w:hAnsiTheme="majorHAnsi" w:cstheme="majorBidi"/>
        </w:rPr>
        <w:t>í</w:t>
      </w:r>
      <w:r w:rsidR="29201C76" w:rsidRPr="29201C76">
        <w:rPr>
          <w:rFonts w:asciiTheme="majorHAnsi" w:hAnsiTheme="majorHAnsi" w:cstheme="majorBidi"/>
        </w:rPr>
        <w:t>a,</w:t>
      </w:r>
      <w:r w:rsidR="001369C3">
        <w:rPr>
          <w:rFonts w:asciiTheme="majorHAnsi" w:hAnsiTheme="majorHAnsi" w:cstheme="majorBidi"/>
        </w:rPr>
        <w:t xml:space="preserve"> </w:t>
      </w:r>
      <w:r w:rsidR="29201C76" w:rsidRPr="29201C76">
        <w:rPr>
          <w:rFonts w:asciiTheme="majorHAnsi" w:hAnsiTheme="majorHAnsi" w:cstheme="majorBidi"/>
        </w:rPr>
        <w:t>etc.), profesionales, organizativos y de capacidad del servicio, o la propia distancia al centro sanitario</w:t>
      </w:r>
      <w:r w:rsidR="002A7E04">
        <w:rPr>
          <w:rFonts w:asciiTheme="majorHAnsi" w:hAnsiTheme="majorHAnsi" w:cstheme="majorBidi"/>
        </w:rPr>
        <w:fldChar w:fldCharType="begin" w:fldLock="1"/>
      </w:r>
      <w:r w:rsidR="008100F2">
        <w:rPr>
          <w:rFonts w:asciiTheme="majorHAnsi" w:hAnsiTheme="majorHAnsi" w:cstheme="majorBidi"/>
        </w:rPr>
        <w:instrText>ADDIN CSL_CITATION {"citationItems":[{"id":"ITEM-1","itemData":{"ISBN":"9788415600350","author":[{"dropping-particle":"","family":"Márquez","given":"S","non-dropping-particle":"","parse-names":false,"suffix":""},{"dropping-particle":"","family":"Caro","given":"Araceli","non-dropping-particle":"","parse-names":false,"suffix":""},{"dropping-particle":"","family":"Adam","given":"Daniel","non-dropping-particle":"","parse-names":false,"suffix":""},{"dropping-particle":"","family":"Olry-de-Labry-Lima","given":"Antonio","non-dropping-particle":"","parse-names":false,"suffix":""},{"dropping-particle":"","family":"Navarro","given":"JA","non-dropping-particle":"","parse-names":false,"suffix":""},{"dropping-particle":"","family":"García","given":"Leticia","non-dropping-particle":"","parse-names":false,"suffix":""}],"id":"ITEM-1","issued":{"date-parts":[["2013"]]},"title":"Eficiencia de la diálisis peritoneal frente a hemodiálisis para el tratamiento de la insuficiencia renal. Informes de evaluación de tecnologías sanitarias AETSA","type":"book"},"uris":["http://www.mendeley.com/documents/?uuid=f4735f38-8a98-4c6c-a51c-c212c1b6d8d3"]},{"id":"ITEM-2","itemData":{"author":[{"dropping-particle":"","family":"Palanca Sánchez","given":"I","non-dropping-particle":"","parse-names":false,"suffix":""},{"dropping-particle":"","family":"Conde Olasagasti","given":"J","non-dropping-particle":"","parse-names":false,"suffix":""},{"dropping-particle":"","family":"Elola Somoza","given":"J","non-dropping-particle":"","parse-names":false,"suffix":""},{"dropping-particle":"","family":"Bernal Sobrino","given":"J L","non-dropping-particle":"","parse-names":false,"suffix":""},{"dropping-particle":"","family":"Paniagua Caparrós","given":"J L","non-dropping-particle":"","parse-names":false,"suffix":""}],"container-title":"Madrid: Ministerio de Sanidad, Política Social e Igualdad","editor":[{"dropping-particle":"","family":"Ministerio de Sanidad","given":"","non-dropping-particle":"","parse-names":false,"suffix":""}],"id":"ITEM-2","issued":{"date-parts":[["2011"]]},"publisher-place":"Madrid","title":"Unidad de depuración extrarrenal: estándares y recomendaciones","type":"book"},"uris":["http://www.mendeley.com/documents/?uuid=0ebe4832-67f9-4fd4-b2db-377d3f86e2d5"]}],"mendeley":{"formattedCitation":"&lt;sup&gt;3,4&lt;/sup&gt;","plainTextFormattedCitation":"3,4","previouslyFormattedCitation":"&lt;sup&gt;3,4&lt;/sup&gt;"},"properties":{"noteIndex":0},"schema":"https://github.com/citation-style-language/schema/raw/master/csl-citation.json"}</w:instrText>
      </w:r>
      <w:r w:rsidR="002A7E04">
        <w:rPr>
          <w:rFonts w:asciiTheme="majorHAnsi" w:hAnsiTheme="majorHAnsi" w:cstheme="majorBidi"/>
        </w:rPr>
        <w:fldChar w:fldCharType="separate"/>
      </w:r>
      <w:r w:rsidR="00095194" w:rsidRPr="00095194">
        <w:rPr>
          <w:rFonts w:asciiTheme="majorHAnsi" w:hAnsiTheme="majorHAnsi" w:cstheme="majorBidi"/>
          <w:noProof/>
          <w:vertAlign w:val="superscript"/>
        </w:rPr>
        <w:t>3,4</w:t>
      </w:r>
      <w:r w:rsidR="002A7E04">
        <w:rPr>
          <w:rFonts w:asciiTheme="majorHAnsi" w:hAnsiTheme="majorHAnsi" w:cstheme="majorBidi"/>
        </w:rPr>
        <w:fldChar w:fldCharType="end"/>
      </w:r>
      <w:r w:rsidR="29201C76" w:rsidRPr="29201C76">
        <w:rPr>
          <w:rFonts w:asciiTheme="majorHAnsi" w:hAnsiTheme="majorHAnsi" w:cstheme="majorBidi"/>
        </w:rPr>
        <w:t xml:space="preserve">. </w:t>
      </w:r>
    </w:p>
    <w:p w14:paraId="61465395" w14:textId="6E56473D" w:rsidR="00FC7A5B" w:rsidRDefault="00B64CBA" w:rsidP="00BF6268">
      <w:pPr>
        <w:spacing w:line="360" w:lineRule="auto"/>
        <w:ind w:firstLine="640"/>
        <w:jc w:val="both"/>
        <w:rPr>
          <w:rFonts w:asciiTheme="majorHAnsi" w:hAnsiTheme="majorHAnsi" w:cstheme="majorHAnsi"/>
          <w:lang w:val="es-ES_tradnl"/>
        </w:rPr>
      </w:pPr>
      <w:r>
        <w:rPr>
          <w:rFonts w:asciiTheme="majorHAnsi" w:hAnsiTheme="majorHAnsi" w:cstheme="majorHAnsi"/>
          <w:lang w:val="es-ES_tradnl"/>
        </w:rPr>
        <w:t>En la literatura se describe que existe cierta heterogeneidad de la calidad de la atención de los centros de dialisis</w:t>
      </w:r>
      <w:r>
        <w:rPr>
          <w:rFonts w:asciiTheme="majorHAnsi" w:hAnsiTheme="majorHAnsi" w:cstheme="majorHAnsi"/>
          <w:lang w:val="es-ES_tradnl"/>
        </w:rPr>
        <w:fldChar w:fldCharType="begin" w:fldLock="1"/>
      </w:r>
      <w:r w:rsidR="00AD0D64">
        <w:rPr>
          <w:rFonts w:asciiTheme="majorHAnsi" w:hAnsiTheme="majorHAnsi" w:cstheme="majorHAnsi"/>
          <w:lang w:val="es-ES_tradnl"/>
        </w:rPr>
        <w:instrText>ADDIN CSL_CITATION {"citationItems":[{"id":"ITEM-1","itemData":{"ISSN":"1046-6673","author":[{"dropping-particle":"","family":"Fink","given":"Jeffrey C","non-dropping-particle":"","parse-names":false,"suffix":""},{"dropping-particle":"","family":"Zhan","given":"Min","non-dropping-particle":"","parse-names":false,"suffix":""},{"dropping-particle":"","family":"Blahut","given":"Steven A","non-dropping-particle":"","parse-names":false,"suffix":""},{"dropping-particle":"","family":"Soucie","given":"Michael","non-dropping-particle":"","parse-names":false,"suffix":""},{"dropping-particle":"","family":"McClellan","given":"William M","non-dropping-particle":"","parse-names":false,"suffix":""}],"container-title":"Journal of the American Society of Nephrology","id":"ITEM-1","issue":"9","issued":{"date-parts":[["2002"]]},"page":"2338-2344","publisher":"Am Soc Nephrol","title":"Measuring the efficacy of a quality improvement program in dialysis adequacy with changes in center effects","type":"article-journal","volume":"13"},"uris":["http://www.mendeley.com/documents/?uuid=fb04c6d8-0971-4dc3-aba6-05384a40a860"]}],"mendeley":{"formattedCitation":"&lt;sup&gt;5&lt;/sup&gt;","plainTextFormattedCitation":"5","previouslyFormattedCitation":"&lt;sup&gt;5&lt;/sup&gt;"},"properties":{"noteIndex":0},"schema":"https://github.com/citation-style-language/schema/raw/master/csl-citation.json"}</w:instrText>
      </w:r>
      <w:r>
        <w:rPr>
          <w:rFonts w:asciiTheme="majorHAnsi" w:hAnsiTheme="majorHAnsi" w:cstheme="majorHAnsi"/>
          <w:lang w:val="es-ES_tradnl"/>
        </w:rPr>
        <w:fldChar w:fldCharType="separate"/>
      </w:r>
      <w:r w:rsidR="00095194" w:rsidRPr="00095194">
        <w:rPr>
          <w:rFonts w:asciiTheme="majorHAnsi" w:hAnsiTheme="majorHAnsi" w:cstheme="majorHAnsi"/>
          <w:noProof/>
          <w:vertAlign w:val="superscript"/>
          <w:lang w:val="es-ES_tradnl"/>
        </w:rPr>
        <w:t>5</w:t>
      </w:r>
      <w:r>
        <w:rPr>
          <w:rFonts w:asciiTheme="majorHAnsi" w:hAnsiTheme="majorHAnsi" w:cstheme="majorHAnsi"/>
          <w:lang w:val="es-ES_tradnl"/>
        </w:rPr>
        <w:fldChar w:fldCharType="end"/>
      </w:r>
      <w:r>
        <w:rPr>
          <w:rFonts w:asciiTheme="majorHAnsi" w:hAnsiTheme="majorHAnsi" w:cstheme="majorHAnsi"/>
          <w:lang w:val="es-ES_tradnl"/>
        </w:rPr>
        <w:t xml:space="preserve">. </w:t>
      </w:r>
      <w:r w:rsidR="00C9476C">
        <w:rPr>
          <w:rFonts w:asciiTheme="majorHAnsi" w:hAnsiTheme="majorHAnsi" w:cstheme="majorHAnsi"/>
          <w:lang w:val="es-ES_tradnl"/>
        </w:rPr>
        <w:t>D</w:t>
      </w:r>
      <w:r w:rsidR="00FF73F5">
        <w:rPr>
          <w:rFonts w:asciiTheme="majorHAnsi" w:hAnsiTheme="majorHAnsi" w:cstheme="majorBidi"/>
        </w:rPr>
        <w:t xml:space="preserve">os </w:t>
      </w:r>
      <w:r w:rsidR="00CC5108">
        <w:rPr>
          <w:rFonts w:asciiTheme="majorHAnsi" w:hAnsiTheme="majorHAnsi" w:cstheme="majorBidi"/>
        </w:rPr>
        <w:t xml:space="preserve">informes de las agencias de evaluación de tecnologías sanitarias </w:t>
      </w:r>
      <w:r w:rsidR="00CC5108" w:rsidRPr="006B101C">
        <w:rPr>
          <w:rFonts w:asciiTheme="majorHAnsi" w:hAnsiTheme="majorHAnsi" w:cstheme="majorBidi"/>
          <w:highlight w:val="yellow"/>
        </w:rPr>
        <w:t xml:space="preserve">de Canadá </w:t>
      </w:r>
      <w:r w:rsidR="00CC5108" w:rsidRPr="006B101C">
        <w:rPr>
          <w:rFonts w:asciiTheme="majorHAnsi" w:hAnsiTheme="majorHAnsi" w:cstheme="majorHAnsi"/>
          <w:highlight w:val="yellow"/>
          <w:lang w:val="es-ES_tradnl"/>
        </w:rPr>
        <w:t>(CADTH)</w:t>
      </w:r>
      <w:r w:rsidR="00FF73F5" w:rsidRPr="006B101C">
        <w:rPr>
          <w:rFonts w:asciiTheme="majorHAnsi" w:hAnsiTheme="majorHAnsi" w:cstheme="majorHAnsi"/>
          <w:highlight w:val="yellow"/>
          <w:lang w:val="es-ES_tradnl"/>
        </w:rPr>
        <w:fldChar w:fldCharType="begin" w:fldLock="1"/>
      </w:r>
      <w:r w:rsidR="00AD0D64" w:rsidRPr="006B101C">
        <w:rPr>
          <w:rFonts w:asciiTheme="majorHAnsi" w:hAnsiTheme="majorHAnsi" w:cstheme="majorHAnsi"/>
          <w:highlight w:val="yellow"/>
          <w:lang w:val="es-ES_tradnl"/>
        </w:rPr>
        <w:instrText>ADDIN CSL_CITATION {"citationItems":[{"id":"ITEM-1","itemData":{"ISSN":"1366-5278","author":[{"dropping-particle":"","family":"Roderick","given":"P","non-dropping-particle":"","parse-names":false,"suffix":""},{"dropping-particle":"","family":"Nicholson","given":"T","non-dropping-particle":"","parse-names":false,"suffix":""},{"dropping-particle":"","family":"Armitage","given":"A","non-dropping-particle":"","parse-names":false,"suffix":""},{"dropping-particle":"","family":"Mehta","given":"R","non-dropping-particle":"","parse-names":false,"suffix":""},{"dropping-particle":"","family":"Mullee","given":"M","non-dropping-particle":"","parse-names":false,"suffix":""},{"dropping-particle":"","family":"Gerard","given":"K","non-dropping-particle":"","parse-names":false,"suffix":""},{"dropping-particle":"","family":"Drey","given":"N","non-dropping-particle":"","parse-names":false,"suffix":""},{"dropping-particle":"","family":"Feest","given":"T","non-dropping-particle":"","parse-names":false,"suffix":""},{"dropping-particle":"","family":"Greenwood","given":"R","non-dropping-particle":"","parse-names":false,"suffix":""},{"dropping-particle":"","family":"Lamping","given":"D","non-dropping-particle":"","parse-names":false,"suffix":""}],"container-title":"Health technology assessment (Winchester, England)","id":"ITEM-1","issue":"24","issued":{"date-parts":[["2005"]]},"page":"1-178","publisher":"NIHR Journals Library","title":"An evaluation of the costs, effectiveness and quality of renal replacement therapy provision in renal satellite units in England and Wales.","type":"article-journal","volume":"9"},"uris":["http://www.mendeley.com/documents/?uuid=d66feed1-efec-41e9-9417-b9cdd0847214"]}],"mendeley":{"formattedCitation":"&lt;sup&gt;6&lt;/sup&gt;","plainTextFormattedCitation":"6","previouslyFormattedCitation":"&lt;sup&gt;6&lt;/sup&gt;"},"properties":{"noteIndex":0},"schema":"https://github.com/citation-style-language/schema/raw/master/csl-citation.json"}</w:instrText>
      </w:r>
      <w:r w:rsidR="00FF73F5" w:rsidRPr="006B101C">
        <w:rPr>
          <w:rFonts w:asciiTheme="majorHAnsi" w:hAnsiTheme="majorHAnsi" w:cstheme="majorHAnsi"/>
          <w:highlight w:val="yellow"/>
          <w:lang w:val="es-ES_tradnl"/>
        </w:rPr>
        <w:fldChar w:fldCharType="separate"/>
      </w:r>
      <w:r w:rsidR="00095194" w:rsidRPr="006B101C">
        <w:rPr>
          <w:rFonts w:asciiTheme="majorHAnsi" w:hAnsiTheme="majorHAnsi" w:cstheme="majorHAnsi"/>
          <w:noProof/>
          <w:highlight w:val="yellow"/>
          <w:vertAlign w:val="superscript"/>
          <w:lang w:val="es-ES_tradnl"/>
        </w:rPr>
        <w:t>6</w:t>
      </w:r>
      <w:r w:rsidR="00FF73F5" w:rsidRPr="006B101C">
        <w:rPr>
          <w:rFonts w:asciiTheme="majorHAnsi" w:hAnsiTheme="majorHAnsi" w:cstheme="majorHAnsi"/>
          <w:highlight w:val="yellow"/>
          <w:lang w:val="es-ES_tradnl"/>
        </w:rPr>
        <w:fldChar w:fldCharType="end"/>
      </w:r>
      <w:r w:rsidR="00CC5108" w:rsidRPr="006B101C">
        <w:rPr>
          <w:rFonts w:asciiTheme="majorHAnsi" w:hAnsiTheme="majorHAnsi" w:cstheme="majorHAnsi"/>
          <w:highlight w:val="yellow"/>
          <w:lang w:val="es-ES_tradnl"/>
        </w:rPr>
        <w:t xml:space="preserve"> </w:t>
      </w:r>
      <w:r w:rsidR="00CC5108" w:rsidRPr="006B101C">
        <w:rPr>
          <w:rFonts w:asciiTheme="majorHAnsi" w:hAnsiTheme="majorHAnsi" w:cstheme="majorBidi"/>
          <w:highlight w:val="yellow"/>
        </w:rPr>
        <w:t>y Noruega (HPSR)</w:t>
      </w:r>
      <w:r w:rsidR="00453869" w:rsidRPr="006B101C">
        <w:rPr>
          <w:rFonts w:asciiTheme="majorHAnsi" w:hAnsiTheme="majorHAnsi" w:cstheme="majorHAnsi"/>
          <w:highlight w:val="yellow"/>
          <w:lang w:val="es-ES_tradnl"/>
        </w:rPr>
        <w:fldChar w:fldCharType="begin" w:fldLock="1"/>
      </w:r>
      <w:r w:rsidR="00B57DD4" w:rsidRPr="006B101C">
        <w:rPr>
          <w:rFonts w:asciiTheme="majorHAnsi" w:hAnsiTheme="majorHAnsi" w:cstheme="majorHAnsi"/>
          <w:highlight w:val="yellow"/>
          <w:lang w:val="es-ES_tradnl"/>
        </w:rPr>
        <w:instrText>ADDIN CSL_CITATION {"citationItems":[{"id":"ITEM-1","itemData":{"ISBN":"978-82-8121-830-7","PMID":"29320086","abstract":"During the last ten years, the number of dialysis patients has doubled in Norway. After a request from The Norwegian Directorate of Health we performed a Health Technology Assessment comparing efficacy, safety and cost-effectiveness of the different dialysis modalities 1) Hemodialysis carried out in hospital, 2) self-care hemodialysis in hospital, 3) hemodialysis in satellite unit (nursing home, local medical centre), 4) hemodialysis at home and 5) peritoneal dialysis at home for patients with end-stage renal failure requiring dialysis in Norway. Our outcomes were mortality, complications that require special measures and quality of life. Clinical findings Of 21 possible comparisons only six had published data. For the comparisons with published data and low quality of the evidence, we found: no significant differences in mortality, in quality of life or in infections; significantly fewer hospitalisation days per patients per year in the hemodialysis hospital group versus the peritoneal dialysis at home group. Economic evaluation: In our model analyses all dialysis modalities were almost equally effective. Hemodialysis at home was the most effective and cost-effective alternative compared to all other hemodialysis modalities from both healthcare and societal perspectives. Peritoneal dialysis was the least costly, and hence the most cost-effective alternative compared to all hemodialysis modalities. The results of our sensitivity analysis showed that cost data had the greatest impact on the results’ uncertainty.","author":[{"dropping-particle":"","family":"Pike","given":"Eva","non-dropping-particle":"","parse-names":false,"suffix":""},{"dropping-particle":"","family":"Hamidi","given":"Vida","non-dropping-particle":"","parse-names":false,"suffix":""},{"dropping-particle":"","family":"Ringerike","given":"Tove","non-dropping-particle":"","parse-names":false,"suffix":""},{"dropping-particle":"","family":"Wisløff","given":"Torbjørn","non-dropping-particle":"","parse-names":false,"suffix":""},{"dropping-particle":"","family":"Desser","given":"Arna","non-dropping-particle":"","parse-names":false,"suffix":""},{"dropping-particle":"","family":"Harboe","given":"Ingrid","non-dropping-particle":"","parse-names":false,"suffix":""},{"dropping-particle":"","family":"Klemp","given":"Marianne","non-dropping-particle":"","parse-names":false,"suffix":""}],"id":"ITEM-1","issued":{"date-parts":[["2013"]]},"title":"Health Technology Assessment of the Different Dialysis Modalities in Norway","type":"book"},"uris":["http://www.mendeley.com/documents/?uuid=bf0df134-286f-41c8-b59c-ef0f920e8c83"]}],"mendeley":{"formattedCitation":"&lt;sup&gt;7&lt;/sup&gt;","plainTextFormattedCitation":"7","previouslyFormattedCitation":"&lt;sup&gt;7&lt;/sup&gt;"},"properties":{"noteIndex":0},"schema":"https://github.com/citation-style-language/schema/raw/master/csl-citation.json"}</w:instrText>
      </w:r>
      <w:r w:rsidR="00453869" w:rsidRPr="006B101C">
        <w:rPr>
          <w:rFonts w:asciiTheme="majorHAnsi" w:hAnsiTheme="majorHAnsi" w:cstheme="majorHAnsi"/>
          <w:highlight w:val="yellow"/>
          <w:lang w:val="es-ES_tradnl"/>
        </w:rPr>
        <w:fldChar w:fldCharType="separate"/>
      </w:r>
      <w:r w:rsidR="00453869" w:rsidRPr="006B101C">
        <w:rPr>
          <w:rFonts w:asciiTheme="majorHAnsi" w:hAnsiTheme="majorHAnsi" w:cstheme="majorHAnsi"/>
          <w:noProof/>
          <w:highlight w:val="yellow"/>
          <w:vertAlign w:val="superscript"/>
          <w:lang w:val="es-ES_tradnl"/>
        </w:rPr>
        <w:t>7</w:t>
      </w:r>
      <w:r w:rsidR="00453869" w:rsidRPr="006B101C">
        <w:rPr>
          <w:rFonts w:asciiTheme="majorHAnsi" w:hAnsiTheme="majorHAnsi" w:cstheme="majorHAnsi"/>
          <w:highlight w:val="yellow"/>
          <w:lang w:val="es-ES_tradnl"/>
        </w:rPr>
        <w:fldChar w:fldCharType="end"/>
      </w:r>
      <w:r w:rsidR="00CC5108" w:rsidRPr="006B101C" w:rsidDel="009155A4">
        <w:rPr>
          <w:rFonts w:asciiTheme="majorHAnsi" w:hAnsiTheme="majorHAnsi" w:cstheme="majorBidi"/>
          <w:highlight w:val="yellow"/>
        </w:rPr>
        <w:t xml:space="preserve"> </w:t>
      </w:r>
      <w:r w:rsidR="00607920" w:rsidRPr="006B101C">
        <w:rPr>
          <w:rFonts w:asciiTheme="majorHAnsi" w:hAnsiTheme="majorHAnsi" w:cstheme="majorHAnsi"/>
          <w:highlight w:val="yellow"/>
          <w:lang w:val="es-ES_tradnl"/>
        </w:rPr>
        <w:t>no</w:t>
      </w:r>
      <w:r w:rsidR="00607920">
        <w:rPr>
          <w:rFonts w:asciiTheme="majorHAnsi" w:hAnsiTheme="majorHAnsi" w:cstheme="majorHAnsi"/>
          <w:lang w:val="es-ES_tradnl"/>
        </w:rPr>
        <w:t xml:space="preserve"> </w:t>
      </w:r>
      <w:r w:rsidR="008B7FDA">
        <w:rPr>
          <w:rFonts w:asciiTheme="majorHAnsi" w:hAnsiTheme="majorHAnsi" w:cstheme="majorHAnsi"/>
          <w:lang w:val="es-ES_tradnl"/>
        </w:rPr>
        <w:t>encontr</w:t>
      </w:r>
      <w:r w:rsidR="00CC5108">
        <w:rPr>
          <w:rFonts w:asciiTheme="majorHAnsi" w:hAnsiTheme="majorHAnsi" w:cstheme="majorHAnsi"/>
          <w:lang w:val="es-ES_tradnl"/>
        </w:rPr>
        <w:t xml:space="preserve">aron </w:t>
      </w:r>
      <w:r w:rsidR="008B7FDA">
        <w:rPr>
          <w:rFonts w:asciiTheme="majorHAnsi" w:hAnsiTheme="majorHAnsi" w:cstheme="majorHAnsi"/>
          <w:lang w:val="es-ES_tradnl"/>
        </w:rPr>
        <w:t xml:space="preserve">diferencias </w:t>
      </w:r>
      <w:r w:rsidR="00585251">
        <w:rPr>
          <w:rFonts w:asciiTheme="majorHAnsi" w:hAnsiTheme="majorHAnsi" w:cstheme="majorHAnsi"/>
          <w:lang w:val="es-ES_tradnl"/>
        </w:rPr>
        <w:t xml:space="preserve">de efectividad </w:t>
      </w:r>
      <w:r w:rsidR="00DE3C4C">
        <w:rPr>
          <w:rFonts w:asciiTheme="majorHAnsi" w:hAnsiTheme="majorHAnsi" w:cstheme="majorHAnsi"/>
          <w:lang w:val="es-ES_tradnl"/>
        </w:rPr>
        <w:t xml:space="preserve">en términos de hospitalizaciones (número y duración) y mortalidad entre </w:t>
      </w:r>
      <w:r w:rsidR="00662174">
        <w:rPr>
          <w:rFonts w:asciiTheme="majorHAnsi" w:hAnsiTheme="majorHAnsi" w:cstheme="majorHAnsi"/>
          <w:lang w:val="es-ES_tradnl"/>
        </w:rPr>
        <w:t xml:space="preserve">la </w:t>
      </w:r>
      <w:r w:rsidR="00474936">
        <w:rPr>
          <w:rFonts w:asciiTheme="majorHAnsi" w:hAnsiTheme="majorHAnsi" w:cstheme="majorHAnsi"/>
          <w:lang w:val="es-ES_tradnl"/>
        </w:rPr>
        <w:t>HD</w:t>
      </w:r>
      <w:r w:rsidR="00662174">
        <w:rPr>
          <w:rFonts w:asciiTheme="majorHAnsi" w:hAnsiTheme="majorHAnsi" w:cstheme="majorHAnsi"/>
          <w:lang w:val="es-ES_tradnl"/>
        </w:rPr>
        <w:t xml:space="preserve"> ofrecida </w:t>
      </w:r>
      <w:r w:rsidR="00585251">
        <w:rPr>
          <w:rFonts w:asciiTheme="majorHAnsi" w:hAnsiTheme="majorHAnsi" w:cstheme="majorHAnsi"/>
          <w:lang w:val="es-ES_tradnl"/>
        </w:rPr>
        <w:t xml:space="preserve">en los centros concertados, </w:t>
      </w:r>
      <w:r w:rsidR="00662174">
        <w:rPr>
          <w:rFonts w:asciiTheme="majorHAnsi" w:hAnsiTheme="majorHAnsi" w:cstheme="majorHAnsi"/>
          <w:lang w:val="es-ES_tradnl"/>
        </w:rPr>
        <w:t>centros</w:t>
      </w:r>
      <w:r w:rsidR="008B7FDA">
        <w:rPr>
          <w:rFonts w:asciiTheme="majorHAnsi" w:hAnsiTheme="majorHAnsi" w:cstheme="majorHAnsi"/>
          <w:lang w:val="es-ES_tradnl"/>
        </w:rPr>
        <w:t xml:space="preserve"> hospitalari</w:t>
      </w:r>
      <w:r w:rsidR="00662174">
        <w:rPr>
          <w:rFonts w:asciiTheme="majorHAnsi" w:hAnsiTheme="majorHAnsi" w:cstheme="majorHAnsi"/>
          <w:lang w:val="es-ES_tradnl"/>
        </w:rPr>
        <w:t>os</w:t>
      </w:r>
      <w:r w:rsidR="008B7FDA">
        <w:rPr>
          <w:rFonts w:asciiTheme="majorHAnsi" w:hAnsiTheme="majorHAnsi" w:cstheme="majorHAnsi"/>
          <w:lang w:val="es-ES_tradnl"/>
        </w:rPr>
        <w:t xml:space="preserve"> </w:t>
      </w:r>
      <w:r w:rsidR="00662174">
        <w:rPr>
          <w:rFonts w:asciiTheme="majorHAnsi" w:hAnsiTheme="majorHAnsi" w:cstheme="majorHAnsi"/>
          <w:lang w:val="es-ES_tradnl"/>
        </w:rPr>
        <w:t>o</w:t>
      </w:r>
      <w:r w:rsidR="008B7FDA">
        <w:rPr>
          <w:rFonts w:asciiTheme="majorHAnsi" w:hAnsiTheme="majorHAnsi" w:cstheme="majorHAnsi"/>
          <w:lang w:val="es-ES_tradnl"/>
        </w:rPr>
        <w:t xml:space="preserve"> en centros periférico</w:t>
      </w:r>
      <w:r w:rsidR="004718D1">
        <w:rPr>
          <w:rFonts w:asciiTheme="majorHAnsi" w:hAnsiTheme="majorHAnsi" w:cstheme="majorHAnsi"/>
          <w:lang w:val="es-ES_tradnl"/>
        </w:rPr>
        <w:t>s (público y pri</w:t>
      </w:r>
      <w:r w:rsidR="00607920">
        <w:rPr>
          <w:rFonts w:asciiTheme="majorHAnsi" w:hAnsiTheme="majorHAnsi" w:cstheme="majorHAnsi"/>
          <w:lang w:val="es-ES_tradnl"/>
        </w:rPr>
        <w:t>v</w:t>
      </w:r>
      <w:r w:rsidR="004718D1">
        <w:rPr>
          <w:rFonts w:asciiTheme="majorHAnsi" w:hAnsiTheme="majorHAnsi" w:cstheme="majorHAnsi"/>
          <w:lang w:val="es-ES_tradnl"/>
        </w:rPr>
        <w:t>ado</w:t>
      </w:r>
      <w:r w:rsidR="008B7FDA">
        <w:rPr>
          <w:rFonts w:asciiTheme="majorHAnsi" w:hAnsiTheme="majorHAnsi" w:cstheme="majorHAnsi"/>
          <w:lang w:val="es-ES_tradnl"/>
        </w:rPr>
        <w:t>s</w:t>
      </w:r>
      <w:r w:rsidR="004718D1">
        <w:rPr>
          <w:rFonts w:asciiTheme="majorHAnsi" w:hAnsiTheme="majorHAnsi" w:cstheme="majorHAnsi"/>
          <w:lang w:val="es-ES_tradnl"/>
        </w:rPr>
        <w:t>)</w:t>
      </w:r>
      <w:r w:rsidR="008B7FDA" w:rsidRPr="0025653C">
        <w:rPr>
          <w:rFonts w:asciiTheme="majorHAnsi" w:hAnsiTheme="majorHAnsi" w:cstheme="majorHAnsi"/>
          <w:lang w:val="es-ES_tradnl"/>
        </w:rPr>
        <w:t xml:space="preserve">. </w:t>
      </w:r>
      <w:r w:rsidR="00BF6268">
        <w:rPr>
          <w:rFonts w:asciiTheme="majorHAnsi" w:hAnsiTheme="majorHAnsi" w:cstheme="majorHAnsi"/>
          <w:lang w:val="es-ES_tradnl"/>
        </w:rPr>
        <w:t>En España, l</w:t>
      </w:r>
      <w:r w:rsidR="00FC7A5B">
        <w:rPr>
          <w:rFonts w:asciiTheme="majorHAnsi" w:hAnsiTheme="majorHAnsi" w:cstheme="majorHAnsi"/>
          <w:lang w:val="es-ES_tradnl"/>
        </w:rPr>
        <w:t xml:space="preserve">a </w:t>
      </w:r>
      <w:r w:rsidR="00BF6268">
        <w:rPr>
          <w:rFonts w:asciiTheme="majorHAnsi" w:hAnsiTheme="majorHAnsi" w:cstheme="majorHAnsi"/>
          <w:lang w:val="es-ES_tradnl"/>
        </w:rPr>
        <w:t>Sociedad Española de Nefrología (</w:t>
      </w:r>
      <w:r w:rsidR="00FC7A5B">
        <w:rPr>
          <w:rFonts w:asciiTheme="majorHAnsi" w:hAnsiTheme="majorHAnsi" w:cstheme="majorHAnsi"/>
          <w:lang w:val="es-ES_tradnl"/>
        </w:rPr>
        <w:t>SEN</w:t>
      </w:r>
      <w:r w:rsidR="00BF6268">
        <w:rPr>
          <w:rFonts w:asciiTheme="majorHAnsi" w:hAnsiTheme="majorHAnsi" w:cstheme="majorHAnsi"/>
          <w:lang w:val="es-ES_tradnl"/>
        </w:rPr>
        <w:t>)</w:t>
      </w:r>
      <w:r w:rsidR="00FC7A5B">
        <w:rPr>
          <w:rFonts w:asciiTheme="majorHAnsi" w:hAnsiTheme="majorHAnsi" w:cstheme="majorHAnsi"/>
          <w:lang w:val="es-ES_tradnl"/>
        </w:rPr>
        <w:t xml:space="preserve"> publicó la Guía de Centro de Diálisis en el año 2006</w:t>
      </w:r>
      <w:r w:rsidR="002A7E04">
        <w:rPr>
          <w:rFonts w:asciiTheme="majorHAnsi" w:hAnsiTheme="majorHAnsi" w:cstheme="majorHAnsi"/>
          <w:lang w:val="es-ES_tradnl"/>
        </w:rPr>
        <w:fldChar w:fldCharType="begin" w:fldLock="1"/>
      </w:r>
      <w:r w:rsidR="0072361E">
        <w:rPr>
          <w:rFonts w:asciiTheme="majorHAnsi" w:hAnsiTheme="majorHAnsi" w:cstheme="majorHAnsi"/>
          <w:lang w:val="es-ES_tradnl"/>
        </w:rPr>
        <w:instrText>ADDIN CSL_CITATION {"citationItems":[{"id":"ITEM-1","itemData":{"URL":"https://www.senefro.org/modules/webstructure/files/guiacentroshd130606_copy1.pdf?check_idfile=2402","author":[{"dropping-particle":"","family":"Guías","given":"S E N","non-dropping-particle":"","parse-names":false,"suffix":""}],"container-title":"Nefrología","id":"ITEM-1","issue":"suplemento 8","issued":{"date-parts":[["2006"]]},"title":"Guías de centros de hemodiálisis","type":"webpage"},"uris":["http://www.mendeley.com/documents/?uuid=c4bc2ae5-b372-49cb-b31d-3d3a1c9a7561"]}],"mendeley":{"formattedCitation":"&lt;sup&gt;8&lt;/sup&gt;","plainTextFormattedCitation":"8","previouslyFormattedCitation":"&lt;sup&gt;8&lt;/sup&gt;"},"properties":{"noteIndex":0},"schema":"https://github.com/citation-style-language/schema/raw/master/csl-citation.json"}</w:instrText>
      </w:r>
      <w:r w:rsidR="002A7E04">
        <w:rPr>
          <w:rFonts w:asciiTheme="majorHAnsi" w:hAnsiTheme="majorHAnsi" w:cstheme="majorHAnsi"/>
          <w:lang w:val="es-ES_tradnl"/>
        </w:rPr>
        <w:fldChar w:fldCharType="separate"/>
      </w:r>
      <w:r w:rsidR="00453869" w:rsidRPr="00453869">
        <w:rPr>
          <w:rFonts w:asciiTheme="majorHAnsi" w:hAnsiTheme="majorHAnsi" w:cstheme="majorHAnsi"/>
          <w:noProof/>
          <w:vertAlign w:val="superscript"/>
          <w:lang w:val="es-ES_tradnl"/>
        </w:rPr>
        <w:t>8</w:t>
      </w:r>
      <w:r w:rsidR="002A7E04">
        <w:rPr>
          <w:rFonts w:asciiTheme="majorHAnsi" w:hAnsiTheme="majorHAnsi" w:cstheme="majorHAnsi"/>
          <w:lang w:val="es-ES_tradnl"/>
        </w:rPr>
        <w:fldChar w:fldCharType="end"/>
      </w:r>
      <w:r w:rsidR="007B004D">
        <w:rPr>
          <w:rFonts w:asciiTheme="majorHAnsi" w:hAnsiTheme="majorHAnsi" w:cstheme="majorHAnsi"/>
          <w:lang w:val="es-ES_tradnl"/>
        </w:rPr>
        <w:t xml:space="preserve"> y 2011</w:t>
      </w:r>
      <w:r w:rsidR="007B004D">
        <w:rPr>
          <w:rFonts w:asciiTheme="majorHAnsi" w:hAnsiTheme="majorHAnsi" w:cstheme="majorHAnsi"/>
          <w:lang w:val="es-ES_tradnl"/>
        </w:rPr>
        <w:fldChar w:fldCharType="begin" w:fldLock="1"/>
      </w:r>
      <w:r w:rsidR="0072361E">
        <w:rPr>
          <w:rFonts w:asciiTheme="majorHAnsi" w:hAnsiTheme="majorHAnsi" w:cstheme="majorHAnsi"/>
          <w:lang w:val="es-ES_tradnl"/>
        </w:rPr>
        <w:instrText>ADDIN CSL_CITATION {"citationItems":[{"id":"ITEM-1","itemData":{"ISSN":"0211-6995","author":[{"dropping-particle":"","family":"Berdud","given":"I","non-dropping-particle":"","parse-names":false,"suffix":""},{"dropping-particle":"","family":"Arenas","given":"M D","non-dropping-particle":"","parse-names":false,"suffix":""},{"dropping-particle":"","family":"Bernat","given":"A","non-dropping-particle":"","parse-names":false,"suffix":""},{"dropping-particle":"","family":"Ramos","given":"R","non-dropping-particle":"","parse-names":false,"suffix":""},{"dropping-particle":"","family":"Blanco","given":"A","non-dropping-particle":"","parse-names":false,"suffix":""}],"container-title":"Nefrología","id":"ITEM-1","issue":"6","issued":{"date-parts":[["2011"]]},"page":"664-669","publisher":"SciELO Espana","title":"Anexo a la Guía de Centros de Diálisis: Recomendaciones sobre la relación entre los centros de hemodiálisis extrahospitalarios y sus hospitales de referencia: Opinión del Grupo de Diálisis Extrahospitalaria","type":"article-journal","volume":"31"},"uris":["http://www.mendeley.com/documents/?uuid=09b413a6-4c33-4566-87f4-f4b718d8211b"]}],"mendeley":{"formattedCitation":"&lt;sup&gt;9&lt;/sup&gt;","plainTextFormattedCitation":"9","previouslyFormattedCitation":"&lt;sup&gt;9&lt;/sup&gt;"},"properties":{"noteIndex":0},"schema":"https://github.com/citation-style-language/schema/raw/master/csl-citation.json"}</w:instrText>
      </w:r>
      <w:r w:rsidR="007B004D">
        <w:rPr>
          <w:rFonts w:asciiTheme="majorHAnsi" w:hAnsiTheme="majorHAnsi" w:cstheme="majorHAnsi"/>
          <w:lang w:val="es-ES_tradnl"/>
        </w:rPr>
        <w:fldChar w:fldCharType="separate"/>
      </w:r>
      <w:r w:rsidR="00453869" w:rsidRPr="00453869">
        <w:rPr>
          <w:rFonts w:asciiTheme="majorHAnsi" w:hAnsiTheme="majorHAnsi" w:cstheme="majorHAnsi"/>
          <w:noProof/>
          <w:vertAlign w:val="superscript"/>
          <w:lang w:val="es-ES_tradnl"/>
        </w:rPr>
        <w:t>9</w:t>
      </w:r>
      <w:r w:rsidR="007B004D">
        <w:rPr>
          <w:rFonts w:asciiTheme="majorHAnsi" w:hAnsiTheme="majorHAnsi" w:cstheme="majorHAnsi"/>
          <w:lang w:val="es-ES_tradnl"/>
        </w:rPr>
        <w:fldChar w:fldCharType="end"/>
      </w:r>
      <w:r w:rsidR="00FC7A5B">
        <w:rPr>
          <w:rFonts w:asciiTheme="majorHAnsi" w:hAnsiTheme="majorHAnsi" w:cstheme="majorHAnsi"/>
          <w:lang w:val="es-ES_tradnl"/>
        </w:rPr>
        <w:t xml:space="preserve">, </w:t>
      </w:r>
      <w:r w:rsidR="007B004D">
        <w:rPr>
          <w:rFonts w:asciiTheme="majorHAnsi" w:hAnsiTheme="majorHAnsi" w:cstheme="majorHAnsi"/>
          <w:lang w:val="es-ES_tradnl"/>
        </w:rPr>
        <w:t xml:space="preserve">que recoge temas </w:t>
      </w:r>
      <w:r w:rsidR="00FC7A5B" w:rsidRPr="009A6F1F">
        <w:rPr>
          <w:rFonts w:asciiTheme="majorHAnsi" w:hAnsiTheme="majorHAnsi" w:cstheme="majorHAnsi"/>
          <w:lang w:val="es-ES_tradnl"/>
        </w:rPr>
        <w:t xml:space="preserve">básicos </w:t>
      </w:r>
      <w:r w:rsidR="007B004D">
        <w:rPr>
          <w:rFonts w:asciiTheme="majorHAnsi" w:hAnsiTheme="majorHAnsi" w:cstheme="majorHAnsi"/>
          <w:lang w:val="es-ES_tradnl"/>
        </w:rPr>
        <w:t xml:space="preserve">para </w:t>
      </w:r>
      <w:r w:rsidR="00FC7A5B" w:rsidRPr="009A6F1F">
        <w:rPr>
          <w:rFonts w:asciiTheme="majorHAnsi" w:hAnsiTheme="majorHAnsi" w:cstheme="majorHAnsi"/>
          <w:lang w:val="es-ES_tradnl"/>
        </w:rPr>
        <w:t>garantiza</w:t>
      </w:r>
      <w:r w:rsidR="007B004D">
        <w:rPr>
          <w:rFonts w:asciiTheme="majorHAnsi" w:hAnsiTheme="majorHAnsi" w:cstheme="majorHAnsi"/>
          <w:lang w:val="es-ES_tradnl"/>
        </w:rPr>
        <w:t>r</w:t>
      </w:r>
      <w:r w:rsidR="00FC7A5B" w:rsidRPr="009A6F1F">
        <w:rPr>
          <w:rFonts w:asciiTheme="majorHAnsi" w:hAnsiTheme="majorHAnsi" w:cstheme="majorHAnsi"/>
          <w:lang w:val="es-ES_tradnl"/>
        </w:rPr>
        <w:t xml:space="preserve"> la calidad de tratamiento</w:t>
      </w:r>
      <w:r w:rsidR="00FC7A5B">
        <w:rPr>
          <w:rFonts w:asciiTheme="majorHAnsi" w:hAnsiTheme="majorHAnsi" w:cstheme="majorHAnsi"/>
          <w:lang w:val="es-ES_tradnl"/>
        </w:rPr>
        <w:t xml:space="preserve"> </w:t>
      </w:r>
      <w:r w:rsidR="007B004D">
        <w:rPr>
          <w:rFonts w:asciiTheme="majorHAnsi" w:hAnsiTheme="majorHAnsi" w:cstheme="majorHAnsi"/>
          <w:lang w:val="es-ES_tradnl"/>
        </w:rPr>
        <w:t xml:space="preserve">en centros </w:t>
      </w:r>
      <w:r w:rsidR="00FC7A5B" w:rsidRPr="009A6F1F">
        <w:rPr>
          <w:rFonts w:asciiTheme="majorHAnsi" w:hAnsiTheme="majorHAnsi" w:cstheme="majorHAnsi"/>
          <w:lang w:val="es-ES_tradnl"/>
        </w:rPr>
        <w:t>extrahospitalari</w:t>
      </w:r>
      <w:r w:rsidR="007B004D">
        <w:rPr>
          <w:rFonts w:asciiTheme="majorHAnsi" w:hAnsiTheme="majorHAnsi" w:cstheme="majorHAnsi"/>
          <w:lang w:val="es-ES_tradnl"/>
        </w:rPr>
        <w:t>os</w:t>
      </w:r>
      <w:r w:rsidR="00F612E3">
        <w:rPr>
          <w:rFonts w:asciiTheme="majorHAnsi" w:hAnsiTheme="majorHAnsi" w:cstheme="majorHAnsi"/>
          <w:lang w:val="es-ES_tradnl"/>
        </w:rPr>
        <w:t xml:space="preserve">, además de </w:t>
      </w:r>
      <w:r w:rsidR="007B004D">
        <w:rPr>
          <w:rFonts w:asciiTheme="majorHAnsi" w:hAnsiTheme="majorHAnsi" w:cstheme="majorHAnsi"/>
          <w:lang w:val="es-ES_tradnl"/>
        </w:rPr>
        <w:t xml:space="preserve">abordar aspectos de </w:t>
      </w:r>
      <w:r w:rsidR="00FC7A5B" w:rsidRPr="009A6F1F">
        <w:rPr>
          <w:rFonts w:asciiTheme="majorHAnsi" w:hAnsiTheme="majorHAnsi" w:cstheme="majorHAnsi"/>
          <w:lang w:val="es-ES_tradnl"/>
        </w:rPr>
        <w:t>equidad y buena</w:t>
      </w:r>
      <w:r w:rsidR="007B004D">
        <w:rPr>
          <w:rFonts w:asciiTheme="majorHAnsi" w:hAnsiTheme="majorHAnsi" w:cstheme="majorHAnsi"/>
          <w:lang w:val="es-ES_tradnl"/>
        </w:rPr>
        <w:t>s</w:t>
      </w:r>
      <w:r w:rsidR="00FC7A5B" w:rsidRPr="009A6F1F">
        <w:rPr>
          <w:rFonts w:asciiTheme="majorHAnsi" w:hAnsiTheme="majorHAnsi" w:cstheme="majorHAnsi"/>
          <w:lang w:val="es-ES_tradnl"/>
        </w:rPr>
        <w:t xml:space="preserve"> práctica</w:t>
      </w:r>
      <w:r w:rsidR="007B004D">
        <w:rPr>
          <w:rFonts w:asciiTheme="majorHAnsi" w:hAnsiTheme="majorHAnsi" w:cstheme="majorHAnsi"/>
          <w:lang w:val="es-ES_tradnl"/>
        </w:rPr>
        <w:t>s</w:t>
      </w:r>
      <w:r w:rsidR="00FC7A5B" w:rsidRPr="009A6F1F">
        <w:rPr>
          <w:rFonts w:asciiTheme="majorHAnsi" w:hAnsiTheme="majorHAnsi" w:cstheme="majorHAnsi"/>
          <w:lang w:val="es-ES_tradnl"/>
        </w:rPr>
        <w:t xml:space="preserve"> asistencial</w:t>
      </w:r>
      <w:r w:rsidR="007B004D">
        <w:rPr>
          <w:rFonts w:asciiTheme="majorHAnsi" w:hAnsiTheme="majorHAnsi" w:cstheme="majorHAnsi"/>
          <w:lang w:val="es-ES_tradnl"/>
        </w:rPr>
        <w:t>es</w:t>
      </w:r>
      <w:r w:rsidR="00FC7A5B">
        <w:rPr>
          <w:rFonts w:asciiTheme="majorHAnsi" w:hAnsiTheme="majorHAnsi" w:cstheme="majorHAnsi"/>
          <w:lang w:val="es-ES_tradnl"/>
        </w:rPr>
        <w:t xml:space="preserve">. </w:t>
      </w:r>
      <w:r w:rsidR="00DB7333">
        <w:rPr>
          <w:rFonts w:asciiTheme="majorHAnsi" w:hAnsiTheme="majorHAnsi" w:cstheme="majorHAnsi"/>
          <w:lang w:val="es-ES_tradnl"/>
        </w:rPr>
        <w:t>En el año 2012, e</w:t>
      </w:r>
      <w:r w:rsidR="00DB7333" w:rsidRPr="00DB7333">
        <w:rPr>
          <w:rFonts w:asciiTheme="majorHAnsi" w:hAnsiTheme="majorHAnsi" w:cstheme="majorHAnsi"/>
          <w:lang w:val="es-ES_tradnl"/>
        </w:rPr>
        <w:t>l Grupo de</w:t>
      </w:r>
      <w:r w:rsidR="00DB7333">
        <w:rPr>
          <w:rFonts w:asciiTheme="majorHAnsi" w:hAnsiTheme="majorHAnsi" w:cstheme="majorHAnsi"/>
          <w:lang w:val="es-ES_tradnl"/>
        </w:rPr>
        <w:t xml:space="preserve"> </w:t>
      </w:r>
      <w:r w:rsidR="00DB7333" w:rsidRPr="00DB7333">
        <w:rPr>
          <w:rFonts w:asciiTheme="majorHAnsi" w:hAnsiTheme="majorHAnsi" w:cstheme="majorHAnsi"/>
          <w:lang w:val="es-ES_tradnl"/>
        </w:rPr>
        <w:t>Trabajo de Gestión de la Calidad de la Sociedad Española</w:t>
      </w:r>
      <w:r w:rsidR="00DB7333">
        <w:rPr>
          <w:rFonts w:asciiTheme="majorHAnsi" w:hAnsiTheme="majorHAnsi" w:cstheme="majorHAnsi"/>
          <w:lang w:val="es-ES_tradnl"/>
        </w:rPr>
        <w:t xml:space="preserve"> </w:t>
      </w:r>
      <w:r w:rsidR="00DB7333" w:rsidRPr="00DB7333">
        <w:rPr>
          <w:rFonts w:asciiTheme="majorHAnsi" w:hAnsiTheme="majorHAnsi" w:cstheme="majorHAnsi"/>
          <w:lang w:val="es-ES_tradnl"/>
        </w:rPr>
        <w:t>de Nefrología</w:t>
      </w:r>
      <w:r w:rsidR="00DB7333">
        <w:rPr>
          <w:rFonts w:asciiTheme="majorHAnsi" w:hAnsiTheme="majorHAnsi" w:cstheme="majorHAnsi"/>
          <w:lang w:val="es-ES_tradnl"/>
        </w:rPr>
        <w:t xml:space="preserve"> desarrolló una estructura de ponderación de resultados de los centros de HD que pe</w:t>
      </w:r>
      <w:r w:rsidR="00274EBB">
        <w:rPr>
          <w:rFonts w:asciiTheme="majorHAnsi" w:hAnsiTheme="majorHAnsi" w:cstheme="majorHAnsi"/>
          <w:lang w:val="es-ES_tradnl"/>
        </w:rPr>
        <w:t>rmitiera crear un indicador adecuado para establecer comparaciones o benchmarking entre centros</w:t>
      </w:r>
      <w:r w:rsidR="003912BC">
        <w:rPr>
          <w:rFonts w:asciiTheme="majorHAnsi" w:hAnsiTheme="majorHAnsi" w:cstheme="majorHAnsi"/>
          <w:lang w:val="es-ES_tradnl"/>
        </w:rPr>
        <w:fldChar w:fldCharType="begin" w:fldLock="1"/>
      </w:r>
      <w:r w:rsidR="0072361E">
        <w:rPr>
          <w:rFonts w:asciiTheme="majorHAnsi" w:hAnsiTheme="majorHAnsi" w:cstheme="majorHAnsi"/>
          <w:lang w:val="es-ES_tradnl"/>
        </w:rPr>
        <w:instrText>ADDIN CSL_CITATION {"citationItems":[{"id":"ITEM-1","itemData":{"ISSN":"0211-6995","author":[{"dropping-particle":"","family":"Parra","given":"Eduardo","non-dropping-particle":"","parse-names":false,"suffix":""},{"dropping-particle":"","family":"Arenas","given":"M Dolores","non-dropping-particle":"","parse-names":false,"suffix":""},{"dropping-particle":"","family":"Alonso","given":"Manuel","non-dropping-particle":"","parse-names":false,"suffix":""},{"dropping-particle":"","family":"Martínez","given":"M Fernanda","non-dropping-particle":"","parse-names":false,"suffix":""},{"dropping-particle":"","family":"Gamen","given":"Ángel","non-dropping-particle":"","parse-names":false,"suffix":""},{"dropping-particle":"","family":"Balda","given":"Sagrario","non-dropping-particle":"","parse-names":false,"suffix":""},{"dropping-particle":"","family":"Rebollo","given":"Pablo","non-dropping-particle":"","parse-names":false,"suffix":""},{"dropping-particle":"","family":"Martínez","given":"Tomás","non-dropping-particle":"","parse-names":false,"suffix":""},{"dropping-particle":"","family":"Álvarez-Ude","given":"Fernando","non-dropping-particle":"","parse-names":false,"suffix":""}],"container-title":"Nefrología","id":"ITEM-1","issue":"5","issued":{"date-parts":[["2012"]]},"page":"659-663","publisher":"SciELO Espana","title":"Ponderación de resultados para la evaluación global de centros de hemodiálisis","type":"article-journal","volume":"32"},"uris":["http://www.mendeley.com/documents/?uuid=554a2f24-50ca-4094-b4c6-7f0cd36d09c2"]}],"mendeley":{"formattedCitation":"&lt;sup&gt;10&lt;/sup&gt;","plainTextFormattedCitation":"10","previouslyFormattedCitation":"&lt;sup&gt;10&lt;/sup&gt;"},"properties":{"noteIndex":0},"schema":"https://github.com/citation-style-language/schema/raw/master/csl-citation.json"}</w:instrText>
      </w:r>
      <w:r w:rsidR="003912BC">
        <w:rPr>
          <w:rFonts w:asciiTheme="majorHAnsi" w:hAnsiTheme="majorHAnsi" w:cstheme="majorHAnsi"/>
          <w:lang w:val="es-ES_tradnl"/>
        </w:rPr>
        <w:fldChar w:fldCharType="separate"/>
      </w:r>
      <w:r w:rsidR="00453869" w:rsidRPr="00453869">
        <w:rPr>
          <w:rFonts w:asciiTheme="majorHAnsi" w:hAnsiTheme="majorHAnsi" w:cstheme="majorHAnsi"/>
          <w:noProof/>
          <w:vertAlign w:val="superscript"/>
          <w:lang w:val="es-ES_tradnl"/>
        </w:rPr>
        <w:t>10</w:t>
      </w:r>
      <w:r w:rsidR="003912BC">
        <w:rPr>
          <w:rFonts w:asciiTheme="majorHAnsi" w:hAnsiTheme="majorHAnsi" w:cstheme="majorHAnsi"/>
          <w:lang w:val="es-ES_tradnl"/>
        </w:rPr>
        <w:fldChar w:fldCharType="end"/>
      </w:r>
      <w:r w:rsidR="00274EBB">
        <w:rPr>
          <w:rFonts w:asciiTheme="majorHAnsi" w:hAnsiTheme="majorHAnsi" w:cstheme="majorHAnsi"/>
          <w:lang w:val="es-ES_tradnl"/>
        </w:rPr>
        <w:t xml:space="preserve">. </w:t>
      </w:r>
      <w:r w:rsidR="00F43A84">
        <w:rPr>
          <w:rFonts w:asciiTheme="majorHAnsi" w:hAnsiTheme="majorHAnsi" w:cstheme="majorHAnsi"/>
          <w:lang w:val="es-ES_tradnl"/>
        </w:rPr>
        <w:t>Poco después, el mismo grupo publicó un estudio que desarrolló una metodología que estimara el valor de la atención médica, generada para los pacientes y la sociedad, proporcionada en los centros de HD, de distinta tipología, de acuerdo a un conjunto de resultados</w:t>
      </w:r>
      <w:r w:rsidR="003912BC">
        <w:rPr>
          <w:rFonts w:asciiTheme="majorHAnsi" w:hAnsiTheme="majorHAnsi" w:cstheme="majorHAnsi"/>
          <w:lang w:val="es-ES_tradnl"/>
        </w:rPr>
        <w:fldChar w:fldCharType="begin" w:fldLock="1"/>
      </w:r>
      <w:r w:rsidR="0072361E">
        <w:rPr>
          <w:rFonts w:asciiTheme="majorHAnsi" w:hAnsiTheme="majorHAnsi" w:cstheme="majorHAnsi"/>
          <w:lang w:val="es-ES_tradnl"/>
        </w:rPr>
        <w:instrText>ADDIN CSL_CITATION {"citationItems":[{"id":"ITEM-1","itemData":{"DOI":"10.1111/jep.12483","ISSN":"1365-2753 (Electronic)","PMID":"26662940","abstract":"RATIONALE, AIMS AND OBJECTIVES: Disparities in haemodialysis outcomes among centres have been well-documented. Besides, attempts to assess haemodialysis results have been based on non-comprehensive methodologies. This study aimed to develop a comprehensive methodology for assessing haemodialysis centres, based on the value of health care. The value of health care is defined as the patient benefit from a specific medical intervention per monetary unit invested (Value = Patient Benefit/Cost). This study assessed the value of health care and ranked different haemodialysis centres. METHOD: A nephrology quality management group identified the criteria for the assessment. An expert group composed of stakeholders (patients, clinicians and managers) agreed on the weighting of each variable, considering values and preferences. Multi-criteria methodology was used to analyse the data. Four criteria and their weights were identified: evidence-based clinical performance measures = 43 points; yearly mortality = 27 points; patient satisfaction = 13 points; and health-related quality of life = 17 points (100-point scale). Evidence-based clinical performance measures included five sub-criteria, with respective weights, including: dialysis adequacy; haemoglobin concentration; mineral and bone disorders; type of vascular access; and hospitalization rate. The patient benefit was determined from co-morbidity-adjusted results and corresponding weights. The cost of each centre was calculated as the average amount expended per patient per year. RESULTS: The study was conducted in five centres (1-5). After adjusting for co-morbidity, value of health care was calculated, and the centres were ranked. A multi-way sensitivity analysis that considered different weights (10-60% changes) and costs (changes of 10% in direct and 30% in allocated costs) showed that the methodology was robust. The rankings: 4-5-3-2-1 and 4-3-5-2-1 were observed in 62.21% and 21.55%, respectively, of simulations, when weights were varied by 60%. CONCLUSIONS: Value assessments may integrate divergent stakeholder perceptions, create a context for improvement and aid in policy-making decisions.","author":[{"dropping-particle":"","family":"Parra","given":"Eduardo","non-dropping-particle":"","parse-names":false,"suffix":""},{"dropping-particle":"","family":"Arenas","given":"María Dolores","non-dropping-particle":"","parse-names":false,"suffix":""},{"dropping-particle":"","family":"Alonso","given":"Manuel","non-dropping-particle":"","parse-names":false,"suffix":""},{"dropping-particle":"","family":"Martínez","given":"María Fernanda","non-dropping-particle":"","parse-names":false,"suffix":""},{"dropping-particle":"","family":"Gamen","given":"Ángel","non-dropping-particle":"","parse-names":false,"suffix":""},{"dropping-particle":"","family":"Aguarón","given":"Juan","non-dropping-particle":"","parse-names":false,"suffix":""},{"dropping-particle":"","family":"Escobar","given":"María Teresa","non-dropping-particle":"","parse-names":false,"suffix":""},{"dropping-particle":"","family":"Moreno-Jiménez","given":"José María","non-dropping-particle":"","parse-names":false,"suffix":""},{"dropping-particle":"","family":"Alvarez-Ude","given":"Fernando","non-dropping-particle":"","parse-names":false,"suffix":""}],"container-title":"Journal of evaluation in clinical practice","id":"ITEM-1","issue":"3","issued":{"date-parts":[["2017"]]},"language":"eng","page":"477-485","title":"Assessing value-based health care delivery for haemodialysis.","type":"article-journal","volume":"23"},"uris":["http://www.mendeley.com/documents/?uuid=8131d0df-2216-4de3-bcfc-0114dca35fd7"]}],"mendeley":{"formattedCitation":"&lt;sup&gt;11&lt;/sup&gt;","plainTextFormattedCitation":"11","previouslyFormattedCitation":"&lt;sup&gt;11&lt;/sup&gt;"},"properties":{"noteIndex":0},"schema":"https://github.com/citation-style-language/schema/raw/master/csl-citation.json"}</w:instrText>
      </w:r>
      <w:r w:rsidR="003912BC">
        <w:rPr>
          <w:rFonts w:asciiTheme="majorHAnsi" w:hAnsiTheme="majorHAnsi" w:cstheme="majorHAnsi"/>
          <w:lang w:val="es-ES_tradnl"/>
        </w:rPr>
        <w:fldChar w:fldCharType="separate"/>
      </w:r>
      <w:r w:rsidR="00453869" w:rsidRPr="00453869">
        <w:rPr>
          <w:rFonts w:asciiTheme="majorHAnsi" w:hAnsiTheme="majorHAnsi" w:cstheme="majorHAnsi"/>
          <w:noProof/>
          <w:vertAlign w:val="superscript"/>
          <w:lang w:val="es-ES_tradnl"/>
        </w:rPr>
        <w:t>11</w:t>
      </w:r>
      <w:r w:rsidR="003912BC">
        <w:rPr>
          <w:rFonts w:asciiTheme="majorHAnsi" w:hAnsiTheme="majorHAnsi" w:cstheme="majorHAnsi"/>
          <w:lang w:val="es-ES_tradnl"/>
        </w:rPr>
        <w:fldChar w:fldCharType="end"/>
      </w:r>
      <w:r w:rsidR="00F43A84">
        <w:rPr>
          <w:rFonts w:asciiTheme="majorHAnsi" w:hAnsiTheme="majorHAnsi" w:cstheme="majorHAnsi"/>
          <w:lang w:val="es-ES_tradnl"/>
        </w:rPr>
        <w:t xml:space="preserve">. </w:t>
      </w:r>
    </w:p>
    <w:p w14:paraId="4054FAE6" w14:textId="689EF0AC" w:rsidR="00F612E3" w:rsidRDefault="00F612E3" w:rsidP="00F612E3">
      <w:pPr>
        <w:spacing w:line="360" w:lineRule="auto"/>
        <w:ind w:firstLine="640"/>
        <w:jc w:val="both"/>
        <w:rPr>
          <w:rFonts w:asciiTheme="majorHAnsi" w:hAnsiTheme="majorHAnsi" w:cstheme="majorBidi"/>
        </w:rPr>
      </w:pPr>
      <w:r>
        <w:rPr>
          <w:rFonts w:asciiTheme="majorHAnsi" w:hAnsiTheme="majorHAnsi" w:cstheme="majorBidi"/>
        </w:rPr>
        <w:t xml:space="preserve">Nuestro modelo de TSR se basa </w:t>
      </w:r>
      <w:r w:rsidRPr="00102C28">
        <w:rPr>
          <w:rFonts w:asciiTheme="majorHAnsi" w:hAnsiTheme="majorHAnsi" w:cstheme="majorBidi"/>
        </w:rPr>
        <w:t>fundamenta</w:t>
      </w:r>
      <w:r w:rsidR="005720C5">
        <w:rPr>
          <w:rFonts w:asciiTheme="majorHAnsi" w:hAnsiTheme="majorHAnsi" w:cstheme="majorBidi"/>
        </w:rPr>
        <w:t>lmente</w:t>
      </w:r>
      <w:r w:rsidRPr="00102C28">
        <w:rPr>
          <w:rFonts w:asciiTheme="majorHAnsi" w:hAnsiTheme="majorHAnsi" w:cstheme="majorBidi"/>
        </w:rPr>
        <w:t xml:space="preserve"> en HD y</w:t>
      </w:r>
      <w:r>
        <w:rPr>
          <w:rFonts w:asciiTheme="majorHAnsi" w:hAnsiTheme="majorHAnsi" w:cstheme="majorBidi"/>
        </w:rPr>
        <w:t xml:space="preserve"> </w:t>
      </w:r>
      <w:r w:rsidRPr="00102C28">
        <w:rPr>
          <w:rFonts w:asciiTheme="majorHAnsi" w:hAnsiTheme="majorHAnsi" w:cstheme="majorBidi"/>
        </w:rPr>
        <w:t>trasplante renal</w:t>
      </w:r>
      <w:r>
        <w:rPr>
          <w:rFonts w:asciiTheme="majorHAnsi" w:hAnsiTheme="majorHAnsi" w:cstheme="majorBidi"/>
        </w:rPr>
        <w:t xml:space="preserve">, con un </w:t>
      </w:r>
      <w:r w:rsidR="001155E3">
        <w:rPr>
          <w:rFonts w:asciiTheme="majorHAnsi" w:hAnsiTheme="majorHAnsi" w:cstheme="majorBidi"/>
        </w:rPr>
        <w:t xml:space="preserve">dispositivo </w:t>
      </w:r>
      <w:r>
        <w:rPr>
          <w:rFonts w:asciiTheme="majorHAnsi" w:hAnsiTheme="majorHAnsi" w:cstheme="majorBidi"/>
        </w:rPr>
        <w:t>de provisión de la diálisis en el que la colaboración público-privada tiene un elevado peso. En la actualidad, prestan servicio alrededor de 357 centros</w:t>
      </w:r>
      <w:r w:rsidR="00330972">
        <w:rPr>
          <w:rFonts w:asciiTheme="majorHAnsi" w:hAnsiTheme="majorHAnsi" w:cstheme="majorBidi"/>
        </w:rPr>
        <w:fldChar w:fldCharType="begin" w:fldLock="1"/>
      </w:r>
      <w:r w:rsidR="00B57DD4">
        <w:rPr>
          <w:rFonts w:asciiTheme="majorHAnsi" w:hAnsiTheme="majorHAnsi" w:cstheme="majorBidi"/>
        </w:rPr>
        <w:instrText>ADDIN CSL_CITATION {"citationItems":[{"id":"ITEM-1","itemData":{"URL":"https://alcer.org/centro-de-dialisis/","accessed":{"date-parts":[["2021","4","23"]]},"author":[{"dropping-particle":"","family":"Federación Nacional de Asociaciones para la lucha contra las enfermedades del Riñón","given":"","non-dropping-particle":"","parse-names":false,"suffix":""}],"id":"ITEM-1","issued":{"date-parts":[["0"]]},"title":"Centros de diálisis","type":"webpage"},"uris":["http://www.mendeley.com/documents/?uuid=0912a1c5-8518-456f-ba10-12cde393b204"]}],"mendeley":{"formattedCitation":"&lt;sup&gt;12&lt;/sup&gt;","plainTextFormattedCitation":"12","previouslyFormattedCitation":"&lt;sup&gt;12&lt;/sup&gt;"},"properties":{"noteIndex":0},"schema":"https://github.com/citation-style-language/schema/raw/master/csl-citation.json"}</w:instrText>
      </w:r>
      <w:r w:rsidR="00330972">
        <w:rPr>
          <w:rFonts w:asciiTheme="majorHAnsi" w:hAnsiTheme="majorHAnsi" w:cstheme="majorBidi"/>
        </w:rPr>
        <w:fldChar w:fldCharType="separate"/>
      </w:r>
      <w:r w:rsidR="00453869" w:rsidRPr="00453869">
        <w:rPr>
          <w:rFonts w:asciiTheme="majorHAnsi" w:hAnsiTheme="majorHAnsi" w:cstheme="majorBidi"/>
          <w:noProof/>
          <w:vertAlign w:val="superscript"/>
        </w:rPr>
        <w:t>12</w:t>
      </w:r>
      <w:r w:rsidR="00330972">
        <w:rPr>
          <w:rFonts w:asciiTheme="majorHAnsi" w:hAnsiTheme="majorHAnsi" w:cstheme="majorBidi"/>
        </w:rPr>
        <w:fldChar w:fldCharType="end"/>
      </w:r>
      <w:r>
        <w:rPr>
          <w:rFonts w:asciiTheme="majorHAnsi" w:hAnsiTheme="majorHAnsi" w:cstheme="majorBidi"/>
        </w:rPr>
        <w:t xml:space="preserve"> y </w:t>
      </w:r>
      <w:r w:rsidRPr="00E92AA1">
        <w:rPr>
          <w:rFonts w:asciiTheme="majorHAnsi" w:hAnsiTheme="majorHAnsi" w:cstheme="majorBidi"/>
        </w:rPr>
        <w:t>un gran número de pacientes pertenecientes al</w:t>
      </w:r>
      <w:r>
        <w:rPr>
          <w:rFonts w:asciiTheme="majorHAnsi" w:hAnsiTheme="majorHAnsi" w:cstheme="majorBidi"/>
        </w:rPr>
        <w:t xml:space="preserve"> </w:t>
      </w:r>
      <w:r w:rsidRPr="00E92AA1">
        <w:rPr>
          <w:rFonts w:asciiTheme="majorHAnsi" w:hAnsiTheme="majorHAnsi" w:cstheme="majorBidi"/>
        </w:rPr>
        <w:t xml:space="preserve">sistema público de salud reciben </w:t>
      </w:r>
      <w:r>
        <w:rPr>
          <w:rFonts w:asciiTheme="majorHAnsi" w:hAnsiTheme="majorHAnsi" w:cstheme="majorBidi"/>
        </w:rPr>
        <w:t>HD</w:t>
      </w:r>
      <w:r w:rsidRPr="00E92AA1">
        <w:rPr>
          <w:rFonts w:asciiTheme="majorHAnsi" w:hAnsiTheme="majorHAnsi" w:cstheme="majorBidi"/>
        </w:rPr>
        <w:t xml:space="preserve"> en centros extrahospitalarios</w:t>
      </w:r>
      <w:r>
        <w:rPr>
          <w:rFonts w:asciiTheme="majorHAnsi" w:hAnsiTheme="majorHAnsi" w:cstheme="majorBidi"/>
        </w:rPr>
        <w:t xml:space="preserve">, mediante conciertos con </w:t>
      </w:r>
      <w:r w:rsidRPr="00E92AA1">
        <w:rPr>
          <w:rFonts w:asciiTheme="majorHAnsi" w:hAnsiTheme="majorHAnsi" w:cstheme="majorBidi"/>
        </w:rPr>
        <w:t>las</w:t>
      </w:r>
      <w:r>
        <w:rPr>
          <w:rFonts w:asciiTheme="majorHAnsi" w:hAnsiTheme="majorHAnsi" w:cstheme="majorBidi"/>
        </w:rPr>
        <w:t xml:space="preserve"> diferentes </w:t>
      </w:r>
      <w:r w:rsidRPr="00E92AA1">
        <w:rPr>
          <w:rFonts w:asciiTheme="majorHAnsi" w:hAnsiTheme="majorHAnsi" w:cstheme="majorBidi"/>
        </w:rPr>
        <w:t>delegaciones de salud</w:t>
      </w:r>
      <w:r>
        <w:rPr>
          <w:rFonts w:asciiTheme="majorHAnsi" w:hAnsiTheme="majorHAnsi" w:cstheme="majorBidi"/>
        </w:rPr>
        <w:t>.</w:t>
      </w:r>
    </w:p>
    <w:p w14:paraId="172A116A" w14:textId="05850551" w:rsidR="00F612E3" w:rsidRDefault="00F612E3" w:rsidP="00F612E3">
      <w:pPr>
        <w:spacing w:line="360" w:lineRule="auto"/>
        <w:ind w:firstLine="640"/>
        <w:jc w:val="both"/>
        <w:rPr>
          <w:rFonts w:asciiTheme="majorHAnsi" w:hAnsiTheme="majorHAnsi" w:cstheme="majorHAnsi"/>
          <w:lang w:val="es-ES_tradnl"/>
        </w:rPr>
      </w:pPr>
      <w:r>
        <w:rPr>
          <w:rFonts w:asciiTheme="majorHAnsi" w:hAnsiTheme="majorHAnsi" w:cstheme="majorHAnsi"/>
          <w:lang w:val="es-ES_tradnl"/>
        </w:rPr>
        <w:lastRenderedPageBreak/>
        <w:t>La primera experiencia española de diálisis en centro concertado (</w:t>
      </w:r>
      <w:r w:rsidRPr="00A2022A">
        <w:rPr>
          <w:rFonts w:asciiTheme="majorHAnsi" w:hAnsiTheme="majorHAnsi" w:cstheme="majorHAnsi"/>
          <w:lang w:val="es-ES_tradnl"/>
        </w:rPr>
        <w:t>contratos entre el centro y la Administración pública</w:t>
      </w:r>
      <w:r>
        <w:rPr>
          <w:rFonts w:asciiTheme="majorHAnsi" w:hAnsiTheme="majorHAnsi" w:cstheme="majorHAnsi"/>
          <w:lang w:val="es-ES_tradnl"/>
        </w:rPr>
        <w:t>), se remonta al año 1975 en Madrid (Clínica Dialcentro), con un precio de 51-54€ (8.500-9.000 pesetas) por sesión, en el que se incluían los siguientes conceptos: medicamentos</w:t>
      </w:r>
      <w:r w:rsidRPr="009333E9">
        <w:rPr>
          <w:rFonts w:asciiTheme="majorHAnsi" w:hAnsiTheme="majorHAnsi" w:cstheme="majorHAnsi"/>
          <w:lang w:val="es-ES_tradnl"/>
        </w:rPr>
        <w:t xml:space="preserve">, dieta y </w:t>
      </w:r>
      <w:r>
        <w:rPr>
          <w:rFonts w:asciiTheme="majorHAnsi" w:hAnsiTheme="majorHAnsi" w:cstheme="majorHAnsi"/>
          <w:lang w:val="es-ES_tradnl"/>
        </w:rPr>
        <w:t>la</w:t>
      </w:r>
      <w:r w:rsidRPr="009333E9">
        <w:rPr>
          <w:rFonts w:asciiTheme="majorHAnsi" w:hAnsiTheme="majorHAnsi" w:cstheme="majorHAnsi"/>
          <w:lang w:val="es-ES_tradnl"/>
        </w:rPr>
        <w:t xml:space="preserve"> atención a los problemas</w:t>
      </w:r>
      <w:r>
        <w:rPr>
          <w:rFonts w:asciiTheme="majorHAnsi" w:hAnsiTheme="majorHAnsi" w:cstheme="majorHAnsi"/>
          <w:lang w:val="es-ES_tradnl"/>
        </w:rPr>
        <w:t xml:space="preserve"> </w:t>
      </w:r>
      <w:r w:rsidRPr="009333E9">
        <w:rPr>
          <w:rFonts w:asciiTheme="majorHAnsi" w:hAnsiTheme="majorHAnsi" w:cstheme="majorHAnsi"/>
          <w:lang w:val="es-ES_tradnl"/>
        </w:rPr>
        <w:t>médico-quirúrgicos interrecurrentes derivados de la</w:t>
      </w:r>
      <w:r>
        <w:rPr>
          <w:rFonts w:asciiTheme="majorHAnsi" w:hAnsiTheme="majorHAnsi" w:cstheme="majorHAnsi"/>
          <w:lang w:val="es-ES_tradnl"/>
        </w:rPr>
        <w:t xml:space="preserve"> </w:t>
      </w:r>
      <w:r w:rsidRPr="009333E9">
        <w:rPr>
          <w:rFonts w:asciiTheme="majorHAnsi" w:hAnsiTheme="majorHAnsi" w:cstheme="majorHAnsi"/>
          <w:lang w:val="es-ES_tradnl"/>
        </w:rPr>
        <w:t xml:space="preserve">insuficiencia renal y </w:t>
      </w:r>
      <w:r>
        <w:rPr>
          <w:rFonts w:asciiTheme="majorHAnsi" w:hAnsiTheme="majorHAnsi" w:cstheme="majorHAnsi"/>
          <w:lang w:val="es-ES_tradnl"/>
        </w:rPr>
        <w:t>s</w:t>
      </w:r>
      <w:r w:rsidRPr="009333E9">
        <w:rPr>
          <w:rFonts w:asciiTheme="majorHAnsi" w:hAnsiTheme="majorHAnsi" w:cstheme="majorHAnsi"/>
          <w:lang w:val="es-ES_tradnl"/>
        </w:rPr>
        <w:t>u tratamiento, incluyendo la realización de la fístula arteriovenosa</w:t>
      </w:r>
      <w:r>
        <w:rPr>
          <w:rFonts w:asciiTheme="majorHAnsi" w:hAnsiTheme="majorHAnsi" w:cstheme="majorHAnsi"/>
          <w:lang w:val="es-ES_tradnl"/>
        </w:rPr>
        <w:fldChar w:fldCharType="begin" w:fldLock="1"/>
      </w:r>
      <w:r w:rsidR="00B57DD4">
        <w:rPr>
          <w:rFonts w:asciiTheme="majorHAnsi" w:hAnsiTheme="majorHAnsi" w:cstheme="majorHAnsi"/>
          <w:lang w:val="es-ES_tradnl"/>
        </w:rPr>
        <w:instrText>ADDIN CSL_CITATION {"citationItems":[{"id":"ITEM-1","itemData":{"ISSN":"0211-6995","author":[{"dropping-particle":"","family":"Largo","given":"F","non-dropping-particle":"","parse-names":false,"suffix":""}],"container-title":"Nefrologia","id":"ITEM-1","issued":{"date-parts":[["1994"]]},"page":"36-41","publisher":"Elsevier","title":"Oferta pública y privada en el tratamiento sustitutivo de la IRC en España.","type":"article-journal","volume":"14"},"uris":["http://www.mendeley.com/documents/?uuid=6e308ed3-5ba8-4b50-8e49-80f1a7170371"]}],"mendeley":{"formattedCitation":"&lt;sup&gt;13&lt;/sup&gt;","plainTextFormattedCitation":"13","previouslyFormattedCitation":"&lt;sup&gt;13&lt;/sup&gt;"},"properties":{"noteIndex":0},"schema":"https://github.com/citation-style-language/schema/raw/master/csl-citation.json"}</w:instrText>
      </w:r>
      <w:r>
        <w:rPr>
          <w:rFonts w:asciiTheme="majorHAnsi" w:hAnsiTheme="majorHAnsi" w:cstheme="majorHAnsi"/>
          <w:lang w:val="es-ES_tradnl"/>
        </w:rPr>
        <w:fldChar w:fldCharType="separate"/>
      </w:r>
      <w:r w:rsidR="00453869" w:rsidRPr="00453869">
        <w:rPr>
          <w:rFonts w:asciiTheme="majorHAnsi" w:hAnsiTheme="majorHAnsi" w:cstheme="majorHAnsi"/>
          <w:noProof/>
          <w:vertAlign w:val="superscript"/>
          <w:lang w:val="es-ES_tradnl"/>
        </w:rPr>
        <w:t>13</w:t>
      </w:r>
      <w:r>
        <w:rPr>
          <w:rFonts w:asciiTheme="majorHAnsi" w:hAnsiTheme="majorHAnsi" w:cstheme="majorHAnsi"/>
          <w:lang w:val="es-ES_tradnl"/>
        </w:rPr>
        <w:fldChar w:fldCharType="end"/>
      </w:r>
      <w:r w:rsidRPr="009333E9">
        <w:rPr>
          <w:rFonts w:asciiTheme="majorHAnsi" w:hAnsiTheme="majorHAnsi" w:cstheme="majorHAnsi"/>
          <w:lang w:val="es-ES_tradnl"/>
        </w:rPr>
        <w:t>.</w:t>
      </w:r>
      <w:r>
        <w:rPr>
          <w:rFonts w:asciiTheme="majorHAnsi" w:hAnsiTheme="majorHAnsi" w:cstheme="majorHAnsi"/>
          <w:lang w:val="es-ES_tradnl"/>
        </w:rPr>
        <w:t xml:space="preserve"> </w:t>
      </w:r>
    </w:p>
    <w:p w14:paraId="7A86A800" w14:textId="3BD06709" w:rsidR="000D794A" w:rsidRDefault="00C9476C" w:rsidP="00662174">
      <w:pPr>
        <w:spacing w:line="360" w:lineRule="auto"/>
        <w:ind w:firstLine="640"/>
        <w:jc w:val="both"/>
        <w:rPr>
          <w:rFonts w:asciiTheme="majorHAnsi" w:hAnsiTheme="majorHAnsi" w:cstheme="majorHAnsi"/>
        </w:rPr>
      </w:pPr>
      <w:r>
        <w:rPr>
          <w:rFonts w:asciiTheme="majorHAnsi" w:hAnsiTheme="majorHAnsi" w:cstheme="majorHAnsi"/>
        </w:rPr>
        <w:t xml:space="preserve">Teniendo en cuenta el elevado impacto económico y </w:t>
      </w:r>
      <w:r>
        <w:rPr>
          <w:rFonts w:asciiTheme="majorHAnsi" w:hAnsiTheme="majorHAnsi" w:cstheme="majorHAnsi"/>
          <w:lang w:val="es-ES_tradnl"/>
        </w:rPr>
        <w:t>social</w:t>
      </w:r>
      <w:r w:rsidR="003912BC">
        <w:rPr>
          <w:rFonts w:asciiTheme="majorHAnsi" w:hAnsiTheme="majorHAnsi" w:cstheme="majorHAnsi"/>
        </w:rPr>
        <w:fldChar w:fldCharType="begin" w:fldLock="1"/>
      </w:r>
      <w:r w:rsidR="00B57DD4">
        <w:rPr>
          <w:rFonts w:asciiTheme="majorHAnsi" w:hAnsiTheme="majorHAnsi" w:cstheme="majorHAnsi"/>
        </w:rPr>
        <w:instrText>ADDIN CSL_CITATION {"citationItems":[{"id":"ITEM-1","itemData":{"DOI":"10.3747/pdi.2011.00037","ISSN":"1718-4304 (Electronic)","PMID":"21965620","abstract":"BACKGROUND: We undertook a cost-effectiveness analysis of the Spanish Renal Replacement Therapy (RRT) program for end-stage renal disease patients from a societal perspective. The current Spanish situation was compared with several hypothetical scenarios. METHODS: A Markov chain model was used as a foundation for simulations of the Spanish RRT program in three temporal horizons (5, 10, and 15 years). The current situation (scenario 1) was compared with three different scenarios: increased proportion of overall scheduled (planned) incident patients (scenario 2); constant proportion of overall scheduled incident patients, but increased proportion of scheduled incident patients on peritoneal dialysis (PD), resulting in a lower proportion of scheduled incident patients on hemodialysis (HD) (scenario 3); and increased overall proportion of scheduled incident patients together with increased scheduled incidence of patients on PD (scenario 4). RESULTS: The incremental cost-effectiveness ratios (ICERs) of scenarios 2, 3, and 4, when compared with scenario 1, were estimated to be, respectively, -euro83 150, -euro354 977, and -euro235 886 per incremental quality-adjusted life year (DeltaQALY), evidencing both moderate cost savings and slight effectiveness gains. The net health benefits that would accrue to society were estimated to be, respectively, 0.0045, 0.0211, and 0.0219 DeltaQALYs considering a willingness-to-pay threshold of euro35 000/DeltaQALY. CONCLUSIONS: Scenario 1, the current Spanish situation, was dominated by all the proposed scenarios. Interestingly, scenarios 3 and 4 showed the best results in terms of cost-effectiveness. From a cost-effectiveness perspective, an increase in the overall scheduled incidence of RRT, and particularly that of PD, should be promoted.","author":[{"dropping-particle":"","family":"Villa","given":"Guillermo","non-dropping-particle":"","parse-names":false,"suffix":""},{"dropping-particle":"","family":"Fernandez-Ortiz","given":"Lucia","non-dropping-particle":"","parse-names":false,"suffix":""},{"dropping-particle":"","family":"Cuervo","given":"Jesus","non-dropping-particle":"","parse-names":false,"suffix":""},{"dropping-particle":"","family":"Rebollo","given":"Pablo","non-dropping-particle":"","parse-names":false,"suffix":""},{"dropping-particle":"","family":"Selgas","given":"Rafael","non-dropping-particle":"","parse-names":false,"suffix":""},{"dropping-particle":"","family":"Gonzalez","given":"Teresa","non-dropping-particle":"","parse-names":false,"suffix":""},{"dropping-particle":"","family":"Arrieta","given":"Javier","non-dropping-particle":"","parse-names":false,"suffix":""}],"container-title":"Peritoneal dialysis international : journal of the International Society for Peritoneal Dialysis","id":"ITEM-1","issue":"2","issued":{"date-parts":[["2012"]]},"language":"eng","page":"192-199","publisher-place":"Canada","title":"Cost-effectiveness analysis of the Spanish renal replacement therapy program.","type":"article-journal","volume":"32"},"uris":["http://www.mendeley.com/documents/?uuid=83d396ea-238a-424f-97a5-f4a491131987"]}],"mendeley":{"formattedCitation":"&lt;sup&gt;14&lt;/sup&gt;","plainTextFormattedCitation":"14","previouslyFormattedCitation":"&lt;sup&gt;14&lt;/sup&gt;"},"properties":{"noteIndex":0},"schema":"https://github.com/citation-style-language/schema/raw/master/csl-citation.json"}</w:instrText>
      </w:r>
      <w:r w:rsidR="003912BC">
        <w:rPr>
          <w:rFonts w:asciiTheme="majorHAnsi" w:hAnsiTheme="majorHAnsi" w:cstheme="majorHAnsi"/>
        </w:rPr>
        <w:fldChar w:fldCharType="separate"/>
      </w:r>
      <w:r w:rsidR="00453869" w:rsidRPr="00453869">
        <w:rPr>
          <w:rFonts w:asciiTheme="majorHAnsi" w:hAnsiTheme="majorHAnsi" w:cstheme="majorHAnsi"/>
          <w:noProof/>
          <w:vertAlign w:val="superscript"/>
        </w:rPr>
        <w:t>14</w:t>
      </w:r>
      <w:r w:rsidR="003912BC">
        <w:rPr>
          <w:rFonts w:asciiTheme="majorHAnsi" w:hAnsiTheme="majorHAnsi" w:cstheme="majorHAnsi"/>
        </w:rPr>
        <w:fldChar w:fldCharType="end"/>
      </w:r>
      <w:r>
        <w:rPr>
          <w:rFonts w:asciiTheme="majorHAnsi" w:hAnsiTheme="majorHAnsi" w:cstheme="majorHAnsi"/>
          <w:lang w:val="es-ES_tradnl"/>
        </w:rPr>
        <w:t>, se ha</w:t>
      </w:r>
      <w:r w:rsidR="00662174">
        <w:rPr>
          <w:rFonts w:asciiTheme="majorHAnsi" w:hAnsiTheme="majorHAnsi" w:cstheme="majorHAnsi"/>
          <w:lang w:val="es-ES_tradnl"/>
        </w:rPr>
        <w:t xml:space="preserve">ce necesario recopilar </w:t>
      </w:r>
      <w:r w:rsidR="00662174" w:rsidRPr="0025653C">
        <w:rPr>
          <w:rFonts w:asciiTheme="majorHAnsi" w:hAnsiTheme="majorHAnsi" w:cstheme="majorHAnsi"/>
        </w:rPr>
        <w:t xml:space="preserve">la evidencia disponible </w:t>
      </w:r>
      <w:r>
        <w:rPr>
          <w:rFonts w:asciiTheme="majorHAnsi" w:hAnsiTheme="majorHAnsi" w:cstheme="majorHAnsi"/>
        </w:rPr>
        <w:t>para comparar la efectividad y consecuencias económicas de la diálisis concertada frente a la diálisis hospitalaria. Todo ello podr</w:t>
      </w:r>
      <w:r w:rsidR="005720C5">
        <w:rPr>
          <w:rFonts w:asciiTheme="majorHAnsi" w:hAnsiTheme="majorHAnsi" w:cstheme="majorHAnsi"/>
        </w:rPr>
        <w:t>ía</w:t>
      </w:r>
      <w:r>
        <w:rPr>
          <w:rFonts w:asciiTheme="majorHAnsi" w:hAnsiTheme="majorHAnsi" w:cstheme="majorHAnsi"/>
        </w:rPr>
        <w:t xml:space="preserve"> servir para</w:t>
      </w:r>
      <w:r w:rsidR="00A32C6E">
        <w:rPr>
          <w:rFonts w:asciiTheme="majorHAnsi" w:hAnsiTheme="majorHAnsi" w:cstheme="majorHAnsi"/>
        </w:rPr>
        <w:t xml:space="preserve"> orientar la toma a gestores y decisores sanitarios antes las distintas opciones de provisión del TSR. </w:t>
      </w:r>
    </w:p>
    <w:p w14:paraId="362B8EB4" w14:textId="77777777" w:rsidR="000D794A" w:rsidRDefault="000D794A">
      <w:pPr>
        <w:rPr>
          <w:rFonts w:asciiTheme="majorHAnsi" w:hAnsiTheme="majorHAnsi" w:cstheme="majorHAnsi"/>
        </w:rPr>
      </w:pPr>
      <w:r>
        <w:rPr>
          <w:rFonts w:asciiTheme="majorHAnsi" w:hAnsiTheme="majorHAnsi" w:cstheme="majorHAnsi"/>
        </w:rPr>
        <w:br w:type="page"/>
      </w:r>
    </w:p>
    <w:p w14:paraId="147DEE9B" w14:textId="7EFAC5E1" w:rsidR="00E07483" w:rsidRPr="0025653C" w:rsidRDefault="00C97AB7" w:rsidP="00C97AB7">
      <w:pPr>
        <w:spacing w:line="360" w:lineRule="auto"/>
        <w:jc w:val="both"/>
        <w:rPr>
          <w:rFonts w:asciiTheme="majorHAnsi" w:hAnsiTheme="majorHAnsi" w:cstheme="majorHAnsi"/>
          <w:b/>
        </w:rPr>
      </w:pPr>
      <w:r w:rsidRPr="0025653C">
        <w:rPr>
          <w:rFonts w:asciiTheme="majorHAnsi" w:hAnsiTheme="majorHAnsi" w:cstheme="majorHAnsi"/>
          <w:b/>
        </w:rPr>
        <w:lastRenderedPageBreak/>
        <w:t>Metodología</w:t>
      </w:r>
    </w:p>
    <w:p w14:paraId="078E412C" w14:textId="1CFF39B7" w:rsidR="00076A86" w:rsidRPr="00D611ED" w:rsidRDefault="29201C76" w:rsidP="29201C76">
      <w:pPr>
        <w:spacing w:line="360" w:lineRule="auto"/>
        <w:ind w:firstLine="708"/>
        <w:jc w:val="both"/>
        <w:rPr>
          <w:rFonts w:asciiTheme="majorHAnsi" w:hAnsiTheme="majorHAnsi" w:cstheme="majorBidi"/>
        </w:rPr>
      </w:pPr>
      <w:r w:rsidRPr="29201C76">
        <w:rPr>
          <w:rFonts w:asciiTheme="majorHAnsi" w:hAnsiTheme="majorHAnsi" w:cstheme="majorBidi"/>
        </w:rPr>
        <w:t>Se realizó una revisión de alcance</w:t>
      </w:r>
      <w:r w:rsidR="009B10C6" w:rsidRPr="29201C76">
        <w:rPr>
          <w:rFonts w:asciiTheme="majorHAnsi" w:hAnsiTheme="majorHAnsi" w:cstheme="majorBidi"/>
        </w:rPr>
        <w:fldChar w:fldCharType="begin" w:fldLock="1"/>
      </w:r>
      <w:r w:rsidR="00B57DD4">
        <w:rPr>
          <w:rFonts w:asciiTheme="majorHAnsi" w:hAnsiTheme="majorHAnsi" w:cstheme="majorBidi"/>
        </w:rPr>
        <w:instrText>ADDIN CSL_CITATION {"citationItems":[{"id":"ITEM-1","itemData":{"DOI":"10.1186/s12916-015-0465-6","ISSN":"1741-7015","abstract":"Rapid reviews are a form of knowledge synthesis in which components of the systematic review process are simplified or omitted to produce information in a timely manner. Although numerous centers are conducting rapid reviews internationally, few studies have examined the methodological characteristics of rapid reviews. We aimed to examine articles, books, and reports that evaluated, compared, used or described rapid reviews or methods through a scoping review.","author":[{"dropping-particle":"","family":"Tricco","given":"Andrea C","non-dropping-particle":"","parse-names":false,"suffix":""},{"dropping-particle":"","family":"Antony","given":"Jesmin","non-dropping-particle":"","parse-names":false,"suffix":""},{"dropping-particle":"","family":"Zarin","given":"Wasifa","non-dropping-particle":"","parse-names":false,"suffix":""},{"dropping-particle":"","family":"Strifler","given":"Lisa","non-dropping-particle":"","parse-names":false,"suffix":""},{"dropping-particle":"","family":"Ghassemi","given":"Marco","non-dropping-particle":"","parse-names":false,"suffix":""},{"dropping-particle":"","family":"Ivory","given":"John","non-dropping-particle":"","parse-names":false,"suffix":""},{"dropping-particle":"","family":"Perrier","given":"Laure","non-dropping-particle":"","parse-names":false,"suffix":""},{"dropping-particle":"","family":"Hutton","given":"Brian","non-dropping-particle":"","parse-names":false,"suffix":""},{"dropping-particle":"","family":"Moher","given":"David","non-dropping-particle":"","parse-names":false,"suffix":""},{"dropping-particle":"","family":"Straus","given":"Sharon E","non-dropping-particle":"","parse-names":false,"suffix":""}],"container-title":"BMC Medicine","id":"ITEM-1","issue":"1","issued":{"date-parts":[["2015"]]},"page":"224","title":"A scoping review of rapid review methods","type":"article-journal","volume":"13"},"uris":["http://www.mendeley.com/documents/?uuid=09cc85fc-b338-4141-a5ed-7ca0ad3bb263"]}],"mendeley":{"formattedCitation":"&lt;sup&gt;15&lt;/sup&gt;","plainTextFormattedCitation":"15","previouslyFormattedCitation":"&lt;sup&gt;15&lt;/sup&gt;"},"properties":{"noteIndex":0},"schema":"https://github.com/citation-style-language/schema/raw/master/csl-citation.json"}</w:instrText>
      </w:r>
      <w:r w:rsidR="009B10C6" w:rsidRPr="29201C76">
        <w:rPr>
          <w:rFonts w:asciiTheme="majorHAnsi" w:hAnsiTheme="majorHAnsi" w:cstheme="majorBidi"/>
        </w:rPr>
        <w:fldChar w:fldCharType="separate"/>
      </w:r>
      <w:r w:rsidR="00453869" w:rsidRPr="00453869">
        <w:rPr>
          <w:rFonts w:asciiTheme="majorHAnsi" w:hAnsiTheme="majorHAnsi" w:cstheme="majorBidi"/>
          <w:noProof/>
          <w:vertAlign w:val="superscript"/>
        </w:rPr>
        <w:t>15</w:t>
      </w:r>
      <w:r w:rsidR="009B10C6" w:rsidRPr="29201C76">
        <w:rPr>
          <w:rFonts w:asciiTheme="majorHAnsi" w:hAnsiTheme="majorHAnsi" w:cstheme="majorBidi"/>
        </w:rPr>
        <w:fldChar w:fldCharType="end"/>
      </w:r>
      <w:r w:rsidRPr="29201C76">
        <w:rPr>
          <w:rFonts w:asciiTheme="majorHAnsi" w:hAnsiTheme="majorHAnsi" w:cstheme="majorBidi"/>
        </w:rPr>
        <w:t>, siguiendo las indicaciones de la Organización Mundial de la Salud</w:t>
      </w:r>
      <w:r w:rsidR="009B10C6" w:rsidRPr="29201C76">
        <w:rPr>
          <w:rFonts w:asciiTheme="majorHAnsi" w:hAnsiTheme="majorHAnsi" w:cstheme="majorBidi"/>
        </w:rPr>
        <w:fldChar w:fldCharType="begin" w:fldLock="1"/>
      </w:r>
      <w:r w:rsidR="00B57DD4">
        <w:rPr>
          <w:rFonts w:asciiTheme="majorHAnsi" w:hAnsiTheme="majorHAnsi" w:cstheme="majorBidi"/>
        </w:rPr>
        <w:instrText>ADDIN CSL_CITATION {"citationItems":[{"id":"ITEM-1","itemData":{"ISBN":"9241512768","author":[{"dropping-particle":"","family":"Tricco","given":"Andrea C","non-dropping-particle":"","parse-names":false,"suffix":""},{"dropping-particle":"V","family":"Langlois","given":"Etienne","non-dropping-particle":"","parse-names":false,"suffix":""},{"dropping-particle":"","family":"Straus","given":"Sharon E","non-dropping-particle":"","parse-names":false,"suffix":""}],"id":"ITEM-1","issued":{"date-parts":[["2017"]]},"publisher":"World Health Organization Geneva","title":"Rapid reviews to strengthen health policy and systems: a practical guide","type":"book"},"uris":["http://www.mendeley.com/documents/?uuid=2a9700e5-e346-450d-851a-d733263700a9"]}],"mendeley":{"formattedCitation":"&lt;sup&gt;16&lt;/sup&gt;","plainTextFormattedCitation":"16","previouslyFormattedCitation":"&lt;sup&gt;16&lt;/sup&gt;"},"properties":{"noteIndex":0},"schema":"https://github.com/citation-style-language/schema/raw/master/csl-citation.json"}</w:instrText>
      </w:r>
      <w:r w:rsidR="009B10C6" w:rsidRPr="29201C76">
        <w:rPr>
          <w:rFonts w:asciiTheme="majorHAnsi" w:hAnsiTheme="majorHAnsi" w:cstheme="majorBidi"/>
        </w:rPr>
        <w:fldChar w:fldCharType="separate"/>
      </w:r>
      <w:r w:rsidR="00453869" w:rsidRPr="00453869">
        <w:rPr>
          <w:rFonts w:asciiTheme="majorHAnsi" w:hAnsiTheme="majorHAnsi" w:cstheme="majorBidi"/>
          <w:noProof/>
          <w:vertAlign w:val="superscript"/>
        </w:rPr>
        <w:t>16</w:t>
      </w:r>
      <w:r w:rsidR="009B10C6" w:rsidRPr="29201C76">
        <w:rPr>
          <w:rFonts w:asciiTheme="majorHAnsi" w:hAnsiTheme="majorHAnsi" w:cstheme="majorBidi"/>
        </w:rPr>
        <w:fldChar w:fldCharType="end"/>
      </w:r>
      <w:r w:rsidR="00CC5116">
        <w:rPr>
          <w:rFonts w:asciiTheme="majorHAnsi" w:hAnsiTheme="majorHAnsi" w:cstheme="majorBidi"/>
        </w:rPr>
        <w:t xml:space="preserve"> y siguiendo la guía propuesta para Scoping reviews</w:t>
      </w:r>
      <w:r w:rsidR="009155A4">
        <w:rPr>
          <w:rFonts w:asciiTheme="majorHAnsi" w:hAnsiTheme="majorHAnsi" w:cstheme="majorBidi"/>
        </w:rPr>
        <w:fldChar w:fldCharType="begin" w:fldLock="1"/>
      </w:r>
      <w:r w:rsidR="00B57DD4">
        <w:rPr>
          <w:rFonts w:asciiTheme="majorHAnsi" w:hAnsiTheme="majorHAnsi" w:cstheme="majorBidi"/>
        </w:rPr>
        <w:instrText>ADDIN CSL_CITATION {"citationItems":[{"id":"ITEM-1","itemData":{"DOI":"10.7326/M18-0850","ISSN":"1539-3704 (Electronic)","PMID":"30178033","abstract":"Scoping reviews, a type of knowledge synthesis, follow a systematic approach to map evidence on a topic and identify main concepts, theories, sources, and knowledge gaps. Although more scoping reviews are being done, their methodological and reporting quality need improvement. This document presents the PRISMA-ScR (Preferred Reporting Items for Systematic reviews and Meta-Analyses extension for Scoping Reviews) checklist and explanation. The checklist was developed by a 24-member expert panel and 2 research leads following published guidance from the EQUATOR (Enhancing the QUAlity and Transparency Of health Research) Network. The final checklist contains 20 essential reporting items and 2 optional items. The authors provide a rationale and an example of good reporting for each item. The intent of the PRISMA-ScR is to help readers (including researchers, publishers, commissioners, policymakers, health care providers, guideline developers, and patients or consumers) develop a greater understanding of relevant terminology, core concepts, and key items to report for scoping reviews.","author":[{"dropping-particle":"","family":"Tricco","given":"Andrea C","non-dropping-particle":"","parse-names":false,"suffix":""},{"dropping-particle":"","family":"Lillie","given":"Erin","non-dropping-particle":"","parse-names":false,"suffix":""},{"dropping-particle":"","family":"Zarin","given":"Wasifa","non-dropping-particle":"","parse-names":false,"suffix":""},{"dropping-particle":"","family":"O'Brien","given":"Kelly K","non-dropping-particle":"","parse-names":false,"suffix":""},{"dropping-particle":"","family":"Colquhoun","given":"Heather","non-dropping-particle":"","parse-names":false,"suffix":""},{"dropping-particle":"","family":"Levac","given":"Danielle","non-dropping-particle":"","parse-names":false,"suffix":""},{"dropping-particle":"","family":"Moher","given":"David","non-dropping-particle":"","parse-names":false,"suffix":""},{"dropping-particle":"","family":"Peters","given":"Micah D J","non-dropping-particle":"","parse-names":false,"suffix":""},{"dropping-particle":"","family":"Horsley","given":"Tanya","non-dropping-particle":"","parse-names":false,"suffix":""},{"dropping-particle":"","family":"Weeks","given":"Laura","non-dropping-particle":"","parse-names":false,"suffix":""},{"dropping-particle":"","family":"Hempel","given":"Susanne","non-dropping-particle":"","parse-names":false,"suffix":""},{"dropping-particle":"","family":"Akl","given":"Elie A","non-dropping-particle":"","parse-names":false,"suffix":""},{"dropping-particle":"","family":"Chang","given":"Christine","non-dropping-particle":"","parse-names":false,"suffix":""},{"dropping-particle":"","family":"McGowan","given":"Jessie","non-dropping-particle":"","parse-names":false,"suffix":""},{"dropping-particle":"","family":"Stewart","given":"Lesley","non-dropping-particle":"","parse-names":false,"suffix":""},{"dropping-particle":"","family":"Hartling","given":"Lisa","non-dropping-particle":"","parse-names":false,"suffix":""},{"dropping-particle":"","family":"Aldcroft","given":"Adrian","non-dropping-particle":"","parse-names":false,"suffix":""},{"dropping-particle":"","family":"Wilson","given":"Michael G","non-dropping-particle":"","parse-names":false,"suffix":""},{"dropping-particle":"","family":"Garritty","given":"Chantelle","non-dropping-particle":"","parse-names":false,"suffix":""},{"dropping-particle":"","family":"Lewin","given":"Simon","non-dropping-particle":"","parse-names":false,"suffix":""},{"dropping-particle":"","family":"Godfrey","given":"Christina M","non-dropping-particle":"","parse-names":false,"suffix":""},{"dropping-particle":"","family":"Macdonald","given":"Marilyn T","non-dropping-particle":"","parse-names":false,"suffix":""},{"dropping-particle":"V","family":"Langlois","given":"Etienne","non-dropping-particle":"","parse-names":false,"suffix":""},{"dropping-particle":"","family":"Soares-Weiser","given":"Karla","non-dropping-particle":"","parse-names":false,"suffix":""},{"dropping-particle":"","family":"Moriarty","given":"Jo","non-dropping-particle":"","parse-names":false,"suffix":""},{"dropping-particle":"","family":"Clifford","given":"Tammy","non-dropping-particle":"","parse-names":false,"suffix":""},{"dropping-particle":"","family":"Tunçalp","given":"Özge","non-dropping-particle":"","parse-names":false,"suffix":""},{"dropping-particle":"","family":"Straus","given":"Sharon E","non-dropping-particle":"","parse-names":false,"suffix":""}],"container-title":"Annals of internal medicine","id":"ITEM-1","issue":"7","issued":{"date-parts":[["2018"]]},"language":"eng","page":"467-473","publisher-place":"United States","title":"PRISMA Extension for Scoping Reviews (PRISMA-ScR): Checklist and Explanation.","type":"article-journal","volume":"169"},"uris":["http://www.mendeley.com/documents/?uuid=00c6b5ab-f6e7-433e-8c7e-5dd668d6cde5"]}],"mendeley":{"formattedCitation":"&lt;sup&gt;17&lt;/sup&gt;","plainTextFormattedCitation":"17","previouslyFormattedCitation":"&lt;sup&gt;17&lt;/sup&gt;"},"properties":{"noteIndex":0},"schema":"https://github.com/citation-style-language/schema/raw/master/csl-citation.json"}</w:instrText>
      </w:r>
      <w:r w:rsidR="009155A4">
        <w:rPr>
          <w:rFonts w:asciiTheme="majorHAnsi" w:hAnsiTheme="majorHAnsi" w:cstheme="majorBidi"/>
        </w:rPr>
        <w:fldChar w:fldCharType="separate"/>
      </w:r>
      <w:r w:rsidR="00453869" w:rsidRPr="00453869">
        <w:rPr>
          <w:rFonts w:asciiTheme="majorHAnsi" w:hAnsiTheme="majorHAnsi" w:cstheme="majorBidi"/>
          <w:noProof/>
          <w:vertAlign w:val="superscript"/>
        </w:rPr>
        <w:t>17</w:t>
      </w:r>
      <w:r w:rsidR="009155A4">
        <w:rPr>
          <w:rFonts w:asciiTheme="majorHAnsi" w:hAnsiTheme="majorHAnsi" w:cstheme="majorBidi"/>
        </w:rPr>
        <w:fldChar w:fldCharType="end"/>
      </w:r>
      <w:r w:rsidR="00CC5116">
        <w:rPr>
          <w:rFonts w:asciiTheme="majorHAnsi" w:hAnsiTheme="majorHAnsi" w:cstheme="majorBidi"/>
        </w:rPr>
        <w:t>.</w:t>
      </w:r>
      <w:r w:rsidRPr="29201C76">
        <w:rPr>
          <w:rFonts w:asciiTheme="majorHAnsi" w:hAnsiTheme="majorHAnsi" w:cstheme="majorBidi"/>
        </w:rPr>
        <w:t xml:space="preserve"> </w:t>
      </w:r>
      <w:r w:rsidR="00B0298A" w:rsidRPr="006B101C">
        <w:rPr>
          <w:rFonts w:asciiTheme="majorHAnsi" w:hAnsiTheme="majorHAnsi" w:cstheme="majorBidi"/>
          <w:highlight w:val="yellow"/>
        </w:rPr>
        <w:t>A diferencia de las revisione</w:t>
      </w:r>
      <w:r w:rsidR="00472322" w:rsidRPr="006B101C">
        <w:rPr>
          <w:rFonts w:asciiTheme="majorHAnsi" w:hAnsiTheme="majorHAnsi" w:cstheme="majorBidi"/>
          <w:highlight w:val="yellow"/>
        </w:rPr>
        <w:t>s</w:t>
      </w:r>
      <w:r w:rsidR="00B0298A" w:rsidRPr="006B101C">
        <w:rPr>
          <w:rFonts w:asciiTheme="majorHAnsi" w:hAnsiTheme="majorHAnsi" w:cstheme="majorBidi"/>
          <w:highlight w:val="yellow"/>
        </w:rPr>
        <w:t xml:space="preserve"> sistemáticas, l</w:t>
      </w:r>
      <w:r w:rsidR="00CF5967" w:rsidRPr="006B101C">
        <w:rPr>
          <w:rFonts w:asciiTheme="majorHAnsi" w:hAnsiTheme="majorHAnsi" w:cstheme="majorBidi"/>
          <w:highlight w:val="yellow"/>
        </w:rPr>
        <w:t>as revisiones de alcance son exploratorias y, por lo general, abordan una pregunta amplia.</w:t>
      </w:r>
      <w:r w:rsidR="00CF5967" w:rsidRPr="00CF5967">
        <w:rPr>
          <w:rFonts w:asciiTheme="majorHAnsi" w:hAnsiTheme="majorHAnsi" w:cstheme="majorBidi"/>
        </w:rPr>
        <w:t xml:space="preserve"> </w:t>
      </w:r>
      <w:r w:rsidRPr="29201C76">
        <w:rPr>
          <w:rFonts w:asciiTheme="majorHAnsi" w:hAnsiTheme="majorHAnsi" w:cstheme="majorBidi"/>
        </w:rPr>
        <w:t>Para ello, se consultaron</w:t>
      </w:r>
      <w:r w:rsidR="00E17BCB">
        <w:rPr>
          <w:rFonts w:asciiTheme="majorHAnsi" w:hAnsiTheme="majorHAnsi" w:cstheme="majorBidi"/>
        </w:rPr>
        <w:t>, mediante términos libres y controlados,</w:t>
      </w:r>
      <w:r w:rsidRPr="29201C76">
        <w:rPr>
          <w:rFonts w:asciiTheme="majorHAnsi" w:hAnsiTheme="majorHAnsi" w:cstheme="majorBidi"/>
        </w:rPr>
        <w:t xml:space="preserve"> las siguientes bases de datos: PubMed, Embase, Web of Science (WOS), Cumulative Index to Nursing &amp; Allied Health Literature (Cinahl), Scopus y The Cochrane Library. Esta búsqueda se complementó con una exploración de los siguientes recursos: Google Scholar y la Red de Agencias de Evaluación de Tecnología de Salud (</w:t>
      </w:r>
      <w:hyperlink r:id="rId6">
        <w:r w:rsidRPr="29201C76">
          <w:rPr>
            <w:rStyle w:val="Hipervnculo"/>
            <w:rFonts w:asciiTheme="majorHAnsi" w:hAnsiTheme="majorHAnsi" w:cstheme="majorBidi"/>
          </w:rPr>
          <w:t>https://redets.mscbs.gob.es/</w:t>
        </w:r>
      </w:hyperlink>
      <w:r w:rsidRPr="29201C76">
        <w:rPr>
          <w:rFonts w:asciiTheme="majorHAnsi" w:hAnsiTheme="majorHAnsi" w:cstheme="majorBidi"/>
        </w:rPr>
        <w:t xml:space="preserve">). </w:t>
      </w:r>
      <w:r w:rsidRPr="00711525">
        <w:rPr>
          <w:rFonts w:asciiTheme="majorHAnsi" w:hAnsiTheme="majorHAnsi" w:cstheme="majorBidi"/>
        </w:rPr>
        <w:t xml:space="preserve">Se examinaron las referencias incluidas en los artículos identificados y se consultó vía email con personas expertas sobre </w:t>
      </w:r>
      <w:r w:rsidR="00E17BCB">
        <w:rPr>
          <w:rFonts w:asciiTheme="majorHAnsi" w:hAnsiTheme="majorHAnsi" w:cstheme="majorBidi"/>
        </w:rPr>
        <w:t xml:space="preserve">artículos y </w:t>
      </w:r>
      <w:r w:rsidRPr="00711525">
        <w:rPr>
          <w:rFonts w:asciiTheme="majorHAnsi" w:hAnsiTheme="majorHAnsi" w:cstheme="majorBidi"/>
        </w:rPr>
        <w:t>publicaciones clave sobre el tema a estudio</w:t>
      </w:r>
      <w:r w:rsidR="00DF5D34">
        <w:rPr>
          <w:rFonts w:asciiTheme="majorHAnsi" w:hAnsiTheme="majorHAnsi" w:cstheme="majorBidi"/>
        </w:rPr>
        <w:t xml:space="preserve"> (Anexo 1)</w:t>
      </w:r>
      <w:r w:rsidRPr="00711525">
        <w:rPr>
          <w:rFonts w:asciiTheme="majorHAnsi" w:hAnsiTheme="majorHAnsi" w:cstheme="majorBidi"/>
        </w:rPr>
        <w:t>. Además, se</w:t>
      </w:r>
      <w:r w:rsidRPr="29201C76">
        <w:rPr>
          <w:rFonts w:asciiTheme="majorHAnsi" w:hAnsiTheme="majorHAnsi" w:cstheme="majorBidi"/>
        </w:rPr>
        <w:t xml:space="preserve"> revisaron los </w:t>
      </w:r>
      <w:r w:rsidR="00DF5D34">
        <w:rPr>
          <w:rFonts w:asciiTheme="majorHAnsi" w:hAnsiTheme="majorHAnsi" w:cstheme="majorBidi"/>
        </w:rPr>
        <w:t>B</w:t>
      </w:r>
      <w:r w:rsidRPr="29201C76">
        <w:rPr>
          <w:rFonts w:asciiTheme="majorHAnsi" w:hAnsiTheme="majorHAnsi" w:cstheme="majorBidi"/>
        </w:rPr>
        <w:t xml:space="preserve">oletines </w:t>
      </w:r>
      <w:r w:rsidR="00DF5D34">
        <w:rPr>
          <w:rFonts w:asciiTheme="majorHAnsi" w:hAnsiTheme="majorHAnsi" w:cstheme="majorBidi"/>
        </w:rPr>
        <w:t>O</w:t>
      </w:r>
      <w:r w:rsidRPr="29201C76">
        <w:rPr>
          <w:rFonts w:asciiTheme="majorHAnsi" w:hAnsiTheme="majorHAnsi" w:cstheme="majorBidi"/>
        </w:rPr>
        <w:t xml:space="preserve">ficiales de las diferentes Comunidades Autónomas españolas </w:t>
      </w:r>
      <w:r w:rsidR="00A611AF">
        <w:rPr>
          <w:rFonts w:asciiTheme="majorHAnsi" w:hAnsiTheme="majorHAnsi" w:cstheme="majorBidi"/>
        </w:rPr>
        <w:t xml:space="preserve">y la Mutualidad de funcionarios (MUFACE) </w:t>
      </w:r>
      <w:r w:rsidRPr="29201C76">
        <w:rPr>
          <w:rFonts w:asciiTheme="majorHAnsi" w:hAnsiTheme="majorHAnsi" w:cstheme="majorBidi"/>
        </w:rPr>
        <w:t xml:space="preserve">para extraer las tarifas públicas vigentes. La estrategia de búsqueda adoptada para las diferentes bases de datos fue validada por una bibliotecaria especializada en salud pública. </w:t>
      </w:r>
    </w:p>
    <w:p w14:paraId="7766D81F" w14:textId="77777777" w:rsidR="00076A86" w:rsidRPr="0025653C" w:rsidRDefault="00076A86" w:rsidP="00076A86">
      <w:pPr>
        <w:pBdr>
          <w:top w:val="single" w:sz="4" w:space="1" w:color="auto"/>
          <w:left w:val="single" w:sz="4" w:space="4" w:color="auto"/>
          <w:bottom w:val="single" w:sz="4" w:space="1" w:color="auto"/>
          <w:right w:val="single" w:sz="4" w:space="4" w:color="auto"/>
        </w:pBdr>
        <w:jc w:val="both"/>
        <w:rPr>
          <w:rFonts w:asciiTheme="majorHAnsi" w:hAnsiTheme="majorHAnsi" w:cstheme="majorHAnsi"/>
          <w:lang w:val="en-US"/>
        </w:rPr>
      </w:pPr>
      <w:r w:rsidRPr="0025653C">
        <w:rPr>
          <w:rFonts w:asciiTheme="majorHAnsi" w:hAnsiTheme="majorHAnsi" w:cstheme="majorHAnsi"/>
          <w:lang w:val="en-US"/>
        </w:rPr>
        <w:t>(("contract services"[MeSH Terms] OR "outsourcing agreement*"[Text Word] OR "contract service*"[Text Word] OR "reimbursement*"[Text Word] OR "Insurance, Health, Reimbursement"[Mesh]) AND ("hemodialysis"[Text Word] OR "hemodialyses"[Text Word] OR "Renal Dialysis"[MeSH Terms] OR "Dialysis"[MeSH Terms] OR "Dialysis"[Text Word]))</w:t>
      </w:r>
    </w:p>
    <w:p w14:paraId="21581BE7" w14:textId="6A5D7578" w:rsidR="00F22895" w:rsidRPr="0025653C" w:rsidRDefault="00F22895" w:rsidP="00F22895">
      <w:pPr>
        <w:spacing w:line="360" w:lineRule="auto"/>
        <w:ind w:firstLine="708"/>
        <w:jc w:val="both"/>
        <w:rPr>
          <w:rFonts w:asciiTheme="majorHAnsi" w:hAnsiTheme="majorHAnsi" w:cstheme="majorHAnsi"/>
        </w:rPr>
      </w:pPr>
      <w:r w:rsidRPr="0025653C">
        <w:rPr>
          <w:rFonts w:asciiTheme="majorHAnsi" w:hAnsiTheme="majorHAnsi" w:cstheme="majorHAnsi"/>
        </w:rPr>
        <w:t>Criterios de inclusión</w:t>
      </w:r>
      <w:r w:rsidR="00F8128B">
        <w:rPr>
          <w:rFonts w:asciiTheme="majorHAnsi" w:hAnsiTheme="majorHAnsi" w:cstheme="majorHAnsi"/>
        </w:rPr>
        <w:t xml:space="preserve"> y exclusión</w:t>
      </w:r>
      <w:r w:rsidRPr="0025653C">
        <w:rPr>
          <w:rFonts w:asciiTheme="majorHAnsi" w:hAnsiTheme="majorHAnsi" w:cstheme="majorHAnsi"/>
        </w:rPr>
        <w:t xml:space="preserve">: se incluyeron todos los artículos </w:t>
      </w:r>
      <w:r w:rsidR="00B1644E">
        <w:rPr>
          <w:rFonts w:asciiTheme="majorHAnsi" w:hAnsiTheme="majorHAnsi" w:cstheme="majorHAnsi"/>
        </w:rPr>
        <w:t xml:space="preserve">que realizasen una </w:t>
      </w:r>
      <w:r w:rsidR="00576312">
        <w:rPr>
          <w:rFonts w:asciiTheme="majorHAnsi" w:hAnsiTheme="majorHAnsi" w:cstheme="majorHAnsi"/>
        </w:rPr>
        <w:t>compara</w:t>
      </w:r>
      <w:r w:rsidR="00B1644E">
        <w:rPr>
          <w:rFonts w:asciiTheme="majorHAnsi" w:hAnsiTheme="majorHAnsi" w:cstheme="majorHAnsi"/>
        </w:rPr>
        <w:t xml:space="preserve">ción </w:t>
      </w:r>
      <w:r w:rsidR="00F8128B">
        <w:rPr>
          <w:rFonts w:asciiTheme="majorHAnsi" w:hAnsiTheme="majorHAnsi" w:cstheme="majorHAnsi"/>
        </w:rPr>
        <w:t>de</w:t>
      </w:r>
      <w:r w:rsidR="00B1644E">
        <w:rPr>
          <w:rFonts w:asciiTheme="majorHAnsi" w:hAnsiTheme="majorHAnsi" w:cstheme="majorHAnsi"/>
        </w:rPr>
        <w:t xml:space="preserve"> la </w:t>
      </w:r>
      <w:r w:rsidRPr="0025653C">
        <w:rPr>
          <w:rFonts w:asciiTheme="majorHAnsi" w:hAnsiTheme="majorHAnsi" w:cstheme="majorHAnsi"/>
        </w:rPr>
        <w:t>diálisis concertada</w:t>
      </w:r>
      <w:r w:rsidR="00F8128B">
        <w:rPr>
          <w:rFonts w:asciiTheme="majorHAnsi" w:hAnsiTheme="majorHAnsi" w:cstheme="majorHAnsi"/>
        </w:rPr>
        <w:t>,</w:t>
      </w:r>
      <w:r w:rsidRPr="0025653C">
        <w:rPr>
          <w:rFonts w:asciiTheme="majorHAnsi" w:hAnsiTheme="majorHAnsi" w:cstheme="majorHAnsi"/>
        </w:rPr>
        <w:t xml:space="preserve"> </w:t>
      </w:r>
      <w:r w:rsidR="008B439A">
        <w:rPr>
          <w:rFonts w:asciiTheme="majorHAnsi" w:hAnsiTheme="majorHAnsi" w:cstheme="majorHAnsi"/>
        </w:rPr>
        <w:t xml:space="preserve">frente a la prestación de servicios por </w:t>
      </w:r>
      <w:r w:rsidR="00F8128B">
        <w:rPr>
          <w:rFonts w:asciiTheme="majorHAnsi" w:hAnsiTheme="majorHAnsi" w:cstheme="majorHAnsi"/>
        </w:rPr>
        <w:t xml:space="preserve">parte de </w:t>
      </w:r>
      <w:r w:rsidR="008B439A">
        <w:rPr>
          <w:rFonts w:asciiTheme="majorHAnsi" w:hAnsiTheme="majorHAnsi" w:cstheme="majorHAnsi"/>
        </w:rPr>
        <w:t>la no concertada</w:t>
      </w:r>
      <w:r w:rsidR="00F8128B">
        <w:rPr>
          <w:rFonts w:asciiTheme="majorHAnsi" w:hAnsiTheme="majorHAnsi" w:cstheme="majorHAnsi"/>
        </w:rPr>
        <w:t>,</w:t>
      </w:r>
      <w:r w:rsidR="008B439A">
        <w:rPr>
          <w:rFonts w:asciiTheme="majorHAnsi" w:hAnsiTheme="majorHAnsi" w:cstheme="majorHAnsi"/>
        </w:rPr>
        <w:t xml:space="preserve"> </w:t>
      </w:r>
      <w:r w:rsidR="00F8128B">
        <w:rPr>
          <w:rFonts w:asciiTheme="majorHAnsi" w:hAnsiTheme="majorHAnsi" w:cstheme="majorHAnsi"/>
        </w:rPr>
        <w:t xml:space="preserve">en términos </w:t>
      </w:r>
      <w:r w:rsidR="008B439A">
        <w:rPr>
          <w:rFonts w:asciiTheme="majorHAnsi" w:hAnsiTheme="majorHAnsi" w:cstheme="majorHAnsi"/>
        </w:rPr>
        <w:t xml:space="preserve">de </w:t>
      </w:r>
      <w:r w:rsidR="00DE3FEE">
        <w:rPr>
          <w:rFonts w:asciiTheme="majorHAnsi" w:hAnsiTheme="majorHAnsi" w:cstheme="majorHAnsi"/>
        </w:rPr>
        <w:t>r</w:t>
      </w:r>
      <w:r w:rsidRPr="0025653C">
        <w:rPr>
          <w:rFonts w:asciiTheme="majorHAnsi" w:hAnsiTheme="majorHAnsi" w:cstheme="majorHAnsi"/>
        </w:rPr>
        <w:t xml:space="preserve">esultados </w:t>
      </w:r>
      <w:r w:rsidR="008B439A">
        <w:rPr>
          <w:rFonts w:asciiTheme="majorHAnsi" w:hAnsiTheme="majorHAnsi" w:cstheme="majorHAnsi"/>
        </w:rPr>
        <w:t>de</w:t>
      </w:r>
      <w:r w:rsidR="008B439A" w:rsidRPr="008B439A">
        <w:rPr>
          <w:rFonts w:asciiTheme="majorHAnsi" w:hAnsiTheme="majorHAnsi" w:cstheme="majorHAnsi"/>
        </w:rPr>
        <w:t xml:space="preserve"> </w:t>
      </w:r>
      <w:r w:rsidR="008B439A">
        <w:rPr>
          <w:rFonts w:asciiTheme="majorHAnsi" w:hAnsiTheme="majorHAnsi" w:cstheme="majorHAnsi"/>
        </w:rPr>
        <w:t>efectividad</w:t>
      </w:r>
      <w:r w:rsidR="006370A1">
        <w:rPr>
          <w:rFonts w:asciiTheme="majorHAnsi" w:hAnsiTheme="majorHAnsi" w:cstheme="majorHAnsi"/>
        </w:rPr>
        <w:t xml:space="preserve">, </w:t>
      </w:r>
      <w:r w:rsidR="006370A1" w:rsidRPr="006B101C">
        <w:rPr>
          <w:rFonts w:asciiTheme="majorHAnsi" w:hAnsiTheme="majorHAnsi" w:cstheme="majorHAnsi"/>
          <w:highlight w:val="yellow"/>
        </w:rPr>
        <w:t xml:space="preserve">es decir, </w:t>
      </w:r>
      <w:r w:rsidR="00E918E2" w:rsidRPr="006B101C">
        <w:rPr>
          <w:rFonts w:asciiTheme="majorHAnsi" w:hAnsiTheme="majorHAnsi" w:cstheme="majorHAnsi"/>
          <w:highlight w:val="yellow"/>
        </w:rPr>
        <w:t xml:space="preserve">los beneficios obtenidos mediante la aplicación de un tecnología sanitaria en </w:t>
      </w:r>
      <w:r w:rsidR="00BD10E3" w:rsidRPr="006B101C">
        <w:rPr>
          <w:rFonts w:asciiTheme="majorHAnsi" w:hAnsiTheme="majorHAnsi" w:cstheme="majorHAnsi"/>
          <w:highlight w:val="yellow"/>
        </w:rPr>
        <w:t>términos de resultados en salud (mortalidad, morbilidad, reingresos hospitalarios, etc.)</w:t>
      </w:r>
      <w:r w:rsidR="00C46AF8" w:rsidRPr="006B101C">
        <w:rPr>
          <w:rFonts w:asciiTheme="majorHAnsi" w:hAnsiTheme="majorHAnsi" w:cstheme="majorHAnsi"/>
          <w:highlight w:val="yellow"/>
        </w:rPr>
        <w:t>;</w:t>
      </w:r>
      <w:r w:rsidR="00C46AF8">
        <w:rPr>
          <w:rFonts w:asciiTheme="majorHAnsi" w:hAnsiTheme="majorHAnsi" w:cstheme="majorHAnsi"/>
        </w:rPr>
        <w:t xml:space="preserve"> </w:t>
      </w:r>
      <w:r w:rsidR="00CC2B9E">
        <w:rPr>
          <w:rFonts w:asciiTheme="majorHAnsi" w:hAnsiTheme="majorHAnsi" w:cstheme="majorHAnsi"/>
        </w:rPr>
        <w:t xml:space="preserve">las comparativas en términos de costes </w:t>
      </w:r>
      <w:r w:rsidR="00C46AF8">
        <w:rPr>
          <w:rFonts w:asciiTheme="majorHAnsi" w:hAnsiTheme="majorHAnsi" w:cstheme="majorHAnsi"/>
        </w:rPr>
        <w:t>se limit</w:t>
      </w:r>
      <w:r w:rsidR="00CC2B9E">
        <w:rPr>
          <w:rFonts w:asciiTheme="majorHAnsi" w:hAnsiTheme="majorHAnsi" w:cstheme="majorHAnsi"/>
        </w:rPr>
        <w:t>aron</w:t>
      </w:r>
      <w:r w:rsidR="00C46AF8">
        <w:rPr>
          <w:rFonts w:asciiTheme="majorHAnsi" w:hAnsiTheme="majorHAnsi" w:cstheme="majorHAnsi"/>
        </w:rPr>
        <w:t xml:space="preserve"> a aquellos </w:t>
      </w:r>
      <w:r w:rsidR="00CC2B9E">
        <w:rPr>
          <w:rFonts w:asciiTheme="majorHAnsi" w:hAnsiTheme="majorHAnsi" w:cstheme="majorHAnsi"/>
        </w:rPr>
        <w:t xml:space="preserve">estudios </w:t>
      </w:r>
      <w:r w:rsidR="00C46AF8">
        <w:rPr>
          <w:rFonts w:asciiTheme="majorHAnsi" w:hAnsiTheme="majorHAnsi" w:cstheme="majorHAnsi"/>
        </w:rPr>
        <w:t>realizados</w:t>
      </w:r>
      <w:r w:rsidR="00CC2B9E">
        <w:rPr>
          <w:rFonts w:asciiTheme="majorHAnsi" w:hAnsiTheme="majorHAnsi" w:cstheme="majorHAnsi"/>
        </w:rPr>
        <w:t xml:space="preserve"> y publicados</w:t>
      </w:r>
      <w:r w:rsidR="00C46AF8">
        <w:rPr>
          <w:rFonts w:asciiTheme="majorHAnsi" w:hAnsiTheme="majorHAnsi" w:cstheme="majorHAnsi"/>
        </w:rPr>
        <w:t xml:space="preserve"> en España</w:t>
      </w:r>
      <w:r w:rsidR="00DE3FEE">
        <w:rPr>
          <w:rFonts w:asciiTheme="majorHAnsi" w:hAnsiTheme="majorHAnsi" w:cstheme="majorHAnsi"/>
        </w:rPr>
        <w:t>.</w:t>
      </w:r>
      <w:r w:rsidRPr="0025653C">
        <w:rPr>
          <w:rFonts w:asciiTheme="majorHAnsi" w:hAnsiTheme="majorHAnsi" w:cstheme="majorHAnsi"/>
        </w:rPr>
        <w:t xml:space="preserve"> Se excluyeron aquellas referencias </w:t>
      </w:r>
      <w:r w:rsidR="00CC2B9E">
        <w:rPr>
          <w:rFonts w:asciiTheme="majorHAnsi" w:hAnsiTheme="majorHAnsi" w:cstheme="majorHAnsi"/>
        </w:rPr>
        <w:t>a</w:t>
      </w:r>
      <w:r w:rsidR="00F8128B">
        <w:rPr>
          <w:rFonts w:asciiTheme="majorHAnsi" w:hAnsiTheme="majorHAnsi" w:cstheme="majorHAnsi"/>
        </w:rPr>
        <w:t xml:space="preserve"> estudios en l</w:t>
      </w:r>
      <w:r w:rsidR="00CC2B9E">
        <w:rPr>
          <w:rFonts w:asciiTheme="majorHAnsi" w:hAnsiTheme="majorHAnsi" w:cstheme="majorHAnsi"/>
        </w:rPr>
        <w:t>a</w:t>
      </w:r>
      <w:r w:rsidR="00F8128B">
        <w:rPr>
          <w:rFonts w:asciiTheme="majorHAnsi" w:hAnsiTheme="majorHAnsi" w:cstheme="majorHAnsi"/>
        </w:rPr>
        <w:t xml:space="preserve">s </w:t>
      </w:r>
      <w:r w:rsidRPr="0025653C">
        <w:rPr>
          <w:rFonts w:asciiTheme="majorHAnsi" w:hAnsiTheme="majorHAnsi" w:cstheme="majorHAnsi"/>
        </w:rPr>
        <w:t xml:space="preserve">que no se </w:t>
      </w:r>
      <w:r w:rsidR="008B439A">
        <w:rPr>
          <w:rFonts w:asciiTheme="majorHAnsi" w:hAnsiTheme="majorHAnsi" w:cstheme="majorHAnsi"/>
        </w:rPr>
        <w:t xml:space="preserve">realizasen comparación entre los tipos de centros y aquellos publicados </w:t>
      </w:r>
      <w:r w:rsidRPr="0025653C">
        <w:rPr>
          <w:rFonts w:asciiTheme="majorHAnsi" w:hAnsiTheme="majorHAnsi" w:cstheme="majorHAnsi"/>
        </w:rPr>
        <w:t xml:space="preserve">en </w:t>
      </w:r>
      <w:r w:rsidR="008B439A">
        <w:rPr>
          <w:rFonts w:asciiTheme="majorHAnsi" w:hAnsiTheme="majorHAnsi" w:cstheme="majorHAnsi"/>
        </w:rPr>
        <w:t xml:space="preserve">idioma diferente al </w:t>
      </w:r>
      <w:r w:rsidRPr="0025653C">
        <w:rPr>
          <w:rFonts w:asciiTheme="majorHAnsi" w:hAnsiTheme="majorHAnsi" w:cstheme="majorHAnsi"/>
        </w:rPr>
        <w:t>inglés o español</w:t>
      </w:r>
      <w:r w:rsidR="00F8128B">
        <w:rPr>
          <w:rFonts w:asciiTheme="majorHAnsi" w:hAnsiTheme="majorHAnsi" w:cstheme="majorHAnsi"/>
        </w:rPr>
        <w:t xml:space="preserve">; la búsqueda </w:t>
      </w:r>
      <w:r w:rsidR="00076A86" w:rsidRPr="0025653C">
        <w:rPr>
          <w:rFonts w:asciiTheme="majorHAnsi" w:hAnsiTheme="majorHAnsi" w:cstheme="majorHAnsi"/>
        </w:rPr>
        <w:t xml:space="preserve">se </w:t>
      </w:r>
      <w:r w:rsidRPr="0025653C">
        <w:rPr>
          <w:rFonts w:asciiTheme="majorHAnsi" w:hAnsiTheme="majorHAnsi" w:cstheme="majorHAnsi"/>
        </w:rPr>
        <w:t>limit</w:t>
      </w:r>
      <w:r w:rsidR="00076A86" w:rsidRPr="0025653C">
        <w:rPr>
          <w:rFonts w:asciiTheme="majorHAnsi" w:hAnsiTheme="majorHAnsi" w:cstheme="majorHAnsi"/>
        </w:rPr>
        <w:t>ó a</w:t>
      </w:r>
      <w:r w:rsidR="00F8128B">
        <w:rPr>
          <w:rFonts w:asciiTheme="majorHAnsi" w:hAnsiTheme="majorHAnsi" w:cstheme="majorHAnsi"/>
        </w:rPr>
        <w:t xml:space="preserve"> un periodo de</w:t>
      </w:r>
      <w:r w:rsidR="00076A86" w:rsidRPr="0025653C">
        <w:rPr>
          <w:rFonts w:asciiTheme="majorHAnsi" w:hAnsiTheme="majorHAnsi" w:cstheme="majorHAnsi"/>
        </w:rPr>
        <w:t xml:space="preserve"> 10 años</w:t>
      </w:r>
      <w:r w:rsidRPr="0025653C">
        <w:rPr>
          <w:rFonts w:asciiTheme="majorHAnsi" w:hAnsiTheme="majorHAnsi" w:cstheme="majorHAnsi"/>
        </w:rPr>
        <w:t xml:space="preserve">. </w:t>
      </w:r>
    </w:p>
    <w:p w14:paraId="6F5B6B7A" w14:textId="74E1D94F" w:rsidR="00076A86" w:rsidRPr="0025653C" w:rsidRDefault="29201C76" w:rsidP="29201C76">
      <w:pPr>
        <w:spacing w:line="360" w:lineRule="auto"/>
        <w:ind w:firstLine="708"/>
        <w:jc w:val="both"/>
        <w:rPr>
          <w:rFonts w:asciiTheme="majorHAnsi" w:hAnsiTheme="majorHAnsi" w:cstheme="majorBidi"/>
        </w:rPr>
      </w:pPr>
      <w:r w:rsidRPr="29201C76">
        <w:rPr>
          <w:rFonts w:asciiTheme="majorHAnsi" w:hAnsiTheme="majorHAnsi" w:cstheme="majorBidi"/>
        </w:rPr>
        <w:t>Los resultados de la búsqueda bibliográfica se almacenaron e</w:t>
      </w:r>
      <w:r w:rsidR="00CC2B9E">
        <w:rPr>
          <w:rFonts w:asciiTheme="majorHAnsi" w:hAnsiTheme="majorHAnsi" w:cstheme="majorBidi"/>
        </w:rPr>
        <w:t xml:space="preserve">n una biblioteca de Rayyan QCRI, </w:t>
      </w:r>
      <w:r w:rsidRPr="29201C76">
        <w:rPr>
          <w:rFonts w:asciiTheme="majorHAnsi" w:hAnsiTheme="majorHAnsi" w:cstheme="majorBidi"/>
        </w:rPr>
        <w:t>el proceso de cribado fue realizado por pares (AOL y MdAGV) y las discrepancias resu</w:t>
      </w:r>
      <w:r w:rsidR="00CC2B9E">
        <w:rPr>
          <w:rFonts w:asciiTheme="majorHAnsi" w:hAnsiTheme="majorHAnsi" w:cstheme="majorBidi"/>
        </w:rPr>
        <w:t>e</w:t>
      </w:r>
      <w:r w:rsidRPr="29201C76">
        <w:rPr>
          <w:rFonts w:asciiTheme="majorHAnsi" w:hAnsiTheme="majorHAnsi" w:cstheme="majorBidi"/>
        </w:rPr>
        <w:t>ltas por un tercer investigador (ACM). En primer lugar, por título y resumen (primera selección)</w:t>
      </w:r>
      <w:r w:rsidR="00CC2B9E">
        <w:rPr>
          <w:rFonts w:asciiTheme="majorHAnsi" w:hAnsiTheme="majorHAnsi" w:cstheme="majorBidi"/>
        </w:rPr>
        <w:t>; p</w:t>
      </w:r>
      <w:r w:rsidRPr="29201C76">
        <w:rPr>
          <w:rFonts w:asciiTheme="majorHAnsi" w:hAnsiTheme="majorHAnsi" w:cstheme="majorBidi"/>
        </w:rPr>
        <w:t>osteriormente, se revisaron los artículos a texto completo.</w:t>
      </w:r>
      <w:r w:rsidRPr="29201C76">
        <w:rPr>
          <w:rFonts w:asciiTheme="majorHAnsi" w:hAnsiTheme="majorHAnsi" w:cstheme="majorBidi"/>
          <w:highlight w:val="yellow"/>
        </w:rPr>
        <w:t xml:space="preserve"> </w:t>
      </w:r>
      <w:r w:rsidRPr="29201C76">
        <w:rPr>
          <w:rFonts w:asciiTheme="majorHAnsi" w:hAnsiTheme="majorHAnsi" w:cstheme="majorBidi"/>
        </w:rPr>
        <w:t xml:space="preserve"> </w:t>
      </w:r>
    </w:p>
    <w:p w14:paraId="75863E13" w14:textId="2AFBC227" w:rsidR="00C97AB7" w:rsidRPr="0025653C" w:rsidRDefault="00C97AB7">
      <w:pPr>
        <w:rPr>
          <w:rFonts w:asciiTheme="majorHAnsi" w:hAnsiTheme="majorHAnsi" w:cstheme="majorHAnsi"/>
        </w:rPr>
      </w:pPr>
      <w:r w:rsidRPr="0025653C">
        <w:rPr>
          <w:rFonts w:asciiTheme="majorHAnsi" w:hAnsiTheme="majorHAnsi" w:cstheme="majorHAnsi"/>
        </w:rPr>
        <w:br w:type="page"/>
      </w:r>
    </w:p>
    <w:p w14:paraId="06C23AF3" w14:textId="0652760B" w:rsidR="00076A86" w:rsidRDefault="00076A86" w:rsidP="00076A86">
      <w:pPr>
        <w:spacing w:line="360" w:lineRule="auto"/>
        <w:jc w:val="both"/>
        <w:rPr>
          <w:rFonts w:asciiTheme="majorHAnsi" w:hAnsiTheme="majorHAnsi" w:cstheme="majorHAnsi"/>
          <w:b/>
        </w:rPr>
      </w:pPr>
      <w:r w:rsidRPr="0025653C">
        <w:rPr>
          <w:rFonts w:asciiTheme="majorHAnsi" w:hAnsiTheme="majorHAnsi" w:cstheme="majorHAnsi"/>
          <w:b/>
        </w:rPr>
        <w:lastRenderedPageBreak/>
        <w:t xml:space="preserve">Resultados </w:t>
      </w:r>
    </w:p>
    <w:p w14:paraId="248745C9" w14:textId="5A4D72AE" w:rsidR="001F424B" w:rsidRDefault="001F424B" w:rsidP="00076A86">
      <w:pPr>
        <w:spacing w:line="360" w:lineRule="auto"/>
        <w:jc w:val="both"/>
        <w:rPr>
          <w:rFonts w:asciiTheme="majorHAnsi" w:hAnsiTheme="majorHAnsi" w:cstheme="majorHAnsi"/>
          <w:b/>
        </w:rPr>
      </w:pPr>
      <w:r>
        <w:rPr>
          <w:rFonts w:asciiTheme="majorHAnsi" w:hAnsiTheme="majorHAnsi" w:cstheme="majorHAnsi"/>
          <w:b/>
        </w:rPr>
        <w:t>Resultados del proceso de búsqueda</w:t>
      </w:r>
    </w:p>
    <w:p w14:paraId="3685459E" w14:textId="1DE02AA3" w:rsidR="009D1DCE" w:rsidRDefault="009D1DCE" w:rsidP="00F22206">
      <w:pPr>
        <w:spacing w:line="360" w:lineRule="auto"/>
        <w:ind w:firstLine="708"/>
        <w:jc w:val="both"/>
        <w:rPr>
          <w:rFonts w:asciiTheme="majorHAnsi" w:hAnsiTheme="majorHAnsi" w:cstheme="majorHAnsi"/>
        </w:rPr>
      </w:pPr>
      <w:r w:rsidRPr="009D1DCE">
        <w:rPr>
          <w:rFonts w:asciiTheme="majorHAnsi" w:hAnsiTheme="majorHAnsi" w:cstheme="majorHAnsi"/>
        </w:rPr>
        <w:t xml:space="preserve">La búsqueda identificó un total de </w:t>
      </w:r>
      <w:r>
        <w:rPr>
          <w:rFonts w:asciiTheme="majorHAnsi" w:hAnsiTheme="majorHAnsi" w:cstheme="majorHAnsi"/>
        </w:rPr>
        <w:t>720</w:t>
      </w:r>
      <w:r w:rsidRPr="009D1DCE">
        <w:rPr>
          <w:rFonts w:asciiTheme="majorHAnsi" w:hAnsiTheme="majorHAnsi" w:cstheme="majorHAnsi"/>
        </w:rPr>
        <w:t xml:space="preserve"> referencias (PubMed: 4</w:t>
      </w:r>
      <w:r>
        <w:rPr>
          <w:rFonts w:asciiTheme="majorHAnsi" w:hAnsiTheme="majorHAnsi" w:cstheme="majorHAnsi"/>
        </w:rPr>
        <w:t xml:space="preserve">47, </w:t>
      </w:r>
      <w:r w:rsidRPr="009D1DCE">
        <w:rPr>
          <w:rFonts w:asciiTheme="majorHAnsi" w:hAnsiTheme="majorHAnsi" w:cstheme="majorHAnsi"/>
        </w:rPr>
        <w:t>Embase: 245,</w:t>
      </w:r>
      <w:r>
        <w:rPr>
          <w:rFonts w:asciiTheme="majorHAnsi" w:hAnsiTheme="majorHAnsi" w:cstheme="majorHAnsi"/>
        </w:rPr>
        <w:t xml:space="preserve"> </w:t>
      </w:r>
      <w:r w:rsidRPr="0035701A">
        <w:rPr>
          <w:rFonts w:asciiTheme="majorHAnsi" w:hAnsiTheme="majorHAnsi" w:cstheme="majorHAnsi"/>
        </w:rPr>
        <w:t>Scopus: 22, W</w:t>
      </w:r>
      <w:r>
        <w:rPr>
          <w:rFonts w:asciiTheme="majorHAnsi" w:hAnsiTheme="majorHAnsi" w:cstheme="majorHAnsi"/>
        </w:rPr>
        <w:t>eb of Science</w:t>
      </w:r>
      <w:r w:rsidRPr="0035701A">
        <w:rPr>
          <w:rFonts w:asciiTheme="majorHAnsi" w:hAnsiTheme="majorHAnsi" w:cstheme="majorHAnsi"/>
        </w:rPr>
        <w:t>: 1</w:t>
      </w:r>
      <w:r>
        <w:rPr>
          <w:rFonts w:asciiTheme="majorHAnsi" w:hAnsiTheme="majorHAnsi" w:cstheme="majorHAnsi"/>
        </w:rPr>
        <w:t xml:space="preserve"> y</w:t>
      </w:r>
      <w:r w:rsidRPr="00BA5F99">
        <w:rPr>
          <w:rFonts w:asciiTheme="majorHAnsi" w:hAnsiTheme="majorHAnsi" w:cstheme="majorHAnsi"/>
        </w:rPr>
        <w:t xml:space="preserve"> Cinahl: 5</w:t>
      </w:r>
      <w:r>
        <w:rPr>
          <w:rFonts w:asciiTheme="majorHAnsi" w:hAnsiTheme="majorHAnsi" w:cstheme="majorHAnsi"/>
        </w:rPr>
        <w:t>)</w:t>
      </w:r>
      <w:r w:rsidRPr="009D1DCE">
        <w:rPr>
          <w:rFonts w:asciiTheme="majorHAnsi" w:hAnsiTheme="majorHAnsi" w:cstheme="majorHAnsi"/>
        </w:rPr>
        <w:t xml:space="preserve">. </w:t>
      </w:r>
      <w:r>
        <w:rPr>
          <w:rFonts w:asciiTheme="majorHAnsi" w:hAnsiTheme="majorHAnsi" w:cstheme="majorHAnsi"/>
        </w:rPr>
        <w:t xml:space="preserve">Tras la </w:t>
      </w:r>
      <w:r w:rsidRPr="009D1DCE">
        <w:rPr>
          <w:rFonts w:asciiTheme="majorHAnsi" w:hAnsiTheme="majorHAnsi" w:cstheme="majorHAnsi"/>
        </w:rPr>
        <w:t xml:space="preserve">lectura de títulos y resúmenes, se seleccionó un total de 103 </w:t>
      </w:r>
      <w:r>
        <w:rPr>
          <w:rFonts w:asciiTheme="majorHAnsi" w:hAnsiTheme="majorHAnsi" w:cstheme="majorHAnsi"/>
        </w:rPr>
        <w:t xml:space="preserve">referencias </w:t>
      </w:r>
      <w:r w:rsidRPr="009D1DCE">
        <w:rPr>
          <w:rFonts w:asciiTheme="majorHAnsi" w:hAnsiTheme="majorHAnsi" w:cstheme="majorHAnsi"/>
        </w:rPr>
        <w:t xml:space="preserve">para el siguiente paso </w:t>
      </w:r>
      <w:r w:rsidR="001825EC">
        <w:rPr>
          <w:rFonts w:asciiTheme="majorHAnsi" w:hAnsiTheme="majorHAnsi" w:cstheme="majorHAnsi"/>
        </w:rPr>
        <w:t>de</w:t>
      </w:r>
      <w:r w:rsidRPr="009D1DCE">
        <w:rPr>
          <w:rFonts w:asciiTheme="majorHAnsi" w:hAnsiTheme="majorHAnsi" w:cstheme="majorHAnsi"/>
        </w:rPr>
        <w:t xml:space="preserve"> evaluación de texto completo </w:t>
      </w:r>
      <w:r w:rsidR="005475FB">
        <w:rPr>
          <w:rFonts w:asciiTheme="majorHAnsi" w:hAnsiTheme="majorHAnsi" w:cstheme="majorHAnsi"/>
        </w:rPr>
        <w:t>a fin de</w:t>
      </w:r>
      <w:r w:rsidR="005475FB" w:rsidRPr="009D1DCE">
        <w:rPr>
          <w:rFonts w:asciiTheme="majorHAnsi" w:hAnsiTheme="majorHAnsi" w:cstheme="majorHAnsi"/>
        </w:rPr>
        <w:t xml:space="preserve"> </w:t>
      </w:r>
      <w:r w:rsidRPr="009D1DCE">
        <w:rPr>
          <w:rFonts w:asciiTheme="majorHAnsi" w:hAnsiTheme="majorHAnsi" w:cstheme="majorHAnsi"/>
        </w:rPr>
        <w:t>garantizar que los artículos cumpl</w:t>
      </w:r>
      <w:r w:rsidR="001825EC">
        <w:rPr>
          <w:rFonts w:asciiTheme="majorHAnsi" w:hAnsiTheme="majorHAnsi" w:cstheme="majorHAnsi"/>
        </w:rPr>
        <w:t>í</w:t>
      </w:r>
      <w:r w:rsidRPr="009D1DCE">
        <w:rPr>
          <w:rFonts w:asciiTheme="majorHAnsi" w:hAnsiTheme="majorHAnsi" w:cstheme="majorHAnsi"/>
        </w:rPr>
        <w:t xml:space="preserve">an con todos los criterios de elegibilidad. </w:t>
      </w:r>
      <w:r w:rsidRPr="006B101C">
        <w:rPr>
          <w:rFonts w:asciiTheme="majorHAnsi" w:hAnsiTheme="majorHAnsi" w:cstheme="majorHAnsi"/>
          <w:highlight w:val="yellow"/>
        </w:rPr>
        <w:t xml:space="preserve">Finalmente, </w:t>
      </w:r>
      <w:r w:rsidR="00D9125C" w:rsidRPr="006B101C">
        <w:rPr>
          <w:rFonts w:asciiTheme="majorHAnsi" w:hAnsiTheme="majorHAnsi" w:cstheme="majorHAnsi"/>
          <w:highlight w:val="yellow"/>
        </w:rPr>
        <w:t xml:space="preserve">tras identificar un artículo por referencias cruzadas, </w:t>
      </w:r>
      <w:r w:rsidRPr="006B101C">
        <w:rPr>
          <w:rFonts w:asciiTheme="majorHAnsi" w:hAnsiTheme="majorHAnsi" w:cstheme="majorHAnsi"/>
          <w:highlight w:val="yellow"/>
        </w:rPr>
        <w:t xml:space="preserve">en esta revisión se incluyeron </w:t>
      </w:r>
      <w:r w:rsidR="001045F6" w:rsidRPr="006B101C">
        <w:rPr>
          <w:rFonts w:asciiTheme="majorHAnsi" w:hAnsiTheme="majorHAnsi" w:cstheme="majorHAnsi"/>
          <w:highlight w:val="yellow"/>
        </w:rPr>
        <w:t>1</w:t>
      </w:r>
      <w:r w:rsidR="00C9644E" w:rsidRPr="006B101C">
        <w:rPr>
          <w:rFonts w:asciiTheme="majorHAnsi" w:hAnsiTheme="majorHAnsi" w:cstheme="majorHAnsi"/>
          <w:highlight w:val="yellow"/>
        </w:rPr>
        <w:t>1</w:t>
      </w:r>
      <w:r w:rsidR="001045F6" w:rsidRPr="006B101C">
        <w:rPr>
          <w:rFonts w:asciiTheme="majorHAnsi" w:hAnsiTheme="majorHAnsi" w:cstheme="majorHAnsi"/>
          <w:highlight w:val="yellow"/>
        </w:rPr>
        <w:t xml:space="preserve"> </w:t>
      </w:r>
      <w:r w:rsidRPr="006B101C">
        <w:rPr>
          <w:rFonts w:asciiTheme="majorHAnsi" w:hAnsiTheme="majorHAnsi" w:cstheme="majorHAnsi"/>
          <w:highlight w:val="yellow"/>
        </w:rPr>
        <w:t>artículos</w:t>
      </w:r>
      <w:r w:rsidR="00CC2B9E" w:rsidRPr="006B101C">
        <w:rPr>
          <w:rFonts w:asciiTheme="majorHAnsi" w:hAnsiTheme="majorHAnsi" w:cstheme="majorHAnsi"/>
          <w:highlight w:val="yellow"/>
        </w:rPr>
        <w:t>:</w:t>
      </w:r>
      <w:r w:rsidRPr="006B101C">
        <w:rPr>
          <w:rFonts w:asciiTheme="majorHAnsi" w:hAnsiTheme="majorHAnsi" w:cstheme="majorHAnsi"/>
          <w:highlight w:val="yellow"/>
        </w:rPr>
        <w:t xml:space="preserve"> </w:t>
      </w:r>
      <w:r w:rsidR="001045F6" w:rsidRPr="006B101C">
        <w:rPr>
          <w:rFonts w:asciiTheme="majorHAnsi" w:hAnsiTheme="majorHAnsi" w:cstheme="majorHAnsi"/>
          <w:highlight w:val="yellow"/>
        </w:rPr>
        <w:t xml:space="preserve">8 </w:t>
      </w:r>
      <w:r w:rsidRPr="006B101C">
        <w:rPr>
          <w:rFonts w:asciiTheme="majorHAnsi" w:hAnsiTheme="majorHAnsi" w:cstheme="majorHAnsi"/>
          <w:highlight w:val="yellow"/>
        </w:rPr>
        <w:t xml:space="preserve">sobre comparación de la efectividad y </w:t>
      </w:r>
      <w:r w:rsidR="00C9644E" w:rsidRPr="006B101C">
        <w:rPr>
          <w:rFonts w:asciiTheme="majorHAnsi" w:hAnsiTheme="majorHAnsi" w:cstheme="majorHAnsi"/>
          <w:highlight w:val="yellow"/>
        </w:rPr>
        <w:t xml:space="preserve">3 </w:t>
      </w:r>
      <w:r w:rsidRPr="006B101C">
        <w:rPr>
          <w:rFonts w:asciiTheme="majorHAnsi" w:hAnsiTheme="majorHAnsi" w:cstheme="majorHAnsi"/>
          <w:highlight w:val="yellow"/>
        </w:rPr>
        <w:t>sobre coste</w:t>
      </w:r>
      <w:r w:rsidR="00607920" w:rsidRPr="006B101C">
        <w:rPr>
          <w:rFonts w:asciiTheme="majorHAnsi" w:hAnsiTheme="majorHAnsi" w:cstheme="majorHAnsi"/>
          <w:highlight w:val="yellow"/>
        </w:rPr>
        <w:t xml:space="preserve"> (Figura 1)</w:t>
      </w:r>
      <w:r w:rsidRPr="006B101C">
        <w:rPr>
          <w:rFonts w:asciiTheme="majorHAnsi" w:hAnsiTheme="majorHAnsi" w:cstheme="majorHAnsi"/>
          <w:highlight w:val="yellow"/>
        </w:rPr>
        <w:t>.</w:t>
      </w:r>
      <w:r w:rsidR="00C90235">
        <w:rPr>
          <w:rFonts w:asciiTheme="majorHAnsi" w:hAnsiTheme="majorHAnsi" w:cstheme="majorHAnsi"/>
        </w:rPr>
        <w:t xml:space="preserve"> </w:t>
      </w:r>
    </w:p>
    <w:p w14:paraId="683569EE" w14:textId="1B8AE94F" w:rsidR="001F424B" w:rsidRPr="0025653C" w:rsidRDefault="001F424B" w:rsidP="00076A86">
      <w:pPr>
        <w:spacing w:line="360" w:lineRule="auto"/>
        <w:jc w:val="both"/>
        <w:rPr>
          <w:rFonts w:asciiTheme="majorHAnsi" w:hAnsiTheme="majorHAnsi" w:cstheme="majorHAnsi"/>
          <w:b/>
        </w:rPr>
      </w:pPr>
      <w:r>
        <w:rPr>
          <w:rFonts w:asciiTheme="majorHAnsi" w:hAnsiTheme="majorHAnsi" w:cstheme="majorHAnsi"/>
          <w:b/>
        </w:rPr>
        <w:t>Efectividad comparada.</w:t>
      </w:r>
    </w:p>
    <w:p w14:paraId="30B07BC0" w14:textId="61751C12" w:rsidR="00216107" w:rsidRPr="0025653C" w:rsidRDefault="00BD10E3" w:rsidP="29201C76">
      <w:pPr>
        <w:spacing w:line="360" w:lineRule="auto"/>
        <w:ind w:firstLine="708"/>
        <w:jc w:val="both"/>
        <w:rPr>
          <w:rFonts w:asciiTheme="majorHAnsi" w:hAnsiTheme="majorHAnsi" w:cstheme="majorBidi"/>
        </w:rPr>
      </w:pPr>
      <w:r w:rsidRPr="006B101C">
        <w:rPr>
          <w:rFonts w:asciiTheme="majorHAnsi" w:hAnsiTheme="majorHAnsi" w:cstheme="majorHAnsi"/>
          <w:highlight w:val="yellow"/>
        </w:rPr>
        <w:t>T</w:t>
      </w:r>
      <w:r w:rsidR="00C9644E" w:rsidRPr="006B101C">
        <w:rPr>
          <w:rFonts w:asciiTheme="majorHAnsi" w:hAnsiTheme="majorHAnsi" w:cstheme="majorHAnsi"/>
          <w:highlight w:val="yellow"/>
        </w:rPr>
        <w:t xml:space="preserve">odos los estudios </w:t>
      </w:r>
      <w:r w:rsidRPr="006B101C">
        <w:rPr>
          <w:rFonts w:asciiTheme="majorHAnsi" w:hAnsiTheme="majorHAnsi" w:cstheme="majorHAnsi"/>
          <w:highlight w:val="yellow"/>
        </w:rPr>
        <w:t xml:space="preserve">incluidos </w:t>
      </w:r>
      <w:r w:rsidR="00C9644E" w:rsidRPr="006B101C">
        <w:rPr>
          <w:rFonts w:asciiTheme="majorHAnsi" w:hAnsiTheme="majorHAnsi" w:cstheme="majorHAnsi"/>
          <w:highlight w:val="yellow"/>
        </w:rPr>
        <w:t xml:space="preserve">sobre efectividad han sido realizados en los Estados Unidos. </w:t>
      </w:r>
      <w:r w:rsidR="29201C76" w:rsidRPr="006B101C">
        <w:rPr>
          <w:rFonts w:asciiTheme="majorHAnsi" w:hAnsiTheme="majorHAnsi" w:cstheme="majorBidi"/>
          <w:highlight w:val="yellow"/>
        </w:rPr>
        <w:t>Tres artículos</w:t>
      </w:r>
      <w:r w:rsidR="29201C76" w:rsidRPr="29201C76">
        <w:rPr>
          <w:rFonts w:asciiTheme="majorHAnsi" w:hAnsiTheme="majorHAnsi" w:cstheme="majorBidi"/>
        </w:rPr>
        <w:t xml:space="preserve"> compararon la efectividad de las organizaciones según su lucratividad, e incluyeron pacientes de la cohorte del registro renal de Estados Unidos de Medicare que recibieron diálisis en los años 2003</w:t>
      </w:r>
      <w:r w:rsidR="00660E68" w:rsidRPr="29201C76">
        <w:rPr>
          <w:rFonts w:asciiTheme="majorHAnsi" w:hAnsiTheme="majorHAnsi" w:cstheme="majorBidi"/>
        </w:rPr>
        <w:fldChar w:fldCharType="begin" w:fldLock="1"/>
      </w:r>
      <w:r w:rsidR="00B57DD4">
        <w:rPr>
          <w:rFonts w:asciiTheme="majorHAnsi" w:hAnsiTheme="majorHAnsi" w:cstheme="majorBidi"/>
        </w:rPr>
        <w:instrText>ADDIN CSL_CITATION {"citationItems":[{"id":"ITEM-1","itemData":{"DOI":"10.1111/j.1475-6773.2010.01103.x","ISSN":"1475-6773 (Electronic)","PMID":"20403066","abstract":"OBJECTIVE: To determine whether profit status is associated with differences in hospital days per patient, an outcome that may also be influenced by provider financial goals. DATA SOURCES: United States Renal Data System Standard Analysis Files and Centers for Medicare and Medicaid Services cost reports. DESIGN: We compared the number of hospital days per patient per year across for-profit and nonprofit dialysis facilities during 2003. To address possible referral bias in the assignment of patients to dialysis facilities, we used an instrumental variable regression method and adjusted for selected patient-specific factors, facility characteristics such as size and chain affiliation, as well as metrics of market competition. DATA EXTRACTION METHODS: All patients who received in-center hemodialysis at any time in 2003 and for whom Medicare was the primary payer were included (N=170,130; roughly two-thirds of the U.S. hemodialysis population). Patients dialyzed at hospital-based facilities and patients with no dialysis facilities within 30 miles of their residence were excluded. RESULTS: Overall, adjusted hospital days per patient were 17+/-5 percent lower in nonprofit facilities. The difference between nonprofit and for-profit facilities persisted with the correction for referral bias. There was no association between hospital days per patient per year and chain affiliation, but larger facilities had inferior outcomes (facilities with 73 or more patients had a 14+/-1.7 percent increase in hospital days relative to facilities with 35 or fewer patients). Differences in outcomes among for-profit and nonprofit facilities translated to 1,600 patient-years in hospital that could be averted each year if the hospital utilization rates in for-profit facilities were to decrease to the level of their nonprofit counterparts. CONCLUSIONS: Hospital days per patient-year were statistically and clinically significantly lower among nonprofit dialysis providers. These findings suggest that the indirect incentives in Medicare's current payment system may provide insufficient incentive for for-profit providers to achieve optimal patient outcomes.","author":[{"dropping-particle":"","family":"Lee","given":"Donald K K","non-dropping-particle":"","parse-names":false,"suffix":""},{"dropping-particle":"","family":"Chertow","given":"Glenn M","non-dropping-particle":"","parse-names":false,"suffix":""},{"dropping-particle":"","family":"Zenios","given":"Stefanos A","non-dropping-particle":"","parse-names":false,"suffix":""}],"container-title":"Health services research","id":"ITEM-1","issue":"3","issued":{"date-parts":[["2010"]]},"language":"eng","page":"633-646","publisher-place":"United States","title":"Reexploring differences among for-profit and nonprofit dialysis providers.","type":"article-journal","volume":"45"},"uris":["http://www.mendeley.com/documents/?uuid=122a06c5-9a8a-4b41-9dd6-bbb981ba20a6"]}],"mendeley":{"formattedCitation":"&lt;sup&gt;18&lt;/sup&gt;","plainTextFormattedCitation":"18","previouslyFormattedCitation":"&lt;sup&gt;18&lt;/sup&gt;"},"properties":{"noteIndex":0},"schema":"https://github.com/citation-style-language/schema/raw/master/csl-citation.json"}</w:instrText>
      </w:r>
      <w:r w:rsidR="00660E68" w:rsidRPr="29201C76">
        <w:rPr>
          <w:rFonts w:asciiTheme="majorHAnsi" w:hAnsiTheme="majorHAnsi" w:cstheme="majorBidi"/>
        </w:rPr>
        <w:fldChar w:fldCharType="separate"/>
      </w:r>
      <w:r w:rsidR="00453869" w:rsidRPr="00453869">
        <w:rPr>
          <w:rFonts w:asciiTheme="majorHAnsi" w:hAnsiTheme="majorHAnsi" w:cstheme="majorBidi"/>
          <w:noProof/>
          <w:vertAlign w:val="superscript"/>
        </w:rPr>
        <w:t>18</w:t>
      </w:r>
      <w:r w:rsidR="00660E68" w:rsidRPr="29201C76">
        <w:rPr>
          <w:rFonts w:asciiTheme="majorHAnsi" w:hAnsiTheme="majorHAnsi" w:cstheme="majorBidi"/>
        </w:rPr>
        <w:fldChar w:fldCharType="end"/>
      </w:r>
      <w:r w:rsidR="29201C76" w:rsidRPr="29201C76">
        <w:rPr>
          <w:rFonts w:asciiTheme="majorHAnsi" w:hAnsiTheme="majorHAnsi" w:cstheme="majorBidi"/>
        </w:rPr>
        <w:t>, 2005-2008</w:t>
      </w:r>
      <w:r w:rsidR="00660E68" w:rsidRPr="29201C76">
        <w:rPr>
          <w:rFonts w:asciiTheme="majorHAnsi" w:hAnsiTheme="majorHAnsi" w:cstheme="majorBidi"/>
        </w:rPr>
        <w:fldChar w:fldCharType="begin" w:fldLock="1"/>
      </w:r>
      <w:r w:rsidR="00B57DD4">
        <w:rPr>
          <w:rFonts w:asciiTheme="majorHAnsi" w:hAnsiTheme="majorHAnsi" w:cstheme="majorBidi"/>
        </w:rPr>
        <w:instrText>ADDIN CSL_CITATION {"citationItems":[{"id":"ITEM-1","itemData":{"DOI":"10.2215/CJN.04200413","ISSN":"15559041","abstract":"Background and objectives The vast majority of US dialysis facilities are for-profit and profit status has been associated with processes of care and outcomes in patients on dialysis. This study examined whether dialysis facility profit status was associated with the rate of hospitalization in patients starting dialysis. Design, setting, participants, &amp; methods This was a retrospective cohort study of Medicare beneficiaries starting dialysis between 2005 and 2008 using data from the US Renal Data System. All-cause hospitalization was examined and compared between for-profit and nonprofit dialysis facilities through 2009 using Poisson regression. Companion analyses of cause-specific hospitalization that are likely to be influenced by dialysis facility practices including hospitalizations for heart failure and volume overload, access complications, or hyperkalemia were conducted. Results The cohort included 150,642 patients. Of these, 12,985 (9%) were receiving care in nonprofit dialysis facilities. In adjusted models, patients receiving hemodialysis in for-profit facilities had a 15% (95% confidence interval [95% CI], 13% to 18%) higher relative rate of hospitalization compared with those in nonprofit facilities. Among patients receiving peritoneal dialysis, the rate of hospitalization in for-profit versus nonprofit facilities was not significantly different (relative rate, 1.07; 95% CI, 0.97 to 1.17). Patients on hemodialysis receiving care in for-profit dialysis facilities had a 37% (95% CI, 31% to 44%) higher rate of hospitalization for heart failure or volume overload and a 15% (95% CI, 11% to 20%) higher rate of hospitalization for vascular access complications. Conclusions Hospitalization rates were significantly higher for patients receiving hemodialysis in for-profit compared with nonprofit dialysis facilities. © 2014 by the American Society of Nephrology.","author":[{"dropping-particle":"","family":"Dalrymple","given":"Lorien S.","non-dropping-particle":"","parse-names":false,"suffix":""},{"dropping-particle":"","family":"Johansen","given":"Kirsten L.","non-dropping-particle":"","parse-names":false,"suffix":""},{"dropping-particle":"","family":"Romano","given":"Patrick S.","non-dropping-particle":"","parse-names":false,"suffix":""},{"dropping-particle":"","family":"Chertow","given":"Glenn M.","non-dropping-particle":"","parse-names":false,"suffix":""},{"dropping-particle":"","family":"Mu","given":"Yi","non-dropping-particle":"","parse-names":false,"suffix":""},{"dropping-particle":"","family":"Ishida","given":"Julie H.","non-dropping-particle":"","parse-names":false,"suffix":""},{"dropping-particle":"","family":"Grimes","given":"Barbara","non-dropping-particle":"","parse-names":false,"suffix":""},{"dropping-particle":"","family":"Kaysen","given":"George A.","non-dropping-particle":"","parse-names":false,"suffix":""},{"dropping-particle":"V.","family":"Nguyen","given":"Danh","non-dropping-particle":"","parse-names":false,"suffix":""}],"container-title":"Clinical Journal of the American Society of Nephrology","id":"ITEM-1","issue":"1","issued":{"date-parts":[["2014"]]},"page":"73-81","title":"Comparison of hospitalization rates among for-profit and nonprofit dialysis facilities","type":"article-journal","volume":"9"},"uris":["http://www.mendeley.com/documents/?uuid=364ad048-9874-4493-ad83-a9af7516591a"]}],"mendeley":{"formattedCitation":"&lt;sup&gt;19&lt;/sup&gt;","plainTextFormattedCitation":"19","previouslyFormattedCitation":"&lt;sup&gt;19&lt;/sup&gt;"},"properties":{"noteIndex":0},"schema":"https://github.com/citation-style-language/schema/raw/master/csl-citation.json"}</w:instrText>
      </w:r>
      <w:r w:rsidR="00660E68" w:rsidRPr="29201C76">
        <w:rPr>
          <w:rFonts w:asciiTheme="majorHAnsi" w:hAnsiTheme="majorHAnsi" w:cstheme="majorBidi"/>
        </w:rPr>
        <w:fldChar w:fldCharType="separate"/>
      </w:r>
      <w:r w:rsidR="00453869" w:rsidRPr="00453869">
        <w:rPr>
          <w:rFonts w:asciiTheme="majorHAnsi" w:hAnsiTheme="majorHAnsi" w:cstheme="majorBidi"/>
          <w:noProof/>
          <w:vertAlign w:val="superscript"/>
        </w:rPr>
        <w:t>19</w:t>
      </w:r>
      <w:r w:rsidR="00660E68" w:rsidRPr="29201C76">
        <w:rPr>
          <w:rFonts w:asciiTheme="majorHAnsi" w:hAnsiTheme="majorHAnsi" w:cstheme="majorBidi"/>
        </w:rPr>
        <w:fldChar w:fldCharType="end"/>
      </w:r>
      <w:r w:rsidR="29201C76" w:rsidRPr="29201C76">
        <w:rPr>
          <w:rFonts w:asciiTheme="majorHAnsi" w:hAnsiTheme="majorHAnsi" w:cstheme="majorBidi"/>
        </w:rPr>
        <w:t xml:space="preserve"> y 2010</w:t>
      </w:r>
      <w:r w:rsidR="00660E68" w:rsidRPr="29201C76">
        <w:rPr>
          <w:rFonts w:asciiTheme="majorHAnsi" w:hAnsiTheme="majorHAnsi" w:cstheme="majorBidi"/>
        </w:rPr>
        <w:fldChar w:fldCharType="begin" w:fldLock="1"/>
      </w:r>
      <w:r w:rsidR="00B57DD4">
        <w:rPr>
          <w:rFonts w:asciiTheme="majorHAnsi" w:hAnsiTheme="majorHAnsi" w:cstheme="majorBidi"/>
        </w:rPr>
        <w:instrText>ADDIN CSL_CITATION {"citationItems":[{"id":"ITEM-1","itemData":{"DOI":"10.1186/1471-2369-15-121","ISSN":"14712369","abstract":"Background: Patient outcomes have been compared on the basis of the profit status of the dialysis provider (for-profit [FP] and not-for-profit [NFP]). In its annual report, United States Renal Data System (USRDS) provides dialysis provider level death and hospitalization rates adjusted by age, race, sex, and dialysis vintage; however, recent analyses have suggested that other variables impact these outcomes. Our current analysis of hospitalization and mortality rates of hemodialysis patients included adjustments for those used by the USRDS plus other potential confounders: facility geography (end-stage renal disease network), length of facility ownership, vascular access at first dialysis session, and pre-dialysis nephrology care. Methods. We performed a provider level, retrospective analysis of 2010 hospitalization and mortality rates among US hemodialysis patients exclusively using USRDS sources. Crude and adjusted incidence rate ratios (IRRs) were calculated using the 4 standard USRDS patient factors plus the 4 potential confounders noted above. Results: The analysis included 366,011 and 34,029 patients treated at FP and NFP facilities, respectively. There were statistical differences between the cohorts in geography, facility length of ownership, vascular access, and pre-dialysis nephrology care (p &lt; 0.001), as well as age (p &lt; 0.01), race (p &lt; 0.001), and vintage (p &lt; 0.001), but not sex (p = 0.12). When using standard USRDS adjustments, hospitalization and mortality rates for FP and NFP facilities were most disparate, favoring the NFP facilities. Rates were most similar between providers when adjustments were made for each of the 8 factors. With the FP IRR as the referent (1.0), the hospitalization IRR for NFP facilities was 1.00 (95% confidence interval [CI] 0.97-1.02; p = 0.69), while the NFP mortality IRR was 1.01 (95% CI 0.97-1.05; p = 0.64). Conclusions: These data suggest there is no difference in mortality and hospitalization rates between FP and NFP dialysis clinics when appropriate statistical adjustments are made. © 2014 Brunelli et al.; licensee BioMed Central Ltd.","author":[{"dropping-particle":"","family":"Brunelli","given":"Steven M.","non-dropping-particle":"","parse-names":false,"suffix":""},{"dropping-particle":"","family":"Wilson","given":"Steven","non-dropping-particle":"","parse-names":false,"suffix":""},{"dropping-particle":"","family":"Krishnan","given":"Mahesh","non-dropping-particle":"","parse-names":false,"suffix":""},{"dropping-particle":"","family":"Nissenson","given":"Allen R.","non-dropping-particle":"","parse-names":false,"suffix":""}],"container-title":"BMC Nephrology","id":"ITEM-1","issue":"1","issued":{"date-parts":[["2014"]]},"page":"1-8","title":"Confounders of mortality and hospitalization rate calculations for profit and nonprofit dialysis facilities: Analytic augmentation","type":"article-journal","volume":"15"},"uris":["http://www.mendeley.com/documents/?uuid=d5bee7b0-742f-486e-82e6-0da5951a823d"]}],"mendeley":{"formattedCitation":"&lt;sup&gt;20&lt;/sup&gt;","plainTextFormattedCitation":"20","previouslyFormattedCitation":"&lt;sup&gt;20&lt;/sup&gt;"},"properties":{"noteIndex":0},"schema":"https://github.com/citation-style-language/schema/raw/master/csl-citation.json"}</w:instrText>
      </w:r>
      <w:r w:rsidR="00660E68" w:rsidRPr="29201C76">
        <w:rPr>
          <w:rFonts w:asciiTheme="majorHAnsi" w:hAnsiTheme="majorHAnsi" w:cstheme="majorBidi"/>
        </w:rPr>
        <w:fldChar w:fldCharType="separate"/>
      </w:r>
      <w:r w:rsidR="00453869" w:rsidRPr="00453869">
        <w:rPr>
          <w:rFonts w:asciiTheme="majorHAnsi" w:hAnsiTheme="majorHAnsi" w:cstheme="majorBidi"/>
          <w:noProof/>
          <w:vertAlign w:val="superscript"/>
        </w:rPr>
        <w:t>20</w:t>
      </w:r>
      <w:r w:rsidR="00660E68" w:rsidRPr="29201C76">
        <w:rPr>
          <w:rFonts w:asciiTheme="majorHAnsi" w:hAnsiTheme="majorHAnsi" w:cstheme="majorBidi"/>
        </w:rPr>
        <w:fldChar w:fldCharType="end"/>
      </w:r>
      <w:r w:rsidR="29201C76" w:rsidRPr="29201C76">
        <w:rPr>
          <w:rFonts w:asciiTheme="majorHAnsi" w:hAnsiTheme="majorHAnsi" w:cstheme="majorBidi"/>
        </w:rPr>
        <w:t>. El número de pacientes fue de 170.130</w:t>
      </w:r>
      <w:r w:rsidR="00660E68" w:rsidRPr="29201C76">
        <w:rPr>
          <w:rFonts w:asciiTheme="majorHAnsi" w:hAnsiTheme="majorHAnsi" w:cstheme="majorBidi"/>
        </w:rPr>
        <w:fldChar w:fldCharType="begin" w:fldLock="1"/>
      </w:r>
      <w:r w:rsidR="00B57DD4">
        <w:rPr>
          <w:rFonts w:asciiTheme="majorHAnsi" w:hAnsiTheme="majorHAnsi" w:cstheme="majorBidi"/>
        </w:rPr>
        <w:instrText>ADDIN CSL_CITATION {"citationItems":[{"id":"ITEM-1","itemData":{"DOI":"10.1111/j.1475-6773.2010.01103.x","ISSN":"1475-6773 (Electronic)","PMID":"20403066","abstract":"OBJECTIVE: To determine whether profit status is associated with differences in hospital days per patient, an outcome that may also be influenced by provider financial goals. DATA SOURCES: United States Renal Data System Standard Analysis Files and Centers for Medicare and Medicaid Services cost reports. DESIGN: We compared the number of hospital days per patient per year across for-profit and nonprofit dialysis facilities during 2003. To address possible referral bias in the assignment of patients to dialysis facilities, we used an instrumental variable regression method and adjusted for selected patient-specific factors, facility characteristics such as size and chain affiliation, as well as metrics of market competition. DATA EXTRACTION METHODS: All patients who received in-center hemodialysis at any time in 2003 and for whom Medicare was the primary payer were included (N=170,130; roughly two-thirds of the U.S. hemodialysis population). Patients dialyzed at hospital-based facilities and patients with no dialysis facilities within 30 miles of their residence were excluded. RESULTS: Overall, adjusted hospital days per patient were 17+/-5 percent lower in nonprofit facilities. The difference between nonprofit and for-profit facilities persisted with the correction for referral bias. There was no association between hospital days per patient per year and chain affiliation, but larger facilities had inferior outcomes (facilities with 73 or more patients had a 14+/-1.7 percent increase in hospital days relative to facilities with 35 or fewer patients). Differences in outcomes among for-profit and nonprofit facilities translated to 1,600 patient-years in hospital that could be averted each year if the hospital utilization rates in for-profit facilities were to decrease to the level of their nonprofit counterparts. CONCLUSIONS: Hospital days per patient-year were statistically and clinically significantly lower among nonprofit dialysis providers. These findings suggest that the indirect incentives in Medicare's current payment system may provide insufficient incentive for for-profit providers to achieve optimal patient outcomes.","author":[{"dropping-particle":"","family":"Lee","given":"Donald K K","non-dropping-particle":"","parse-names":false,"suffix":""},{"dropping-particle":"","family":"Chertow","given":"Glenn M","non-dropping-particle":"","parse-names":false,"suffix":""},{"dropping-particle":"","family":"Zenios","given":"Stefanos A","non-dropping-particle":"","parse-names":false,"suffix":""}],"container-title":"Health services research","id":"ITEM-1","issue":"3","issued":{"date-parts":[["2010"]]},"language":"eng","page":"633-646","publisher-place":"United States","title":"Reexploring differences among for-profit and nonprofit dialysis providers.","type":"article-journal","volume":"45"},"uris":["http://www.mendeley.com/documents/?uuid=122a06c5-9a8a-4b41-9dd6-bbb981ba20a6"]}],"mendeley":{"formattedCitation":"&lt;sup&gt;18&lt;/sup&gt;","plainTextFormattedCitation":"18","previouslyFormattedCitation":"&lt;sup&gt;18&lt;/sup&gt;"},"properties":{"noteIndex":0},"schema":"https://github.com/citation-style-language/schema/raw/master/csl-citation.json"}</w:instrText>
      </w:r>
      <w:r w:rsidR="00660E68" w:rsidRPr="29201C76">
        <w:rPr>
          <w:rFonts w:asciiTheme="majorHAnsi" w:hAnsiTheme="majorHAnsi" w:cstheme="majorBidi"/>
        </w:rPr>
        <w:fldChar w:fldCharType="separate"/>
      </w:r>
      <w:r w:rsidR="00453869" w:rsidRPr="00453869">
        <w:rPr>
          <w:rFonts w:asciiTheme="majorHAnsi" w:hAnsiTheme="majorHAnsi" w:cstheme="majorBidi"/>
          <w:noProof/>
          <w:vertAlign w:val="superscript"/>
        </w:rPr>
        <w:t>18</w:t>
      </w:r>
      <w:r w:rsidR="00660E68" w:rsidRPr="29201C76">
        <w:rPr>
          <w:rFonts w:asciiTheme="majorHAnsi" w:hAnsiTheme="majorHAnsi" w:cstheme="majorBidi"/>
        </w:rPr>
        <w:fldChar w:fldCharType="end"/>
      </w:r>
      <w:r w:rsidR="29201C76" w:rsidRPr="29201C76">
        <w:rPr>
          <w:rFonts w:asciiTheme="majorHAnsi" w:hAnsiTheme="majorHAnsi" w:cstheme="majorBidi"/>
        </w:rPr>
        <w:t>, 150.642</w:t>
      </w:r>
      <w:r w:rsidR="00660E68" w:rsidRPr="29201C76">
        <w:rPr>
          <w:rFonts w:asciiTheme="majorHAnsi" w:hAnsiTheme="majorHAnsi" w:cstheme="majorBidi"/>
        </w:rPr>
        <w:fldChar w:fldCharType="begin" w:fldLock="1"/>
      </w:r>
      <w:r w:rsidR="00B57DD4">
        <w:rPr>
          <w:rFonts w:asciiTheme="majorHAnsi" w:hAnsiTheme="majorHAnsi" w:cstheme="majorBidi"/>
        </w:rPr>
        <w:instrText>ADDIN CSL_CITATION {"citationItems":[{"id":"ITEM-1","itemData":{"DOI":"10.2215/CJN.04200413","ISSN":"15559041","abstract":"Background and objectives The vast majority of US dialysis facilities are for-profit and profit status has been associated with processes of care and outcomes in patients on dialysis. This study examined whether dialysis facility profit status was associated with the rate of hospitalization in patients starting dialysis. Design, setting, participants, &amp; methods This was a retrospective cohort study of Medicare beneficiaries starting dialysis between 2005 and 2008 using data from the US Renal Data System. All-cause hospitalization was examined and compared between for-profit and nonprofit dialysis facilities through 2009 using Poisson regression. Companion analyses of cause-specific hospitalization that are likely to be influenced by dialysis facility practices including hospitalizations for heart failure and volume overload, access complications, or hyperkalemia were conducted. Results The cohort included 150,642 patients. Of these, 12,985 (9%) were receiving care in nonprofit dialysis facilities. In adjusted models, patients receiving hemodialysis in for-profit facilities had a 15% (95% confidence interval [95% CI], 13% to 18%) higher relative rate of hospitalization compared with those in nonprofit facilities. Among patients receiving peritoneal dialysis, the rate of hospitalization in for-profit versus nonprofit facilities was not significantly different (relative rate, 1.07; 95% CI, 0.97 to 1.17). Patients on hemodialysis receiving care in for-profit dialysis facilities had a 37% (95% CI, 31% to 44%) higher rate of hospitalization for heart failure or volume overload and a 15% (95% CI, 11% to 20%) higher rate of hospitalization for vascular access complications. Conclusions Hospitalization rates were significantly higher for patients receiving hemodialysis in for-profit compared with nonprofit dialysis facilities. © 2014 by the American Society of Nephrology.","author":[{"dropping-particle":"","family":"Dalrymple","given":"Lorien S.","non-dropping-particle":"","parse-names":false,"suffix":""},{"dropping-particle":"","family":"Johansen","given":"Kirsten L.","non-dropping-particle":"","parse-names":false,"suffix":""},{"dropping-particle":"","family":"Romano","given":"Patrick S.","non-dropping-particle":"","parse-names":false,"suffix":""},{"dropping-particle":"","family":"Chertow","given":"Glenn M.","non-dropping-particle":"","parse-names":false,"suffix":""},{"dropping-particle":"","family":"Mu","given":"Yi","non-dropping-particle":"","parse-names":false,"suffix":""},{"dropping-particle":"","family":"Ishida","given":"Julie H.","non-dropping-particle":"","parse-names":false,"suffix":""},{"dropping-particle":"","family":"Grimes","given":"Barbara","non-dropping-particle":"","parse-names":false,"suffix":""},{"dropping-particle":"","family":"Kaysen","given":"George A.","non-dropping-particle":"","parse-names":false,"suffix":""},{"dropping-particle":"V.","family":"Nguyen","given":"Danh","non-dropping-particle":"","parse-names":false,"suffix":""}],"container-title":"Clinical Journal of the American Society of Nephrology","id":"ITEM-1","issue":"1","issued":{"date-parts":[["2014"]]},"page":"73-81","title":"Comparison of hospitalization rates among for-profit and nonprofit dialysis facilities","type":"article-journal","volume":"9"},"uris":["http://www.mendeley.com/documents/?uuid=364ad048-9874-4493-ad83-a9af7516591a"]}],"mendeley":{"formattedCitation":"&lt;sup&gt;19&lt;/sup&gt;","plainTextFormattedCitation":"19","previouslyFormattedCitation":"&lt;sup&gt;19&lt;/sup&gt;"},"properties":{"noteIndex":0},"schema":"https://github.com/citation-style-language/schema/raw/master/csl-citation.json"}</w:instrText>
      </w:r>
      <w:r w:rsidR="00660E68" w:rsidRPr="29201C76">
        <w:rPr>
          <w:rFonts w:asciiTheme="majorHAnsi" w:hAnsiTheme="majorHAnsi" w:cstheme="majorBidi"/>
        </w:rPr>
        <w:fldChar w:fldCharType="separate"/>
      </w:r>
      <w:r w:rsidR="00453869" w:rsidRPr="00453869">
        <w:rPr>
          <w:rFonts w:asciiTheme="majorHAnsi" w:hAnsiTheme="majorHAnsi" w:cstheme="majorBidi"/>
          <w:noProof/>
          <w:vertAlign w:val="superscript"/>
        </w:rPr>
        <w:t>19</w:t>
      </w:r>
      <w:r w:rsidR="00660E68" w:rsidRPr="29201C76">
        <w:rPr>
          <w:rFonts w:asciiTheme="majorHAnsi" w:hAnsiTheme="majorHAnsi" w:cstheme="majorBidi"/>
        </w:rPr>
        <w:fldChar w:fldCharType="end"/>
      </w:r>
      <w:r w:rsidR="29201C76" w:rsidRPr="29201C76">
        <w:rPr>
          <w:rFonts w:asciiTheme="majorHAnsi" w:hAnsiTheme="majorHAnsi" w:cstheme="majorBidi"/>
        </w:rPr>
        <w:t xml:space="preserve"> y 366,011</w:t>
      </w:r>
      <w:r w:rsidR="00660E68" w:rsidRPr="29201C76">
        <w:rPr>
          <w:rFonts w:asciiTheme="majorHAnsi" w:hAnsiTheme="majorHAnsi" w:cstheme="majorBidi"/>
        </w:rPr>
        <w:fldChar w:fldCharType="begin" w:fldLock="1"/>
      </w:r>
      <w:r w:rsidR="00B57DD4">
        <w:rPr>
          <w:rFonts w:asciiTheme="majorHAnsi" w:hAnsiTheme="majorHAnsi" w:cstheme="majorBidi"/>
        </w:rPr>
        <w:instrText>ADDIN CSL_CITATION {"citationItems":[{"id":"ITEM-1","itemData":{"DOI":"10.1186/1471-2369-15-121","ISSN":"14712369","abstract":"Background: Patient outcomes have been compared on the basis of the profit status of the dialysis provider (for-profit [FP] and not-for-profit [NFP]). In its annual report, United States Renal Data System (USRDS) provides dialysis provider level death and hospitalization rates adjusted by age, race, sex, and dialysis vintage; however, recent analyses have suggested that other variables impact these outcomes. Our current analysis of hospitalization and mortality rates of hemodialysis patients included adjustments for those used by the USRDS plus other potential confounders: facility geography (end-stage renal disease network), length of facility ownership, vascular access at first dialysis session, and pre-dialysis nephrology care. Methods. We performed a provider level, retrospective analysis of 2010 hospitalization and mortality rates among US hemodialysis patients exclusively using USRDS sources. Crude and adjusted incidence rate ratios (IRRs) were calculated using the 4 standard USRDS patient factors plus the 4 potential confounders noted above. Results: The analysis included 366,011 and 34,029 patients treated at FP and NFP facilities, respectively. There were statistical differences between the cohorts in geography, facility length of ownership, vascular access, and pre-dialysis nephrology care (p &lt; 0.001), as well as age (p &lt; 0.01), race (p &lt; 0.001), and vintage (p &lt; 0.001), but not sex (p = 0.12). When using standard USRDS adjustments, hospitalization and mortality rates for FP and NFP facilities were most disparate, favoring the NFP facilities. Rates were most similar between providers when adjustments were made for each of the 8 factors. With the FP IRR as the referent (1.0), the hospitalization IRR for NFP facilities was 1.00 (95% confidence interval [CI] 0.97-1.02; p = 0.69), while the NFP mortality IRR was 1.01 (95% CI 0.97-1.05; p = 0.64). Conclusions: These data suggest there is no difference in mortality and hospitalization rates between FP and NFP dialysis clinics when appropriate statistical adjustments are made. © 2014 Brunelli et al.; licensee BioMed Central Ltd.","author":[{"dropping-particle":"","family":"Brunelli","given":"Steven M.","non-dropping-particle":"","parse-names":false,"suffix":""},{"dropping-particle":"","family":"Wilson","given":"Steven","non-dropping-particle":"","parse-names":false,"suffix":""},{"dropping-particle":"","family":"Krishnan","given":"Mahesh","non-dropping-particle":"","parse-names":false,"suffix":""},{"dropping-particle":"","family":"Nissenson","given":"Allen R.","non-dropping-particle":"","parse-names":false,"suffix":""}],"container-title":"BMC Nephrology","id":"ITEM-1","issue":"1","issued":{"date-parts":[["2014"]]},"page":"1-8","title":"Confounders of mortality and hospitalization rate calculations for profit and nonprofit dialysis facilities: Analytic augmentation","type":"article-journal","volume":"15"},"uris":["http://www.mendeley.com/documents/?uuid=d5bee7b0-742f-486e-82e6-0da5951a823d"]}],"mendeley":{"formattedCitation":"&lt;sup&gt;20&lt;/sup&gt;","plainTextFormattedCitation":"20","previouslyFormattedCitation":"&lt;sup&gt;20&lt;/sup&gt;"},"properties":{"noteIndex":0},"schema":"https://github.com/citation-style-language/schema/raw/master/csl-citation.json"}</w:instrText>
      </w:r>
      <w:r w:rsidR="00660E68" w:rsidRPr="29201C76">
        <w:rPr>
          <w:rFonts w:asciiTheme="majorHAnsi" w:hAnsiTheme="majorHAnsi" w:cstheme="majorBidi"/>
        </w:rPr>
        <w:fldChar w:fldCharType="separate"/>
      </w:r>
      <w:r w:rsidR="00453869" w:rsidRPr="00453869">
        <w:rPr>
          <w:rFonts w:asciiTheme="majorHAnsi" w:hAnsiTheme="majorHAnsi" w:cstheme="majorBidi"/>
          <w:noProof/>
          <w:vertAlign w:val="superscript"/>
        </w:rPr>
        <w:t>20</w:t>
      </w:r>
      <w:r w:rsidR="00660E68" w:rsidRPr="29201C76">
        <w:rPr>
          <w:rFonts w:asciiTheme="majorHAnsi" w:hAnsiTheme="majorHAnsi" w:cstheme="majorBidi"/>
        </w:rPr>
        <w:fldChar w:fldCharType="end"/>
      </w:r>
      <w:r w:rsidR="29201C76" w:rsidRPr="006B101C">
        <w:rPr>
          <w:rFonts w:asciiTheme="majorHAnsi" w:hAnsiTheme="majorHAnsi" w:cstheme="majorBidi"/>
          <w:highlight w:val="yellow"/>
        </w:rPr>
        <w:t>, respectivamente</w:t>
      </w:r>
      <w:r w:rsidR="00DC53BB" w:rsidRPr="006B101C">
        <w:rPr>
          <w:rFonts w:asciiTheme="majorHAnsi" w:hAnsiTheme="majorHAnsi" w:cstheme="majorBidi"/>
          <w:highlight w:val="yellow"/>
        </w:rPr>
        <w:t>, una vez aplicados criterios de inclusión distintos</w:t>
      </w:r>
      <w:r w:rsidR="00234F03" w:rsidRPr="006B101C">
        <w:rPr>
          <w:rFonts w:asciiTheme="majorHAnsi" w:hAnsiTheme="majorHAnsi" w:cstheme="majorBidi"/>
          <w:highlight w:val="yellow"/>
        </w:rPr>
        <w:t>;</w:t>
      </w:r>
      <w:r w:rsidR="00711525" w:rsidRPr="006B101C">
        <w:rPr>
          <w:rFonts w:asciiTheme="majorHAnsi" w:hAnsiTheme="majorHAnsi" w:cstheme="majorBidi"/>
          <w:highlight w:val="yellow"/>
        </w:rPr>
        <w:t xml:space="preserve"> </w:t>
      </w:r>
      <w:r w:rsidR="00DC53BB" w:rsidRPr="006B101C">
        <w:rPr>
          <w:rFonts w:asciiTheme="majorHAnsi" w:hAnsiTheme="majorHAnsi" w:cstheme="majorBidi"/>
          <w:highlight w:val="yellow"/>
        </w:rPr>
        <w:t>de ellos</w:t>
      </w:r>
      <w:r w:rsidR="00DC53BB">
        <w:rPr>
          <w:rFonts w:asciiTheme="majorHAnsi" w:hAnsiTheme="majorHAnsi" w:cstheme="majorBidi"/>
        </w:rPr>
        <w:t xml:space="preserve">, </w:t>
      </w:r>
      <w:r w:rsidR="00711525">
        <w:rPr>
          <w:rFonts w:asciiTheme="majorHAnsi" w:hAnsiTheme="majorHAnsi" w:cstheme="majorBidi"/>
        </w:rPr>
        <w:t>un 9% recibía asistencia en centros no lucrativos</w:t>
      </w:r>
      <w:r w:rsidR="29201C76" w:rsidRPr="29201C76">
        <w:rPr>
          <w:rFonts w:asciiTheme="majorHAnsi" w:hAnsiTheme="majorHAnsi" w:cstheme="majorBidi"/>
        </w:rPr>
        <w:t xml:space="preserve">. Los modelos multivariantes mostraron que </w:t>
      </w:r>
      <w:r w:rsidR="00CC2B9E">
        <w:rPr>
          <w:rFonts w:asciiTheme="majorHAnsi" w:hAnsiTheme="majorHAnsi" w:cstheme="majorBidi"/>
        </w:rPr>
        <w:t>los</w:t>
      </w:r>
      <w:r w:rsidR="29201C76" w:rsidRPr="29201C76">
        <w:rPr>
          <w:rFonts w:asciiTheme="majorHAnsi" w:hAnsiTheme="majorHAnsi" w:cstheme="majorBidi"/>
        </w:rPr>
        <w:t xml:space="preserve"> pacientes tratados en centros con ánimo de lucro mostraron una mayor tasa relativa de hospitalización, en concreto, un 15% (IC95%: 13%-18%; p&lt;0,001)</w:t>
      </w:r>
      <w:r w:rsidR="00660E68" w:rsidRPr="29201C76">
        <w:rPr>
          <w:rFonts w:asciiTheme="majorHAnsi" w:hAnsiTheme="majorHAnsi" w:cstheme="majorBidi"/>
        </w:rPr>
        <w:fldChar w:fldCharType="begin" w:fldLock="1"/>
      </w:r>
      <w:r w:rsidR="00B57DD4">
        <w:rPr>
          <w:rFonts w:asciiTheme="majorHAnsi" w:hAnsiTheme="majorHAnsi" w:cstheme="majorBidi"/>
        </w:rPr>
        <w:instrText>ADDIN CSL_CITATION {"citationItems":[{"id":"ITEM-1","itemData":{"DOI":"10.2215/CJN.04200413","ISSN":"15559041","abstract":"Background and objectives The vast majority of US dialysis facilities are for-profit and profit status has been associated with processes of care and outcomes in patients on dialysis. This study examined whether dialysis facility profit status was associated with the rate of hospitalization in patients starting dialysis. Design, setting, participants, &amp; methods This was a retrospective cohort study of Medicare beneficiaries starting dialysis between 2005 and 2008 using data from the US Renal Data System. All-cause hospitalization was examined and compared between for-profit and nonprofit dialysis facilities through 2009 using Poisson regression. Companion analyses of cause-specific hospitalization that are likely to be influenced by dialysis facility practices including hospitalizations for heart failure and volume overload, access complications, or hyperkalemia were conducted. Results The cohort included 150,642 patients. Of these, 12,985 (9%) were receiving care in nonprofit dialysis facilities. In adjusted models, patients receiving hemodialysis in for-profit facilities had a 15% (95% confidence interval [95% CI], 13% to 18%) higher relative rate of hospitalization compared with those in nonprofit facilities. Among patients receiving peritoneal dialysis, the rate of hospitalization in for-profit versus nonprofit facilities was not significantly different (relative rate, 1.07; 95% CI, 0.97 to 1.17). Patients on hemodialysis receiving care in for-profit dialysis facilities had a 37% (95% CI, 31% to 44%) higher rate of hospitalization for heart failure or volume overload and a 15% (95% CI, 11% to 20%) higher rate of hospitalization for vascular access complications. Conclusions Hospitalization rates were significantly higher for patients receiving hemodialysis in for-profit compared with nonprofit dialysis facilities. © 2014 by the American Society of Nephrology.","author":[{"dropping-particle":"","family":"Dalrymple","given":"Lorien S.","non-dropping-particle":"","parse-names":false,"suffix":""},{"dropping-particle":"","family":"Johansen","given":"Kirsten L.","non-dropping-particle":"","parse-names":false,"suffix":""},{"dropping-particle":"","family":"Romano","given":"Patrick S.","non-dropping-particle":"","parse-names":false,"suffix":""},{"dropping-particle":"","family":"Chertow","given":"Glenn M.","non-dropping-particle":"","parse-names":false,"suffix":""},{"dropping-particle":"","family":"Mu","given":"Yi","non-dropping-particle":"","parse-names":false,"suffix":""},{"dropping-particle":"","family":"Ishida","given":"Julie H.","non-dropping-particle":"","parse-names":false,"suffix":""},{"dropping-particle":"","family":"Grimes","given":"Barbara","non-dropping-particle":"","parse-names":false,"suffix":""},{"dropping-particle":"","family":"Kaysen","given":"George A.","non-dropping-particle":"","parse-names":false,"suffix":""},{"dropping-particle":"V.","family":"Nguyen","given":"Danh","non-dropping-particle":"","parse-names":false,"suffix":""}],"container-title":"Clinical Journal of the American Society of Nephrology","id":"ITEM-1","issue":"1","issued":{"date-parts":[["2014"]]},"page":"73-81","title":"Comparison of hospitalization rates among for-profit and nonprofit dialysis facilities","type":"article-journal","volume":"9"},"uris":["http://www.mendeley.com/documents/?uuid=364ad048-9874-4493-ad83-a9af7516591a"]}],"mendeley":{"formattedCitation":"&lt;sup&gt;19&lt;/sup&gt;","plainTextFormattedCitation":"19","previouslyFormattedCitation":"&lt;sup&gt;19&lt;/sup&gt;"},"properties":{"noteIndex":0},"schema":"https://github.com/citation-style-language/schema/raw/master/csl-citation.json"}</w:instrText>
      </w:r>
      <w:r w:rsidR="00660E68" w:rsidRPr="29201C76">
        <w:rPr>
          <w:rFonts w:asciiTheme="majorHAnsi" w:hAnsiTheme="majorHAnsi" w:cstheme="majorBidi"/>
        </w:rPr>
        <w:fldChar w:fldCharType="separate"/>
      </w:r>
      <w:r w:rsidR="00453869" w:rsidRPr="00453869">
        <w:rPr>
          <w:rFonts w:asciiTheme="majorHAnsi" w:hAnsiTheme="majorHAnsi" w:cstheme="majorBidi"/>
          <w:noProof/>
          <w:vertAlign w:val="superscript"/>
        </w:rPr>
        <w:t>19</w:t>
      </w:r>
      <w:r w:rsidR="00660E68" w:rsidRPr="29201C76">
        <w:rPr>
          <w:rFonts w:asciiTheme="majorHAnsi" w:hAnsiTheme="majorHAnsi" w:cstheme="majorBidi"/>
        </w:rPr>
        <w:fldChar w:fldCharType="end"/>
      </w:r>
      <w:r w:rsidR="29201C76" w:rsidRPr="29201C76">
        <w:rPr>
          <w:rFonts w:asciiTheme="majorHAnsi" w:hAnsiTheme="majorHAnsi" w:cstheme="majorBidi"/>
        </w:rPr>
        <w:t xml:space="preserve"> (principales causas: fallo cardíaco (37%) y la sobrecarga de volumen (15%)) y un 17,5% más de días ingresados en relación con los tratados en centros no lucrativos (error estándar 4,8; p&lt;0,001)</w:t>
      </w:r>
      <w:r w:rsidR="00660E68" w:rsidRPr="29201C76">
        <w:rPr>
          <w:rFonts w:asciiTheme="majorHAnsi" w:hAnsiTheme="majorHAnsi" w:cstheme="majorBidi"/>
        </w:rPr>
        <w:fldChar w:fldCharType="begin" w:fldLock="1"/>
      </w:r>
      <w:r w:rsidR="00B57DD4">
        <w:rPr>
          <w:rFonts w:asciiTheme="majorHAnsi" w:hAnsiTheme="majorHAnsi" w:cstheme="majorBidi"/>
        </w:rPr>
        <w:instrText>ADDIN CSL_CITATION {"citationItems":[{"id":"ITEM-1","itemData":{"DOI":"10.1111/j.1475-6773.2010.01103.x","ISSN":"1475-6773 (Electronic)","PMID":"20403066","abstract":"OBJECTIVE: To determine whether profit status is associated with differences in hospital days per patient, an outcome that may also be influenced by provider financial goals. DATA SOURCES: United States Renal Data System Standard Analysis Files and Centers for Medicare and Medicaid Services cost reports. DESIGN: We compared the number of hospital days per patient per year across for-profit and nonprofit dialysis facilities during 2003. To address possible referral bias in the assignment of patients to dialysis facilities, we used an instrumental variable regression method and adjusted for selected patient-specific factors, facility characteristics such as size and chain affiliation, as well as metrics of market competition. DATA EXTRACTION METHODS: All patients who received in-center hemodialysis at any time in 2003 and for whom Medicare was the primary payer were included (N=170,130; roughly two-thirds of the U.S. hemodialysis population). Patients dialyzed at hospital-based facilities and patients with no dialysis facilities within 30 miles of their residence were excluded. RESULTS: Overall, adjusted hospital days per patient were 17+/-5 percent lower in nonprofit facilities. The difference between nonprofit and for-profit facilities persisted with the correction for referral bias. There was no association between hospital days per patient per year and chain affiliation, but larger facilities had inferior outcomes (facilities with 73 or more patients had a 14+/-1.7 percent increase in hospital days relative to facilities with 35 or fewer patients). Differences in outcomes among for-profit and nonprofit facilities translated to 1,600 patient-years in hospital that could be averted each year if the hospital utilization rates in for-profit facilities were to decrease to the level of their nonprofit counterparts. CONCLUSIONS: Hospital days per patient-year were statistically and clinically significantly lower among nonprofit dialysis providers. These findings suggest that the indirect incentives in Medicare's current payment system may provide insufficient incentive for for-profit providers to achieve optimal patient outcomes.","author":[{"dropping-particle":"","family":"Lee","given":"Donald K K","non-dropping-particle":"","parse-names":false,"suffix":""},{"dropping-particle":"","family":"Chertow","given":"Glenn M","non-dropping-particle":"","parse-names":false,"suffix":""},{"dropping-particle":"","family":"Zenios","given":"Stefanos A","non-dropping-particle":"","parse-names":false,"suffix":""}],"container-title":"Health services research","id":"ITEM-1","issue":"3","issued":{"date-parts":[["2010"]]},"language":"eng","page":"633-646","publisher-place":"United States","title":"Reexploring differences among for-profit and nonprofit dialysis providers.","type":"article-journal","volume":"45"},"uris":["http://www.mendeley.com/documents/?uuid=122a06c5-9a8a-4b41-9dd6-bbb981ba20a6"]}],"mendeley":{"formattedCitation":"&lt;sup&gt;18&lt;/sup&gt;","plainTextFormattedCitation":"18","previouslyFormattedCitation":"&lt;sup&gt;18&lt;/sup&gt;"},"properties":{"noteIndex":0},"schema":"https://github.com/citation-style-language/schema/raw/master/csl-citation.json"}</w:instrText>
      </w:r>
      <w:r w:rsidR="00660E68" w:rsidRPr="29201C76">
        <w:rPr>
          <w:rFonts w:asciiTheme="majorHAnsi" w:hAnsiTheme="majorHAnsi" w:cstheme="majorBidi"/>
        </w:rPr>
        <w:fldChar w:fldCharType="separate"/>
      </w:r>
      <w:r w:rsidR="00453869" w:rsidRPr="00453869">
        <w:rPr>
          <w:rFonts w:asciiTheme="majorHAnsi" w:hAnsiTheme="majorHAnsi" w:cstheme="majorBidi"/>
          <w:noProof/>
          <w:vertAlign w:val="superscript"/>
        </w:rPr>
        <w:t>18</w:t>
      </w:r>
      <w:r w:rsidR="00660E68" w:rsidRPr="29201C76">
        <w:rPr>
          <w:rFonts w:asciiTheme="majorHAnsi" w:hAnsiTheme="majorHAnsi" w:cstheme="majorBidi"/>
        </w:rPr>
        <w:fldChar w:fldCharType="end"/>
      </w:r>
      <w:r w:rsidR="29201C76" w:rsidRPr="29201C76">
        <w:rPr>
          <w:rFonts w:asciiTheme="majorHAnsi" w:hAnsiTheme="majorHAnsi" w:cstheme="majorBidi"/>
        </w:rPr>
        <w:t>. Además, Brunelli (2014)</w:t>
      </w:r>
      <w:r w:rsidR="00660E68" w:rsidRPr="29201C76">
        <w:rPr>
          <w:rFonts w:asciiTheme="majorHAnsi" w:hAnsiTheme="majorHAnsi" w:cstheme="majorBidi"/>
        </w:rPr>
        <w:fldChar w:fldCharType="begin" w:fldLock="1"/>
      </w:r>
      <w:r w:rsidR="00B57DD4">
        <w:rPr>
          <w:rFonts w:asciiTheme="majorHAnsi" w:hAnsiTheme="majorHAnsi" w:cstheme="majorBidi"/>
        </w:rPr>
        <w:instrText>ADDIN CSL_CITATION {"citationItems":[{"id":"ITEM-1","itemData":{"DOI":"10.1186/1471-2369-15-121","ISSN":"14712369","abstract":"Background: Patient outcomes have been compared on the basis of the profit status of the dialysis provider (for-profit [FP] and not-for-profit [NFP]). In its annual report, United States Renal Data System (USRDS) provides dialysis provider level death and hospitalization rates adjusted by age, race, sex, and dialysis vintage; however, recent analyses have suggested that other variables impact these outcomes. Our current analysis of hospitalization and mortality rates of hemodialysis patients included adjustments for those used by the USRDS plus other potential confounders: facility geography (end-stage renal disease network), length of facility ownership, vascular access at first dialysis session, and pre-dialysis nephrology care. Methods. We performed a provider level, retrospective analysis of 2010 hospitalization and mortality rates among US hemodialysis patients exclusively using USRDS sources. Crude and adjusted incidence rate ratios (IRRs) were calculated using the 4 standard USRDS patient factors plus the 4 potential confounders noted above. Results: The analysis included 366,011 and 34,029 patients treated at FP and NFP facilities, respectively. There were statistical differences between the cohorts in geography, facility length of ownership, vascular access, and pre-dialysis nephrology care (p &lt; 0.001), as well as age (p &lt; 0.01), race (p &lt; 0.001), and vintage (p &lt; 0.001), but not sex (p = 0.12). When using standard USRDS adjustments, hospitalization and mortality rates for FP and NFP facilities were most disparate, favoring the NFP facilities. Rates were most similar between providers when adjustments were made for each of the 8 factors. With the FP IRR as the referent (1.0), the hospitalization IRR for NFP facilities was 1.00 (95% confidence interval [CI] 0.97-1.02; p = 0.69), while the NFP mortality IRR was 1.01 (95% CI 0.97-1.05; p = 0.64). Conclusions: These data suggest there is no difference in mortality and hospitalization rates between FP and NFP dialysis clinics when appropriate statistical adjustments are made. © 2014 Brunelli et al.; licensee BioMed Central Ltd.","author":[{"dropping-particle":"","family":"Brunelli","given":"Steven M.","non-dropping-particle":"","parse-names":false,"suffix":""},{"dropping-particle":"","family":"Wilson","given":"Steven","non-dropping-particle":"","parse-names":false,"suffix":""},{"dropping-particle":"","family":"Krishnan","given":"Mahesh","non-dropping-particle":"","parse-names":false,"suffix":""},{"dropping-particle":"","family":"Nissenson","given":"Allen R.","non-dropping-particle":"","parse-names":false,"suffix":""}],"container-title":"BMC Nephrology","id":"ITEM-1","issue":"1","issued":{"date-parts":[["2014"]]},"page":"1-8","title":"Confounders of mortality and hospitalization rate calculations for profit and nonprofit dialysis facilities: Analytic augmentation","type":"article-journal","volume":"15"},"uris":["http://www.mendeley.com/documents/?uuid=d5bee7b0-742f-486e-82e6-0da5951a823d"]}],"mendeley":{"formattedCitation":"&lt;sup&gt;20&lt;/sup&gt;","plainTextFormattedCitation":"20","previouslyFormattedCitation":"&lt;sup&gt;20&lt;/sup&gt;"},"properties":{"noteIndex":0},"schema":"https://github.com/citation-style-language/schema/raw/master/csl-citation.json"}</w:instrText>
      </w:r>
      <w:r w:rsidR="00660E68" w:rsidRPr="29201C76">
        <w:rPr>
          <w:rFonts w:asciiTheme="majorHAnsi" w:hAnsiTheme="majorHAnsi" w:cstheme="majorBidi"/>
        </w:rPr>
        <w:fldChar w:fldCharType="separate"/>
      </w:r>
      <w:r w:rsidR="00453869" w:rsidRPr="00453869">
        <w:rPr>
          <w:rFonts w:asciiTheme="majorHAnsi" w:hAnsiTheme="majorHAnsi" w:cstheme="majorBidi"/>
          <w:noProof/>
          <w:vertAlign w:val="superscript"/>
        </w:rPr>
        <w:t>20</w:t>
      </w:r>
      <w:r w:rsidR="00660E68" w:rsidRPr="29201C76">
        <w:rPr>
          <w:rFonts w:asciiTheme="majorHAnsi" w:hAnsiTheme="majorHAnsi" w:cstheme="majorBidi"/>
        </w:rPr>
        <w:fldChar w:fldCharType="end"/>
      </w:r>
      <w:r w:rsidR="00D216B4">
        <w:rPr>
          <w:rFonts w:asciiTheme="majorHAnsi" w:hAnsiTheme="majorHAnsi" w:cstheme="majorBidi"/>
        </w:rPr>
        <w:t xml:space="preserve"> comparó tasas de </w:t>
      </w:r>
      <w:r w:rsidR="29201C76" w:rsidRPr="29201C76">
        <w:rPr>
          <w:rFonts w:asciiTheme="majorHAnsi" w:hAnsiTheme="majorHAnsi" w:cstheme="majorBidi"/>
        </w:rPr>
        <w:t>hospitalización y mortalidad,</w:t>
      </w:r>
      <w:r w:rsidR="00D216B4">
        <w:rPr>
          <w:rFonts w:asciiTheme="majorHAnsi" w:hAnsiTheme="majorHAnsi" w:cstheme="majorBidi"/>
        </w:rPr>
        <w:t xml:space="preserve"> </w:t>
      </w:r>
      <w:r w:rsidR="008D3BB2">
        <w:rPr>
          <w:rFonts w:asciiTheme="majorHAnsi" w:hAnsiTheme="majorHAnsi" w:cstheme="majorBidi"/>
        </w:rPr>
        <w:t>incluyendo 366.011</w:t>
      </w:r>
      <w:r w:rsidR="005475FB">
        <w:rPr>
          <w:rFonts w:asciiTheme="majorHAnsi" w:hAnsiTheme="majorHAnsi" w:cstheme="majorBidi"/>
        </w:rPr>
        <w:t xml:space="preserve"> y</w:t>
      </w:r>
      <w:r w:rsidR="008D3BB2">
        <w:rPr>
          <w:rFonts w:asciiTheme="majorHAnsi" w:hAnsiTheme="majorHAnsi" w:cstheme="majorBidi"/>
        </w:rPr>
        <w:t xml:space="preserve"> 34.029 pacientes en </w:t>
      </w:r>
      <w:r w:rsidR="00D216B4">
        <w:rPr>
          <w:rFonts w:asciiTheme="majorHAnsi" w:hAnsiTheme="majorHAnsi" w:cstheme="majorBidi"/>
        </w:rPr>
        <w:t>centros con y sin ánimo de lucro,</w:t>
      </w:r>
      <w:r w:rsidR="29201C76" w:rsidRPr="29201C76">
        <w:rPr>
          <w:rFonts w:asciiTheme="majorHAnsi" w:hAnsiTheme="majorHAnsi" w:cstheme="majorBidi"/>
        </w:rPr>
        <w:t xml:space="preserve"> </w:t>
      </w:r>
      <w:r w:rsidR="008D3BB2">
        <w:rPr>
          <w:rFonts w:asciiTheme="majorHAnsi" w:hAnsiTheme="majorHAnsi" w:cstheme="majorBidi"/>
        </w:rPr>
        <w:t xml:space="preserve">respectivamente; </w:t>
      </w:r>
      <w:r w:rsidR="29201C76" w:rsidRPr="00F479F9">
        <w:rPr>
          <w:rFonts w:asciiTheme="majorHAnsi" w:hAnsiTheme="majorHAnsi" w:cstheme="majorBidi"/>
        </w:rPr>
        <w:t>no encontr</w:t>
      </w:r>
      <w:r w:rsidR="005475FB">
        <w:rPr>
          <w:rFonts w:asciiTheme="majorHAnsi" w:hAnsiTheme="majorHAnsi" w:cstheme="majorBidi"/>
        </w:rPr>
        <w:t>ó</w:t>
      </w:r>
      <w:r w:rsidR="29201C76" w:rsidRPr="00F479F9">
        <w:rPr>
          <w:rFonts w:asciiTheme="majorHAnsi" w:hAnsiTheme="majorHAnsi" w:cstheme="majorBidi"/>
        </w:rPr>
        <w:t xml:space="preserve"> diferencias significativas ni en mortalidad</w:t>
      </w:r>
      <w:r w:rsidR="29201C76" w:rsidRPr="29201C76">
        <w:rPr>
          <w:rFonts w:asciiTheme="majorHAnsi" w:hAnsiTheme="majorHAnsi" w:cstheme="majorBidi"/>
        </w:rPr>
        <w:t xml:space="preserve"> (p=0,64), ni en hospitalizaciones (p=0,69)</w:t>
      </w:r>
      <w:r w:rsidR="00C9476C">
        <w:rPr>
          <w:rFonts w:asciiTheme="majorHAnsi" w:hAnsiTheme="majorHAnsi" w:cstheme="majorBidi"/>
        </w:rPr>
        <w:t xml:space="preserve">. </w:t>
      </w:r>
    </w:p>
    <w:p w14:paraId="130DD1D7" w14:textId="38F59A49" w:rsidR="00615EB0" w:rsidRPr="00206A2C" w:rsidRDefault="00B5530F" w:rsidP="00615EB0">
      <w:pPr>
        <w:spacing w:line="360" w:lineRule="auto"/>
        <w:ind w:firstLine="708"/>
        <w:jc w:val="both"/>
        <w:rPr>
          <w:rFonts w:asciiTheme="majorHAnsi" w:hAnsiTheme="majorHAnsi" w:cstheme="majorHAnsi"/>
          <w:lang w:val="en-US"/>
        </w:rPr>
      </w:pPr>
      <w:r>
        <w:rPr>
          <w:rFonts w:asciiTheme="majorHAnsi" w:hAnsiTheme="majorHAnsi" w:cstheme="majorHAnsi"/>
        </w:rPr>
        <w:t>Por otro lado, s</w:t>
      </w:r>
      <w:r w:rsidR="00615EB0" w:rsidRPr="0025653C">
        <w:rPr>
          <w:rFonts w:asciiTheme="majorHAnsi" w:hAnsiTheme="majorHAnsi" w:cstheme="majorHAnsi"/>
        </w:rPr>
        <w:t xml:space="preserve">e han encontrado </w:t>
      </w:r>
      <w:r w:rsidR="006B101C">
        <w:rPr>
          <w:rFonts w:asciiTheme="majorHAnsi" w:hAnsiTheme="majorHAnsi" w:cstheme="majorHAnsi"/>
        </w:rPr>
        <w:t>cuatro</w:t>
      </w:r>
      <w:r w:rsidR="008219BB" w:rsidRPr="0025653C">
        <w:rPr>
          <w:rFonts w:asciiTheme="majorHAnsi" w:hAnsiTheme="majorHAnsi" w:cstheme="majorHAnsi"/>
        </w:rPr>
        <w:t xml:space="preserve"> </w:t>
      </w:r>
      <w:r w:rsidR="00615EB0" w:rsidRPr="0025653C">
        <w:rPr>
          <w:rFonts w:asciiTheme="majorHAnsi" w:hAnsiTheme="majorHAnsi" w:cstheme="majorHAnsi"/>
        </w:rPr>
        <w:t xml:space="preserve">artículos que comparaban los resultados en salud </w:t>
      </w:r>
      <w:r w:rsidR="006D3B55">
        <w:rPr>
          <w:rFonts w:asciiTheme="majorHAnsi" w:hAnsiTheme="majorHAnsi" w:cstheme="majorHAnsi"/>
        </w:rPr>
        <w:t>de</w:t>
      </w:r>
      <w:r w:rsidR="00615EB0" w:rsidRPr="0025653C">
        <w:rPr>
          <w:rFonts w:asciiTheme="majorHAnsi" w:hAnsiTheme="majorHAnsi" w:cstheme="majorHAnsi"/>
        </w:rPr>
        <w:t xml:space="preserve"> los pacientes </w:t>
      </w:r>
      <w:r w:rsidR="006D3B55">
        <w:rPr>
          <w:rFonts w:asciiTheme="majorHAnsi" w:hAnsiTheme="majorHAnsi" w:cstheme="majorHAnsi"/>
        </w:rPr>
        <w:t xml:space="preserve">en función de </w:t>
      </w:r>
      <w:r w:rsidR="00A270CD">
        <w:rPr>
          <w:rFonts w:asciiTheme="majorHAnsi" w:hAnsiTheme="majorHAnsi" w:cstheme="majorHAnsi"/>
        </w:rPr>
        <w:t xml:space="preserve">si </w:t>
      </w:r>
      <w:r w:rsidR="00615EB0" w:rsidRPr="0025653C">
        <w:rPr>
          <w:rFonts w:asciiTheme="majorHAnsi" w:hAnsiTheme="majorHAnsi" w:cstheme="majorHAnsi"/>
        </w:rPr>
        <w:t xml:space="preserve">recibían atención en centros dependientes de la asociación de veteranos </w:t>
      </w:r>
      <w:r w:rsidR="00331C8B">
        <w:rPr>
          <w:rFonts w:asciiTheme="majorHAnsi" w:hAnsiTheme="majorHAnsi" w:cstheme="majorHAnsi"/>
        </w:rPr>
        <w:t xml:space="preserve">(VA) </w:t>
      </w:r>
      <w:r w:rsidR="00615EB0" w:rsidRPr="0025653C">
        <w:rPr>
          <w:rFonts w:asciiTheme="majorHAnsi" w:hAnsiTheme="majorHAnsi" w:cstheme="majorHAnsi"/>
        </w:rPr>
        <w:t xml:space="preserve">o </w:t>
      </w:r>
      <w:r w:rsidR="00BB731F" w:rsidRPr="0025653C">
        <w:rPr>
          <w:rFonts w:asciiTheme="majorHAnsi" w:hAnsiTheme="majorHAnsi" w:cstheme="majorHAnsi"/>
        </w:rPr>
        <w:t>en servicios externalizados</w:t>
      </w:r>
      <w:r w:rsidR="00615EB0" w:rsidRPr="0025653C">
        <w:rPr>
          <w:rFonts w:asciiTheme="majorHAnsi" w:hAnsiTheme="majorHAnsi" w:cstheme="majorHAnsi"/>
        </w:rPr>
        <w:t xml:space="preserve">. Así, se </w:t>
      </w:r>
      <w:r w:rsidR="009B01CF">
        <w:rPr>
          <w:rFonts w:asciiTheme="majorHAnsi" w:hAnsiTheme="majorHAnsi" w:cstheme="majorHAnsi"/>
        </w:rPr>
        <w:t>ha podido concluir</w:t>
      </w:r>
      <w:r w:rsidR="00615EB0" w:rsidRPr="0025653C">
        <w:rPr>
          <w:rFonts w:asciiTheme="majorHAnsi" w:hAnsiTheme="majorHAnsi" w:cstheme="majorHAnsi"/>
        </w:rPr>
        <w:t xml:space="preserve"> que los pacientes </w:t>
      </w:r>
      <w:r w:rsidR="00460E63">
        <w:rPr>
          <w:rFonts w:asciiTheme="majorHAnsi" w:hAnsiTheme="majorHAnsi" w:cstheme="majorHAnsi"/>
        </w:rPr>
        <w:t>atendidos</w:t>
      </w:r>
      <w:r w:rsidR="00615EB0" w:rsidRPr="0025653C">
        <w:rPr>
          <w:rFonts w:asciiTheme="majorHAnsi" w:hAnsiTheme="majorHAnsi" w:cstheme="majorHAnsi"/>
        </w:rPr>
        <w:t xml:space="preserve"> en </w:t>
      </w:r>
      <w:r w:rsidR="00460E63">
        <w:rPr>
          <w:rFonts w:asciiTheme="majorHAnsi" w:hAnsiTheme="majorHAnsi" w:cstheme="majorHAnsi"/>
        </w:rPr>
        <w:t xml:space="preserve">centros de la </w:t>
      </w:r>
      <w:r w:rsidR="00D5030B">
        <w:rPr>
          <w:rFonts w:asciiTheme="majorHAnsi" w:hAnsiTheme="majorHAnsi" w:cstheme="majorHAnsi"/>
        </w:rPr>
        <w:t xml:space="preserve">VA </w:t>
      </w:r>
      <w:r>
        <w:rPr>
          <w:rFonts w:asciiTheme="majorHAnsi" w:hAnsiTheme="majorHAnsi" w:cstheme="majorHAnsi"/>
        </w:rPr>
        <w:t>mostraron una</w:t>
      </w:r>
      <w:r w:rsidR="00615EB0" w:rsidRPr="0025653C">
        <w:rPr>
          <w:rFonts w:asciiTheme="majorHAnsi" w:hAnsiTheme="majorHAnsi" w:cstheme="majorHAnsi"/>
        </w:rPr>
        <w:t xml:space="preserve"> mayor probabilidad </w:t>
      </w:r>
      <w:r w:rsidR="000051C7">
        <w:rPr>
          <w:rFonts w:asciiTheme="majorHAnsi" w:hAnsiTheme="majorHAnsi" w:cstheme="majorHAnsi"/>
        </w:rPr>
        <w:t xml:space="preserve">de </w:t>
      </w:r>
      <w:r w:rsidR="00D5030B">
        <w:rPr>
          <w:rFonts w:asciiTheme="majorHAnsi" w:hAnsiTheme="majorHAnsi" w:cstheme="majorHAnsi"/>
        </w:rPr>
        <w:t xml:space="preserve">recibir </w:t>
      </w:r>
      <w:r w:rsidR="00615EB0" w:rsidRPr="0025653C">
        <w:rPr>
          <w:rFonts w:asciiTheme="majorHAnsi" w:hAnsiTheme="majorHAnsi" w:cstheme="majorHAnsi"/>
        </w:rPr>
        <w:t>atención nefrológica previa a la diálisis</w:t>
      </w:r>
      <w:r w:rsidR="00711525">
        <w:rPr>
          <w:rFonts w:asciiTheme="majorHAnsi" w:hAnsiTheme="majorHAnsi" w:cstheme="majorHAnsi"/>
        </w:rPr>
        <w:t xml:space="preserve"> y</w:t>
      </w:r>
      <w:r w:rsidR="00711525" w:rsidRPr="00711525">
        <w:rPr>
          <w:rFonts w:asciiTheme="majorHAnsi" w:hAnsiTheme="majorHAnsi" w:cstheme="majorHAnsi"/>
        </w:rPr>
        <w:t xml:space="preserve"> </w:t>
      </w:r>
      <w:r w:rsidR="00711525">
        <w:rPr>
          <w:rFonts w:asciiTheme="majorHAnsi" w:hAnsiTheme="majorHAnsi" w:cstheme="majorHAnsi"/>
        </w:rPr>
        <w:t>disponer de una</w:t>
      </w:r>
      <w:r w:rsidR="00711525" w:rsidRPr="0025653C">
        <w:rPr>
          <w:rFonts w:asciiTheme="majorHAnsi" w:hAnsiTheme="majorHAnsi" w:cstheme="majorHAnsi"/>
        </w:rPr>
        <w:t xml:space="preserve"> f</w:t>
      </w:r>
      <w:r w:rsidR="00711525">
        <w:rPr>
          <w:rFonts w:asciiTheme="majorHAnsi" w:hAnsiTheme="majorHAnsi" w:cstheme="majorHAnsi"/>
        </w:rPr>
        <w:t>í</w:t>
      </w:r>
      <w:r w:rsidR="00711525" w:rsidRPr="0025653C">
        <w:rPr>
          <w:rFonts w:asciiTheme="majorHAnsi" w:hAnsiTheme="majorHAnsi" w:cstheme="majorHAnsi"/>
        </w:rPr>
        <w:t>stula arteriovenosa</w:t>
      </w:r>
      <w:r w:rsidR="00615EB0" w:rsidRPr="0025653C">
        <w:rPr>
          <w:rFonts w:asciiTheme="majorHAnsi" w:hAnsiTheme="majorHAnsi" w:cstheme="majorHAnsi"/>
        </w:rPr>
        <w:t>,</w:t>
      </w:r>
      <w:r w:rsidR="00711525">
        <w:rPr>
          <w:rFonts w:asciiTheme="majorHAnsi" w:hAnsiTheme="majorHAnsi" w:cstheme="majorHAnsi"/>
        </w:rPr>
        <w:t xml:space="preserve"> aunque </w:t>
      </w:r>
      <w:r w:rsidR="00BB731F" w:rsidRPr="0025653C">
        <w:rPr>
          <w:rFonts w:asciiTheme="majorHAnsi" w:hAnsiTheme="majorHAnsi" w:cstheme="majorHAnsi"/>
        </w:rPr>
        <w:t>presenta</w:t>
      </w:r>
      <w:r w:rsidR="00711525">
        <w:rPr>
          <w:rFonts w:asciiTheme="majorHAnsi" w:hAnsiTheme="majorHAnsi" w:cstheme="majorHAnsi"/>
        </w:rPr>
        <w:t xml:space="preserve">ban </w:t>
      </w:r>
      <w:r w:rsidR="00661FED">
        <w:rPr>
          <w:rFonts w:asciiTheme="majorHAnsi" w:hAnsiTheme="majorHAnsi" w:cstheme="majorHAnsi"/>
        </w:rPr>
        <w:t xml:space="preserve">un </w:t>
      </w:r>
      <w:r w:rsidR="00711525">
        <w:rPr>
          <w:rFonts w:asciiTheme="majorHAnsi" w:hAnsiTheme="majorHAnsi" w:cstheme="majorHAnsi"/>
        </w:rPr>
        <w:t>mayo</w:t>
      </w:r>
      <w:r w:rsidR="00BB731F" w:rsidRPr="0025653C">
        <w:rPr>
          <w:rFonts w:asciiTheme="majorHAnsi" w:hAnsiTheme="majorHAnsi" w:cstheme="majorHAnsi"/>
        </w:rPr>
        <w:t xml:space="preserve">r ingreso hospitalario y </w:t>
      </w:r>
      <w:r w:rsidR="000051C7">
        <w:rPr>
          <w:rFonts w:asciiTheme="majorHAnsi" w:hAnsiTheme="majorHAnsi" w:cstheme="majorHAnsi"/>
        </w:rPr>
        <w:t>con</w:t>
      </w:r>
      <w:r w:rsidR="000051C7" w:rsidRPr="0025653C">
        <w:rPr>
          <w:rFonts w:asciiTheme="majorHAnsi" w:hAnsiTheme="majorHAnsi" w:cstheme="majorHAnsi"/>
        </w:rPr>
        <w:t xml:space="preserve"> </w:t>
      </w:r>
      <w:r w:rsidR="00BB731F" w:rsidRPr="0025653C">
        <w:rPr>
          <w:rFonts w:asciiTheme="majorHAnsi" w:hAnsiTheme="majorHAnsi" w:cstheme="majorHAnsi"/>
        </w:rPr>
        <w:t>mayor duración</w:t>
      </w:r>
      <w:r w:rsidR="00F842B6">
        <w:rPr>
          <w:rFonts w:asciiTheme="majorHAnsi" w:hAnsiTheme="majorHAnsi" w:cstheme="majorHAnsi"/>
        </w:rPr>
        <w:t xml:space="preserve"> y </w:t>
      </w:r>
      <w:r w:rsidR="00615EB0" w:rsidRPr="0025653C">
        <w:rPr>
          <w:rFonts w:asciiTheme="majorHAnsi" w:hAnsiTheme="majorHAnsi" w:cstheme="majorHAnsi"/>
        </w:rPr>
        <w:t>menor acceso al trasplante de riñón</w:t>
      </w:r>
      <w:r w:rsidR="00460E63">
        <w:rPr>
          <w:rFonts w:asciiTheme="majorHAnsi" w:hAnsiTheme="majorHAnsi" w:cstheme="majorHAnsi"/>
        </w:rPr>
        <w:t xml:space="preserve">, en relación a los pacientes </w:t>
      </w:r>
      <w:r w:rsidR="00615EB0" w:rsidRPr="0025653C">
        <w:rPr>
          <w:rFonts w:asciiTheme="majorHAnsi" w:hAnsiTheme="majorHAnsi" w:cstheme="majorHAnsi"/>
        </w:rPr>
        <w:t>aten</w:t>
      </w:r>
      <w:r w:rsidR="00460E63">
        <w:rPr>
          <w:rFonts w:asciiTheme="majorHAnsi" w:hAnsiTheme="majorHAnsi" w:cstheme="majorHAnsi"/>
        </w:rPr>
        <w:t>didos</w:t>
      </w:r>
      <w:r w:rsidR="00615EB0" w:rsidRPr="0025653C">
        <w:rPr>
          <w:rFonts w:asciiTheme="majorHAnsi" w:hAnsiTheme="majorHAnsi" w:cstheme="majorHAnsi"/>
        </w:rPr>
        <w:t xml:space="preserve"> en </w:t>
      </w:r>
      <w:r w:rsidR="00460E63">
        <w:rPr>
          <w:rFonts w:asciiTheme="majorHAnsi" w:hAnsiTheme="majorHAnsi" w:cstheme="majorHAnsi"/>
        </w:rPr>
        <w:t>centros externalizados</w:t>
      </w:r>
      <w:r w:rsidR="00BB731F" w:rsidRPr="0025653C">
        <w:rPr>
          <w:rFonts w:asciiTheme="majorHAnsi" w:hAnsiTheme="majorHAnsi" w:cstheme="majorHAnsi"/>
        </w:rPr>
        <w:fldChar w:fldCharType="begin" w:fldLock="1"/>
      </w:r>
      <w:r w:rsidR="00B57DD4">
        <w:rPr>
          <w:rFonts w:asciiTheme="majorHAnsi" w:hAnsiTheme="majorHAnsi" w:cstheme="majorHAnsi"/>
        </w:rPr>
        <w:instrText>ADDIN CSL_CITATION {"citationItems":[{"id":"ITEM-1","itemData":{"ISSN":"1936-2692 (Electronic)","PMID":"20148611","abstract":"OBJECTIVE: To examine the effect of exclusive and dual use of Department of Veterans Affairs (VA) and Medicare healthcare systems on outpatient predialysis nephrology care. STUDY DESIGN: Retrospective cohort study. METHODS: Receipt, timeliness, and intensity of predialysis nephrology care were evaluated among 8033 veterans who initiated dialysis in 2000 and 2001 and were eligible for both VA and Medicare coverage in the 12 months preceding dialysis initiation. Propensity scores were incorporated into analyses to minimize potential selection bias from nonrandom veteran allocation to healthcare systems. RESULTS: Among the cohort, 17.4% were users of VA services only (VA-only users), 38.5% were users of Medicare-covered services only (Medicare-only users), and 44.1% were users of both VA and Medicare-covered services (dual users). Sixty-six percent of VA-only and dual users and 58.1% of Medicare-only users received predialysis nephrology care. Compared with Medicare-only users, dual users were more likely (risk ratio [RR], 1.12; 95% confidence interval [CI], 1.07-1.17) and VA-only users were as likely (RR, 0.98; 95% CI, 0.88-1.08) to have received predialysis nephrology care. Compared with Medicare-only use, VA-only use (RR, 0.63; 95% CI, 0.50-0.81) and dual use (RR, 0.78; 95% CI, 0.70-0.88) were associated with a lower likelihood of late nephrology care (&lt;3 months before dialysis initiation). CONCLUSIONS: More than one-third of older veterans initiating dialysis do not receive nephrology care beforehand. Dual use of VA and Medicare-covered services was associated with greater receipt and favorable timeliness of predialysis nephrology care, while use of only Medicare-covered services was associated with late predialysis nephrology care. Further studies to identify reasons for system-level variations in access to predialysis nephrology care may assist in identifying opportunities for improvement.","author":[{"dropping-particle":"","family":"Fischer","given":"Michael J","non-dropping-particle":"","parse-names":false,"suffix":""},{"dropping-particle":"","family":"Stroupe","given":"Kevin T","non-dropping-particle":"","parse-names":false,"suffix":""},{"dropping-particle":"","family":"Kaufman","given":"James S","non-dropping-particle":"","parse-names":false,"suffix":""},{"dropping-particle":"","family":"O'Hare","given":"Ann M","non-dropping-particle":"","parse-names":false,"suffix":""},{"dropping-particle":"","family":"Browning","given":"Margaret M","non-dropping-particle":"","parse-names":false,"suffix":""},{"dropping-particle":"","family":"Huo","given":"Zhiping","non-dropping-particle":"","parse-names":false,"suffix":""},{"dropping-particle":"","family":"Hynes","given":"Denise M","non-dropping-particle":"","parse-names":false,"suffix":""}],"container-title":"The American journal of managed care","id":"ITEM-1","issue":"2","issued":{"date-parts":[["2010"]]},"language":"eng","page":"e57-66","publisher-place":"United States","title":"Predialysis nephrology care among older veterans using Department of Veterans Affairs or Medicare-covered services.","type":"article-journal","volume":"16"},"uris":["http://www.mendeley.com/documents/?uuid=6559140d-ee04-4c07-a423-2d5331ec0aea"]},{"id":"ITEM-2","itemData":{"DOI":"10.1681/ASN.2010010025","ISSN":"1533-3450 (Electronic)","PMID":"20705713","abstract":"A higher proportion of patients initiate hemodialysis (HD) with an arteriovenous fistula (AVF) in countries with universal health care systems compared with the United States. Because federally sponsored national health care organizations in the United States, such as the Department of Veterans Affairs (DVA) and the Department of Defense (DoD), are similar to a universal health care model, we studied AVF use within these organizations. We used the US Renal Data System database to perform a cross-sectional analysis of patients who initiated HD between 2005 and 2006. Patients who received predialysis nephrology care had 10-fold greater odds of initiating dialysis with an AVF (adjusted odds ratio [aOR] 10.3; 95% confidence interval [CI] 9.6 to 11.1). DVA/DoD insurance also independently associated with initiating HD with an AVF (aOR 1.4; 95% CI 1.2 to 1.5). Fewer patients initiated HD at a DoD facility, but these patients were also approximately twice as likely to use an AVF (aOR 2.3; 95% CI 1.2 to 4.6). In conclusion, patients in DVA/DoD systems are significantly more likely to use an AVF at initiation of HD than patients with other insurance types, including Medicare. Further study of these federal systems may identify practices that could improve processes of care across health care systems to increase the number of patients who initiate HD with an AVF.","author":[{"dropping-particle":"","family":"Hurst","given":"Frank P","non-dropping-particle":"","parse-names":false,"suffix":""},{"dropping-particle":"","family":"Abbott","given":"Kevin C","non-dropping-particle":"","parse-names":false,"suffix":""},{"dropping-particle":"","family":"Raj","given":"Dominic","non-dropping-particle":"","parse-names":false,"suffix":""},{"dropping-particle":"","family":"Krishnan","given":"Mahesh","non-dropping-particle":"","parse-names":false,"suffix":""},{"dropping-particle":"","family":"Palant","given":"Carlos E","non-dropping-particle":"","parse-names":false,"suffix":""},{"dropping-particle":"","family":"Agodoa","given":"Lawrence Y","non-dropping-particle":"","parse-names":false,"suffix":""},{"dropping-particle":"","family":"Jindal","given":"Rahul M","non-dropping-particle":"","parse-names":false,"suffix":""}],"container-title":"Journal of the American Society of Nephrology : JASN","id":"ITEM-2","issue":"9","issued":{"date-parts":[["2010"]]},"language":"eng","page":"1571-1577","publisher-place":"United States","title":"Arteriovenous fistulas among incident hemodialysis patients in Department of Defense and Veterans Affairs facilities.","type":"article-journal","volume":"21"},"uris":["http://www.mendeley.com/documents/?uuid=ea6db942-8837-4169-be48-7657ae501d94"]},{"id":"ITEM-3","itemData":{"DOI":"10.1111/j.1525-139X.2011.00920.x","ISSN":"1525-139X (Electronic)","PMID":"21913987","abstract":"Hemodialysis via arteriovenous fistulas (AVFs) is associated with reduced morbidity and mortality when compared to alternative vascular accesses, yet few patients in the United States start dialysis with AVFs. Recent studies have demonstrated higher quality of care for many conditions in Veterans Affairs' Medical Centers (VAMC); however, differences in quality of vascular access care are unknown. We used patient-level data (6/05-5/06) from Medicare claims (n = 25,912) to compare the proportions of AVF among incident patients at VAMC-affiliated (n = 20) and unaffiliated dialysis (n = 1631) facilities. Multivariate logistic regression was used to determine whether associations of access type with facility type were independent. Compared to non-VAMC patients, a larger proportion of VAMC patients started dialysis with AVFs (20.9% versus 11.6% in non-VAMC patients; OR 1.99, [95% CI 1.55-2.56]). Although attenuated, this finding persisted in models adjusted for demographics (OR 1.65 [95% CI 1.28-2.13]) and demographics with comorbidities (OR 1.70 [95% CI 1.31-2.20]). However, after accounting for pre end-stage renal disease (ESRD) care, similar proportions of VAMC and non-VAMC patients started hemodialysis with an AVF (OR 1.28 [95% CI 0.98-1.66]). In conclusion, patients receiving care at VAMC-associated facilities were more likely to start hemodialysis with AVFs, perhaps because of better pre-ESRD care. Nonetheless, AVF rates remain suboptimal, indicating a need for ongoing vascular access evaluation and improvement.","author":[{"dropping-particle":"","family":"Parikh","given":"Dipen S","non-dropping-particle":"","parse-names":false,"suffix":""},{"dropping-particle":"","family":"Inrig","given":"Jula K","non-dropping-particle":"","parse-names":false,"suffix":""},{"dropping-particle":"","family":"Kipp","given":"Adam","non-dropping-particle":"","parse-names":false,"suffix":""},{"dropping-particle":"","family":"Szczech","given":"Lynda A","non-dropping-particle":"","parse-names":false,"suffix":""},{"dropping-particle":"","family":"McClellan","given":"William","non-dropping-particle":"","parse-names":false,"suffix":""},{"dropping-particle":"","family":"Patel","given":"Uptal D","non-dropping-particle":"","parse-names":false,"suffix":""}],"container-title":"Seminars in dialysis","id":"ITEM-3","issue":"5","issued":{"date-parts":[["2011"]]},"language":"eng","page":"570-575","publisher-place":"United States","title":"Veterans more likely to start hemodialysis with an arteriovenous fistula.","type":"article-journal","volume":"24"},"uris":["http://www.mendeley.com/documents/?uuid=4a4df73f-5776-4aeb-9d86-1af709c864e7"]},{"id":"ITEM-4","itemData":{"DOI":"10.1186/1472-6963-13-26","ISSN":"14726963","abstract":"Demand for dialysis treatment exceeds its supply within the Veterans Health Administration (VA), requiring VA to outsource dialysis care by purchasing private sector dialysis for veterans on a fee-for-service basis. It is unclear whether outcomes are similar for veterans receiving dialysis from VA versus non-VA providers. We assessed the extent of chronic dialysis treatment utilization and differences in all-cause hospitalizations and mortality between veterans receiving dialysis from VA versus VA-outsourced providers. We constructed a retrospective cohort of veterans in 2 VA regions who received chronic dialysis treatment financed by VA between January 2007 and December 2008. From VA administrative data, we identified veterans who received outpatient dialysis in (1) VA, (2) VA-outsourced settings, or (3) both (\"dual\") settings. In adjusted analyses, we used two-part and logistic regression to examine associations between dialysis setting and all-cause hospitalization and mortality one-year from veterans' baseline dialysis date. Of 1,388 veterans, 27% received dialysis exclusively in VA, 47% in VA-outsourced settings, and 25% in dual settings. Overall, half (48%) were hospitalized and 12% died. In adjusted analysis, veterans in VA-outsourced settings incurred fewer hospitalizations and shorter hospital stays than users of VA due to favorable selection. Dual-system dialysis patients had lower one-year mortality than veterans receiving VA dialysis. VA expenditures for \"buying\" outsourced dialysis are high and increasing relative to \"making\" dialysis treatment within its own system. Outcomes comparisons inform future make-or-buy decisions and suggest t</w:instrText>
      </w:r>
      <w:r w:rsidR="00B57DD4" w:rsidRPr="00741C0F">
        <w:rPr>
          <w:rFonts w:asciiTheme="majorHAnsi" w:hAnsiTheme="majorHAnsi" w:cstheme="majorHAnsi"/>
          <w:lang w:val="en-US"/>
        </w:rPr>
        <w:instrText>he need for VA to consider veterans' access to care, long-term VA savings, and optimal patient outcomes in its placement decisions for dialysis services.","author":[{"dropping-particle":"","family":"Wang","given":"Virginia","non-dropping-particle":"","parse-names":false,"suffix":""},{"dropping-particle":"","family":"Maciejewski","given":"Matthew L.","non-dropping-particle":"","parse-names":false,"suffix":""},{"dropping-particle":"","family":"Patel","given":"Uptal D.","non-dropping-particle":"","parse-names":false,"suffix":""},{"dropping-particle":"","family":"Stechuchak","given":"Karen M.","non-dropping-particle":"","parse-names":false,"suffix":""},{"dropping-particle":"","family":"Hynes","given":"Denise M.","non-dropping-particle":"","parse-names":false,"suffix":""},{"dropping-particle":"","family":"Weinberger","given":"Morris","non-dropping-particle":"","parse-names":false,"suffix":""}],"container-title":"BMC health services research","id":"ITEM-4","issued":{"date-parts":[["2013"]]},"page":"26","title":"Comparison of outcomes for veterans receiving dialysis care from VA and non-VA providers.","type":"article-journal","volume":"13"},"uris":["http://www.mendeley.com/documents/?uuid=c5f9beb5-4ba3-4097-b87b-cfe5ebe4ddcd"]}],"mendeley":{"formattedCitation":"&lt;sup&gt;21–24&lt;/sup&gt;","plainTextFormattedCitation":"21–24","previouslyFormattedCitation":"&lt;sup&gt;21–24&lt;/sup&gt;"},"properties":{"noteIndex":0},"schema":"https://github.com/citation-style-language/schema/raw/master/csl-citation.json"}</w:instrText>
      </w:r>
      <w:r w:rsidR="00BB731F" w:rsidRPr="0025653C">
        <w:rPr>
          <w:rFonts w:asciiTheme="majorHAnsi" w:hAnsiTheme="majorHAnsi" w:cstheme="majorHAnsi"/>
        </w:rPr>
        <w:fldChar w:fldCharType="separate"/>
      </w:r>
      <w:r w:rsidR="00453869" w:rsidRPr="00453869">
        <w:rPr>
          <w:rFonts w:asciiTheme="majorHAnsi" w:hAnsiTheme="majorHAnsi" w:cstheme="majorHAnsi"/>
          <w:noProof/>
          <w:vertAlign w:val="superscript"/>
          <w:lang w:val="en-US"/>
        </w:rPr>
        <w:t>21–24</w:t>
      </w:r>
      <w:r w:rsidR="00BB731F" w:rsidRPr="0025653C">
        <w:rPr>
          <w:rFonts w:asciiTheme="majorHAnsi" w:hAnsiTheme="majorHAnsi" w:cstheme="majorHAnsi"/>
        </w:rPr>
        <w:fldChar w:fldCharType="end"/>
      </w:r>
      <w:r w:rsidR="00615EB0" w:rsidRPr="00463375">
        <w:rPr>
          <w:rFonts w:asciiTheme="majorHAnsi" w:hAnsiTheme="majorHAnsi" w:cstheme="majorHAnsi"/>
          <w:lang w:val="en-US"/>
        </w:rPr>
        <w:t xml:space="preserve">. </w:t>
      </w:r>
    </w:p>
    <w:p w14:paraId="1C11CCB9" w14:textId="5940DB56" w:rsidR="007E4088" w:rsidRPr="0025653C" w:rsidRDefault="0030456D" w:rsidP="00A4614F">
      <w:pPr>
        <w:spacing w:line="360" w:lineRule="auto"/>
        <w:ind w:firstLine="708"/>
        <w:jc w:val="both"/>
        <w:rPr>
          <w:rFonts w:asciiTheme="majorHAnsi" w:hAnsiTheme="majorHAnsi" w:cstheme="majorHAnsi"/>
        </w:rPr>
      </w:pPr>
      <w:r w:rsidRPr="00E2082F">
        <w:rPr>
          <w:rFonts w:asciiTheme="majorHAnsi" w:hAnsiTheme="majorHAnsi" w:cstheme="majorHAnsi"/>
          <w:noProof/>
          <w:szCs w:val="24"/>
          <w:lang w:val="en-US"/>
        </w:rPr>
        <w:t>Erickson (2018)</w:t>
      </w:r>
      <w:r w:rsidR="00206A2C" w:rsidRPr="006B101C">
        <w:rPr>
          <w:rFonts w:asciiTheme="majorHAnsi" w:hAnsiTheme="majorHAnsi" w:cstheme="majorHAnsi"/>
          <w:highlight w:val="yellow"/>
        </w:rPr>
        <w:fldChar w:fldCharType="begin" w:fldLock="1"/>
      </w:r>
      <w:r w:rsidR="00B57DD4" w:rsidRPr="00E2082F">
        <w:rPr>
          <w:rFonts w:asciiTheme="majorHAnsi" w:hAnsiTheme="majorHAnsi" w:cstheme="majorHAnsi"/>
          <w:highlight w:val="yellow"/>
          <w:lang w:val="en-US"/>
        </w:rPr>
        <w:instrText>ADDIN CSL_CITATION {"citationItems":[{"id":"ITEM-1","itemData":{"DOI":"10.1111/1475-6773.12835","ISSN":"14756773","abstract":"Objective: To examine whether market competition is associated with improved health outcomes in hemodialysis. Data Sources: Secondary analysis of data from a national dialysis registry between 2001 and 2011. Study Design: We conducted one- and two-part linear regression models, using each hospital service area (HSA) as its own control, to examine the independent associations among market concentration and health outcomes. Data Collection: We selected cohorts of patients receiving in-center hemodialysis in the United States at the start of each calendar year. We used information about dialysis facility ownership and the location where patients received dialysis to measure an index of market concentration—the Hirschman-Herfindahl Index (HHI)—for HSA and year, which ranges from near zero (perfect competition) to one (monopoly). Principal Findings: An average reduction in HHI by 0.2 (one standard deviation in 2011) was associated with 2.9 fewer hospitalizations per 100 patient-years (95 percent CI, 0.4 to 5.4). If these findings were generalized to the entire in-center hemodialysis population, this would translate to 8,100 (95 percent CI 1,200 to 15,000) fewer hospitalizations in 2011. There was no association between change in market competition and mortality. Conclusions: Market competition in dialysis may lead to improved health outcomes.","author":[{"dropping-particle":"","family":"Erickson","given":"Kevin F.","non-dropping-particle":"","parse-names":false,"suffix":""},{"dropping-particle":"","family":"Zheng","given":"Yuanchao","non-dropping-particle":"","parse-names":false,"suffix":""},{"dropping-particle":"","family":"Ho","given":"Vivian","non-dropping-particle":"","parse-names":false,"suffix":""},{"dropping-particle":"","family":"Winkelmayer","given":"Wolfgang C.","non-dropping-particle":"","parse-names":false,"suffix":""},{"dropping-particle":"","family":"Bhattacharya","given":"Jay","non-dropping-particle":"","parse-names":false,"suffix":""},{"dropping-particle":"","family":"Chertow","given":"Glenn M.","non-dropping-particle":"","parse-names":false,"suffix":""}],"container-title":"Health Services Research","id":"ITEM-1","issue":"5","issued":{"date-parts":[["2018"]]},"page":"3680-3703","title":"Market Competition and Health Outcomes in Hemodialysis","type":"article-journal","volume":"53"},"uris":["http://www.mendeley.com/documents/?uuid=f9b4ecde-1151-475b-9059-f268a10f204c"]}],"mendeley":{"formattedCitation":"&lt;sup&gt;25&lt;/sup&gt;","plainTextFormattedCitation":"25","previouslyFormattedCitation":"&lt;sup&gt;25&lt;/sup&gt;"},"properties":{"noteIndex":0},"schema":"https://github.com/citation-style-language/schema/raw/master/csl-citation.json"}</w:instrText>
      </w:r>
      <w:r w:rsidR="00206A2C" w:rsidRPr="006B101C">
        <w:rPr>
          <w:rFonts w:asciiTheme="majorHAnsi" w:hAnsiTheme="majorHAnsi" w:cstheme="majorHAnsi"/>
          <w:highlight w:val="yellow"/>
        </w:rPr>
        <w:fldChar w:fldCharType="separate"/>
      </w:r>
      <w:r w:rsidR="00453869" w:rsidRPr="00E2082F">
        <w:rPr>
          <w:rFonts w:asciiTheme="majorHAnsi" w:hAnsiTheme="majorHAnsi" w:cstheme="majorHAnsi"/>
          <w:noProof/>
          <w:highlight w:val="yellow"/>
          <w:vertAlign w:val="superscript"/>
          <w:lang w:val="en-US"/>
        </w:rPr>
        <w:t>25</w:t>
      </w:r>
      <w:r w:rsidR="00206A2C" w:rsidRPr="006B101C">
        <w:rPr>
          <w:rFonts w:asciiTheme="majorHAnsi" w:hAnsiTheme="majorHAnsi" w:cstheme="majorHAnsi"/>
          <w:highlight w:val="yellow"/>
        </w:rPr>
        <w:fldChar w:fldCharType="end"/>
      </w:r>
      <w:r w:rsidRPr="00E2082F">
        <w:rPr>
          <w:rFonts w:asciiTheme="majorHAnsi" w:hAnsiTheme="majorHAnsi" w:cstheme="majorHAnsi"/>
          <w:noProof/>
          <w:szCs w:val="24"/>
          <w:highlight w:val="yellow"/>
          <w:lang w:val="en-US"/>
        </w:rPr>
        <w:t xml:space="preserve"> </w:t>
      </w:r>
      <w:r w:rsidR="00A4614F" w:rsidRPr="00E2082F">
        <w:rPr>
          <w:rFonts w:asciiTheme="majorHAnsi" w:hAnsiTheme="majorHAnsi" w:cstheme="majorHAnsi"/>
          <w:highlight w:val="yellow"/>
          <w:lang w:val="en-US"/>
        </w:rPr>
        <w:t xml:space="preserve">evaluó </w:t>
      </w:r>
      <w:r w:rsidR="008219BB" w:rsidRPr="00E2082F">
        <w:rPr>
          <w:rFonts w:asciiTheme="majorHAnsi" w:hAnsiTheme="majorHAnsi" w:cstheme="majorHAnsi"/>
          <w:highlight w:val="yellow"/>
          <w:lang w:val="en-US"/>
        </w:rPr>
        <w:t xml:space="preserve">en Estados Unidos </w:t>
      </w:r>
      <w:r w:rsidR="007E4088" w:rsidRPr="00E2082F">
        <w:rPr>
          <w:rFonts w:asciiTheme="majorHAnsi" w:hAnsiTheme="majorHAnsi" w:cstheme="majorHAnsi"/>
          <w:highlight w:val="yellow"/>
          <w:lang w:val="en-US"/>
        </w:rPr>
        <w:t>la asociaci</w:t>
      </w:r>
      <w:r w:rsidR="00A4614F" w:rsidRPr="00E2082F">
        <w:rPr>
          <w:rFonts w:asciiTheme="majorHAnsi" w:hAnsiTheme="majorHAnsi" w:cstheme="majorHAnsi"/>
          <w:highlight w:val="yellow"/>
          <w:lang w:val="en-US"/>
        </w:rPr>
        <w:t>ón</w:t>
      </w:r>
      <w:r w:rsidR="00A4614F" w:rsidRPr="00E2082F">
        <w:rPr>
          <w:rFonts w:asciiTheme="majorHAnsi" w:hAnsiTheme="majorHAnsi" w:cstheme="majorHAnsi"/>
          <w:lang w:val="en-US"/>
        </w:rPr>
        <w:t xml:space="preserve"> </w:t>
      </w:r>
      <w:r w:rsidR="007E4088" w:rsidRPr="00E2082F">
        <w:rPr>
          <w:rFonts w:asciiTheme="majorHAnsi" w:hAnsiTheme="majorHAnsi" w:cstheme="majorHAnsi"/>
          <w:lang w:val="en-US"/>
        </w:rPr>
        <w:t xml:space="preserve">entre </w:t>
      </w:r>
      <w:r w:rsidR="005576C7" w:rsidRPr="00E2082F">
        <w:rPr>
          <w:rFonts w:asciiTheme="majorHAnsi" w:hAnsiTheme="majorHAnsi" w:cstheme="majorHAnsi"/>
          <w:lang w:val="en-US"/>
        </w:rPr>
        <w:t xml:space="preserve">la competencia en los mercados </w:t>
      </w:r>
      <w:r w:rsidR="005C0BC7" w:rsidRPr="00E2082F">
        <w:rPr>
          <w:rFonts w:asciiTheme="majorHAnsi" w:hAnsiTheme="majorHAnsi" w:cstheme="majorHAnsi"/>
          <w:lang w:val="en-US"/>
        </w:rPr>
        <w:t xml:space="preserve">de </w:t>
      </w:r>
      <w:r w:rsidR="005576C7" w:rsidRPr="00E2082F">
        <w:rPr>
          <w:rFonts w:asciiTheme="majorHAnsi" w:hAnsiTheme="majorHAnsi" w:cstheme="majorHAnsi"/>
          <w:lang w:val="en-US"/>
        </w:rPr>
        <w:t xml:space="preserve">diálisis </w:t>
      </w:r>
      <w:r w:rsidR="008219BB" w:rsidRPr="00E2082F">
        <w:rPr>
          <w:rFonts w:asciiTheme="majorHAnsi" w:hAnsiTheme="majorHAnsi" w:cstheme="majorHAnsi"/>
          <w:lang w:val="en-US"/>
        </w:rPr>
        <w:t xml:space="preserve">y niveles de </w:t>
      </w:r>
      <w:r w:rsidR="00427C54" w:rsidRPr="00E2082F">
        <w:rPr>
          <w:rFonts w:asciiTheme="majorHAnsi" w:hAnsiTheme="majorHAnsi" w:cstheme="majorHAnsi"/>
          <w:lang w:val="en-US"/>
        </w:rPr>
        <w:t>hospitalización y mortalidad</w:t>
      </w:r>
      <w:r w:rsidR="007E4088" w:rsidRPr="00E2082F">
        <w:rPr>
          <w:rFonts w:asciiTheme="majorHAnsi" w:hAnsiTheme="majorHAnsi" w:cstheme="majorHAnsi"/>
          <w:lang w:val="en-US"/>
        </w:rPr>
        <w:t>.</w:t>
      </w:r>
      <w:r w:rsidR="00D5030B" w:rsidRPr="00E2082F">
        <w:rPr>
          <w:rFonts w:asciiTheme="majorHAnsi" w:hAnsiTheme="majorHAnsi" w:cstheme="majorHAnsi"/>
          <w:lang w:val="en-US"/>
        </w:rPr>
        <w:t xml:space="preserve"> </w:t>
      </w:r>
      <w:r w:rsidR="00427C54">
        <w:rPr>
          <w:rFonts w:asciiTheme="majorHAnsi" w:hAnsiTheme="majorHAnsi" w:cstheme="majorHAnsi"/>
        </w:rPr>
        <w:t>L</w:t>
      </w:r>
      <w:r w:rsidR="00A4614F" w:rsidRPr="0025653C">
        <w:rPr>
          <w:rFonts w:asciiTheme="majorHAnsi" w:hAnsiTheme="majorHAnsi" w:cstheme="majorHAnsi"/>
        </w:rPr>
        <w:t xml:space="preserve">a competencia se midió mediante el índice Hirschman-Herfindahl (IHH), que oscila entre 0 y 1, donde una menor puntuación </w:t>
      </w:r>
      <w:r w:rsidR="00A4614F" w:rsidRPr="0025653C">
        <w:rPr>
          <w:rFonts w:asciiTheme="majorHAnsi" w:hAnsiTheme="majorHAnsi" w:cstheme="majorHAnsi"/>
        </w:rPr>
        <w:lastRenderedPageBreak/>
        <w:t>representa una mayor concentración de proveedores</w:t>
      </w:r>
      <w:r w:rsidR="00206A2C">
        <w:rPr>
          <w:rFonts w:asciiTheme="majorHAnsi" w:hAnsiTheme="majorHAnsi" w:cstheme="majorHAnsi"/>
        </w:rPr>
        <w:t xml:space="preserve"> y por tanto mayor competencia</w:t>
      </w:r>
      <w:r w:rsidR="00A4614F" w:rsidRPr="0025653C">
        <w:rPr>
          <w:rFonts w:asciiTheme="majorHAnsi" w:hAnsiTheme="majorHAnsi" w:cstheme="majorHAnsi"/>
        </w:rPr>
        <w:t>. Se analiz</w:t>
      </w:r>
      <w:r w:rsidR="00D13389">
        <w:rPr>
          <w:rFonts w:asciiTheme="majorHAnsi" w:hAnsiTheme="majorHAnsi" w:cstheme="majorHAnsi"/>
        </w:rPr>
        <w:t>ó</w:t>
      </w:r>
      <w:r w:rsidR="00A4614F" w:rsidRPr="0025653C">
        <w:rPr>
          <w:rFonts w:asciiTheme="majorHAnsi" w:hAnsiTheme="majorHAnsi" w:cstheme="majorHAnsi"/>
        </w:rPr>
        <w:t xml:space="preserve"> un</w:t>
      </w:r>
      <w:r w:rsidR="00D13389">
        <w:rPr>
          <w:rFonts w:asciiTheme="majorHAnsi" w:hAnsiTheme="majorHAnsi" w:cstheme="majorHAnsi"/>
        </w:rPr>
        <w:t>a muestra</w:t>
      </w:r>
      <w:r w:rsidR="00A4614F" w:rsidRPr="0025653C">
        <w:rPr>
          <w:rFonts w:asciiTheme="majorHAnsi" w:hAnsiTheme="majorHAnsi" w:cstheme="majorHAnsi"/>
        </w:rPr>
        <w:t xml:space="preserve"> de 632.734 pacientes </w:t>
      </w:r>
      <w:r w:rsidR="00D13389">
        <w:rPr>
          <w:rFonts w:asciiTheme="majorHAnsi" w:hAnsiTheme="majorHAnsi" w:cstheme="majorHAnsi"/>
        </w:rPr>
        <w:t>procedentes de</w:t>
      </w:r>
      <w:r w:rsidR="00A878FB" w:rsidRPr="0025653C">
        <w:rPr>
          <w:rFonts w:asciiTheme="majorHAnsi" w:hAnsiTheme="majorHAnsi" w:cstheme="majorHAnsi"/>
        </w:rPr>
        <w:t xml:space="preserve"> 3.379 centros de diálisis </w:t>
      </w:r>
      <w:r w:rsidR="00A4614F" w:rsidRPr="0025653C">
        <w:rPr>
          <w:rFonts w:asciiTheme="majorHAnsi" w:hAnsiTheme="majorHAnsi" w:cstheme="majorHAnsi"/>
        </w:rPr>
        <w:t>entre 2001 y 2011</w:t>
      </w:r>
      <w:r>
        <w:rPr>
          <w:rFonts w:asciiTheme="majorHAnsi" w:hAnsiTheme="majorHAnsi" w:cstheme="majorHAnsi"/>
        </w:rPr>
        <w:t xml:space="preserve">, siendo el </w:t>
      </w:r>
      <w:r w:rsidR="00A4614F" w:rsidRPr="0025653C">
        <w:rPr>
          <w:rFonts w:asciiTheme="majorHAnsi" w:hAnsiTheme="majorHAnsi" w:cstheme="majorHAnsi"/>
        </w:rPr>
        <w:t xml:space="preserve">índice IHH </w:t>
      </w:r>
      <w:r>
        <w:rPr>
          <w:rFonts w:asciiTheme="majorHAnsi" w:hAnsiTheme="majorHAnsi" w:cstheme="majorHAnsi"/>
        </w:rPr>
        <w:t xml:space="preserve">medio </w:t>
      </w:r>
      <w:r w:rsidR="00A4614F" w:rsidRPr="0025653C">
        <w:rPr>
          <w:rFonts w:asciiTheme="majorHAnsi" w:hAnsiTheme="majorHAnsi" w:cstheme="majorHAnsi"/>
        </w:rPr>
        <w:t xml:space="preserve">de 0,48. Tras ajustar por diferentes variables, </w:t>
      </w:r>
      <w:r w:rsidR="00427C54">
        <w:rPr>
          <w:rFonts w:asciiTheme="majorHAnsi" w:hAnsiTheme="majorHAnsi" w:cstheme="majorHAnsi"/>
        </w:rPr>
        <w:t xml:space="preserve">se encontró </w:t>
      </w:r>
      <w:r w:rsidR="00206A2C">
        <w:rPr>
          <w:rFonts w:asciiTheme="majorHAnsi" w:hAnsiTheme="majorHAnsi" w:cstheme="majorHAnsi"/>
        </w:rPr>
        <w:t>que una</w:t>
      </w:r>
      <w:r w:rsidR="00A4614F" w:rsidRPr="0025653C">
        <w:rPr>
          <w:rFonts w:asciiTheme="majorHAnsi" w:hAnsiTheme="majorHAnsi" w:cstheme="majorHAnsi"/>
        </w:rPr>
        <w:t xml:space="preserve"> </w:t>
      </w:r>
      <w:r w:rsidR="00916FD7" w:rsidRPr="0025653C">
        <w:rPr>
          <w:rFonts w:asciiTheme="majorHAnsi" w:hAnsiTheme="majorHAnsi" w:cstheme="majorHAnsi"/>
        </w:rPr>
        <w:t xml:space="preserve">reducción </w:t>
      </w:r>
      <w:r w:rsidR="00A4614F" w:rsidRPr="0025653C">
        <w:rPr>
          <w:rFonts w:asciiTheme="majorHAnsi" w:hAnsiTheme="majorHAnsi" w:cstheme="majorHAnsi"/>
        </w:rPr>
        <w:t>de 0</w:t>
      </w:r>
      <w:r w:rsidR="009601AE">
        <w:rPr>
          <w:rFonts w:asciiTheme="majorHAnsi" w:hAnsiTheme="majorHAnsi" w:cstheme="majorHAnsi"/>
        </w:rPr>
        <w:t>,</w:t>
      </w:r>
      <w:r w:rsidR="00A4614F" w:rsidRPr="0025653C">
        <w:rPr>
          <w:rFonts w:asciiTheme="majorHAnsi" w:hAnsiTheme="majorHAnsi" w:cstheme="majorHAnsi"/>
        </w:rPr>
        <w:t>2 unidades en IHH se asoció a un</w:t>
      </w:r>
      <w:r w:rsidR="00916FD7" w:rsidRPr="0025653C">
        <w:rPr>
          <w:rFonts w:asciiTheme="majorHAnsi" w:hAnsiTheme="majorHAnsi" w:cstheme="majorHAnsi"/>
        </w:rPr>
        <w:t>a disminución</w:t>
      </w:r>
      <w:r w:rsidR="00A4614F" w:rsidRPr="0025653C">
        <w:rPr>
          <w:rFonts w:asciiTheme="majorHAnsi" w:hAnsiTheme="majorHAnsi" w:cstheme="majorHAnsi"/>
        </w:rPr>
        <w:t xml:space="preserve"> </w:t>
      </w:r>
      <w:r w:rsidR="00427C54" w:rsidRPr="0025653C">
        <w:rPr>
          <w:rFonts w:asciiTheme="majorHAnsi" w:hAnsiTheme="majorHAnsi" w:cstheme="majorHAnsi"/>
        </w:rPr>
        <w:t xml:space="preserve">significativa </w:t>
      </w:r>
      <w:r w:rsidR="00A4614F" w:rsidRPr="0025653C">
        <w:rPr>
          <w:rFonts w:asciiTheme="majorHAnsi" w:hAnsiTheme="majorHAnsi" w:cstheme="majorHAnsi"/>
        </w:rPr>
        <w:t>en</w:t>
      </w:r>
      <w:r w:rsidR="00916FD7" w:rsidRPr="0025653C">
        <w:rPr>
          <w:rFonts w:asciiTheme="majorHAnsi" w:hAnsiTheme="majorHAnsi" w:cstheme="majorHAnsi"/>
        </w:rPr>
        <w:t xml:space="preserve"> las </w:t>
      </w:r>
      <w:r w:rsidR="00A4614F" w:rsidRPr="0025653C">
        <w:rPr>
          <w:rFonts w:asciiTheme="majorHAnsi" w:hAnsiTheme="majorHAnsi" w:cstheme="majorHAnsi"/>
        </w:rPr>
        <w:t xml:space="preserve">hospitalizaciones </w:t>
      </w:r>
      <w:r w:rsidR="00916FD7" w:rsidRPr="0025653C">
        <w:rPr>
          <w:rFonts w:asciiTheme="majorHAnsi" w:hAnsiTheme="majorHAnsi" w:cstheme="majorHAnsi"/>
        </w:rPr>
        <w:t xml:space="preserve">2,9 </w:t>
      </w:r>
      <w:r w:rsidR="00A4614F" w:rsidRPr="0025653C">
        <w:rPr>
          <w:rFonts w:asciiTheme="majorHAnsi" w:hAnsiTheme="majorHAnsi" w:cstheme="majorHAnsi"/>
        </w:rPr>
        <w:t>por 100 paciente-año</w:t>
      </w:r>
      <w:r w:rsidR="00206A2C">
        <w:rPr>
          <w:rFonts w:asciiTheme="majorHAnsi" w:hAnsiTheme="majorHAnsi" w:cstheme="majorHAnsi"/>
        </w:rPr>
        <w:t xml:space="preserve">, </w:t>
      </w:r>
      <w:r w:rsidR="00D13389">
        <w:rPr>
          <w:rFonts w:asciiTheme="majorHAnsi" w:hAnsiTheme="majorHAnsi" w:cstheme="majorHAnsi"/>
        </w:rPr>
        <w:t xml:space="preserve">es decir, un incremento de la competencia entre proveedores conlleva beneficios para los pacientes. Competencia que, sin embargo, </w:t>
      </w:r>
      <w:r w:rsidR="00206A2C">
        <w:rPr>
          <w:rFonts w:asciiTheme="majorHAnsi" w:hAnsiTheme="majorHAnsi" w:cstheme="majorHAnsi"/>
        </w:rPr>
        <w:t>no se asoció con la mortalidad</w:t>
      </w:r>
      <w:r w:rsidR="00BF3A06">
        <w:rPr>
          <w:rFonts w:asciiTheme="majorHAnsi" w:hAnsiTheme="majorHAnsi" w:cstheme="majorHAnsi"/>
        </w:rPr>
        <w:t xml:space="preserve"> (tabla 1)</w:t>
      </w:r>
      <w:r w:rsidR="00A4614F" w:rsidRPr="0025653C">
        <w:rPr>
          <w:rFonts w:asciiTheme="majorHAnsi" w:hAnsiTheme="majorHAnsi" w:cstheme="majorHAnsi"/>
        </w:rPr>
        <w:t xml:space="preserve">. </w:t>
      </w:r>
    </w:p>
    <w:p w14:paraId="0A1AB416" w14:textId="0ED5999D" w:rsidR="009F49DF" w:rsidRPr="0025653C" w:rsidRDefault="009F49DF" w:rsidP="009F49DF">
      <w:pPr>
        <w:spacing w:line="360" w:lineRule="auto"/>
        <w:jc w:val="both"/>
        <w:rPr>
          <w:rFonts w:asciiTheme="majorHAnsi" w:hAnsiTheme="majorHAnsi" w:cstheme="majorHAnsi"/>
          <w:b/>
        </w:rPr>
      </w:pPr>
      <w:r w:rsidRPr="0025653C">
        <w:rPr>
          <w:rFonts w:asciiTheme="majorHAnsi" w:hAnsiTheme="majorHAnsi" w:cstheme="majorHAnsi"/>
          <w:b/>
        </w:rPr>
        <w:t>Consecuencias económicas de la intervención</w:t>
      </w:r>
    </w:p>
    <w:p w14:paraId="64A9654D" w14:textId="20B56F72" w:rsidR="001A0604" w:rsidRDefault="00453869" w:rsidP="001A0604">
      <w:pPr>
        <w:spacing w:line="360" w:lineRule="auto"/>
        <w:ind w:firstLine="640"/>
        <w:jc w:val="both"/>
        <w:rPr>
          <w:rFonts w:asciiTheme="majorHAnsi" w:hAnsiTheme="majorHAnsi" w:cstheme="majorHAnsi"/>
          <w:lang w:val="es-ES_tradnl"/>
        </w:rPr>
      </w:pPr>
      <w:r>
        <w:rPr>
          <w:rFonts w:asciiTheme="majorHAnsi" w:hAnsiTheme="majorHAnsi" w:cstheme="majorHAnsi"/>
          <w:lang w:val="es-ES_tradnl"/>
        </w:rPr>
        <w:t xml:space="preserve">Un informe de la Agencia de Evaluación de Tecnologías Sanitaria de Andalucía analizó </w:t>
      </w:r>
      <w:r w:rsidR="00D13389">
        <w:rPr>
          <w:rFonts w:asciiTheme="majorHAnsi" w:hAnsiTheme="majorHAnsi" w:cstheme="majorHAnsi"/>
          <w:lang w:val="es-ES_tradnl"/>
        </w:rPr>
        <w:t>l</w:t>
      </w:r>
      <w:r w:rsidR="001A0604" w:rsidRPr="001A0604">
        <w:rPr>
          <w:rFonts w:asciiTheme="majorHAnsi" w:hAnsiTheme="majorHAnsi" w:cstheme="majorHAnsi"/>
          <w:lang w:val="es-ES_tradnl"/>
        </w:rPr>
        <w:t>a</w:t>
      </w:r>
      <w:r w:rsidR="001A0604">
        <w:rPr>
          <w:rFonts w:asciiTheme="majorHAnsi" w:hAnsiTheme="majorHAnsi" w:cstheme="majorHAnsi"/>
          <w:lang w:val="es-ES_tradnl"/>
        </w:rPr>
        <w:t xml:space="preserve"> </w:t>
      </w:r>
      <w:r w:rsidR="001A0604" w:rsidRPr="001A0604">
        <w:rPr>
          <w:rFonts w:asciiTheme="majorHAnsi" w:hAnsiTheme="majorHAnsi" w:cstheme="majorHAnsi"/>
          <w:lang w:val="es-ES_tradnl"/>
        </w:rPr>
        <w:t xml:space="preserve">diferencia en costes entre </w:t>
      </w:r>
      <w:r w:rsidR="001A0604" w:rsidRPr="006B101C">
        <w:rPr>
          <w:rFonts w:asciiTheme="majorHAnsi" w:hAnsiTheme="majorHAnsi" w:cstheme="majorHAnsi"/>
          <w:highlight w:val="yellow"/>
          <w:lang w:val="es-ES_tradnl"/>
        </w:rPr>
        <w:t>las modalidades de hemodiálisis</w:t>
      </w:r>
      <w:r w:rsidR="00D13389" w:rsidRPr="006B101C">
        <w:rPr>
          <w:rFonts w:asciiTheme="majorHAnsi" w:hAnsiTheme="majorHAnsi" w:cstheme="majorHAnsi"/>
          <w:highlight w:val="yellow"/>
          <w:lang w:val="es-ES_tradnl"/>
        </w:rPr>
        <w:t xml:space="preserve"> (HD)</w:t>
      </w:r>
      <w:r w:rsidR="001A0604" w:rsidRPr="006B101C">
        <w:rPr>
          <w:rFonts w:asciiTheme="majorHAnsi" w:hAnsiTheme="majorHAnsi" w:cstheme="majorHAnsi"/>
          <w:highlight w:val="yellow"/>
          <w:lang w:val="es-ES_tradnl"/>
        </w:rPr>
        <w:t xml:space="preserve"> hospitalaria</w:t>
      </w:r>
      <w:r w:rsidR="005475FB" w:rsidRPr="006B101C">
        <w:rPr>
          <w:rFonts w:asciiTheme="majorHAnsi" w:hAnsiTheme="majorHAnsi" w:cstheme="majorHAnsi"/>
          <w:highlight w:val="yellow"/>
          <w:lang w:val="es-ES_tradnl"/>
        </w:rPr>
        <w:t xml:space="preserve"> (HD</w:t>
      </w:r>
      <w:r w:rsidR="00661FED" w:rsidRPr="006B101C">
        <w:rPr>
          <w:rFonts w:asciiTheme="majorHAnsi" w:hAnsiTheme="majorHAnsi" w:cstheme="majorHAnsi"/>
          <w:highlight w:val="yellow"/>
          <w:lang w:val="es-ES_tradnl"/>
        </w:rPr>
        <w:t>H</w:t>
      </w:r>
      <w:r w:rsidR="005475FB" w:rsidRPr="006B101C">
        <w:rPr>
          <w:rFonts w:asciiTheme="majorHAnsi" w:hAnsiTheme="majorHAnsi" w:cstheme="majorHAnsi"/>
          <w:highlight w:val="yellow"/>
          <w:lang w:val="es-ES_tradnl"/>
        </w:rPr>
        <w:t>)</w:t>
      </w:r>
      <w:r w:rsidR="001A0604" w:rsidRPr="006B101C">
        <w:rPr>
          <w:rFonts w:asciiTheme="majorHAnsi" w:hAnsiTheme="majorHAnsi" w:cstheme="majorHAnsi"/>
          <w:highlight w:val="yellow"/>
          <w:lang w:val="es-ES_tradnl"/>
        </w:rPr>
        <w:t xml:space="preserve"> </w:t>
      </w:r>
      <w:r w:rsidR="00C46AF8" w:rsidRPr="006B101C">
        <w:rPr>
          <w:rFonts w:asciiTheme="majorHAnsi" w:hAnsiTheme="majorHAnsi" w:cstheme="majorHAnsi"/>
          <w:highlight w:val="yellow"/>
          <w:lang w:val="es-ES_tradnl"/>
        </w:rPr>
        <w:t xml:space="preserve">(n=256 pacientes) </w:t>
      </w:r>
      <w:r w:rsidR="001A0604" w:rsidRPr="006B101C">
        <w:rPr>
          <w:rFonts w:asciiTheme="majorHAnsi" w:hAnsiTheme="majorHAnsi" w:cstheme="majorHAnsi"/>
          <w:highlight w:val="yellow"/>
          <w:lang w:val="es-ES_tradnl"/>
        </w:rPr>
        <w:t>y la concertada</w:t>
      </w:r>
      <w:r w:rsidR="005475FB" w:rsidRPr="006B101C">
        <w:rPr>
          <w:rFonts w:asciiTheme="majorHAnsi" w:hAnsiTheme="majorHAnsi" w:cstheme="majorHAnsi"/>
          <w:highlight w:val="yellow"/>
          <w:lang w:val="es-ES_tradnl"/>
        </w:rPr>
        <w:t xml:space="preserve"> (HDC)</w:t>
      </w:r>
      <w:r w:rsidR="00C46AF8" w:rsidRPr="006B101C">
        <w:rPr>
          <w:rFonts w:asciiTheme="majorHAnsi" w:hAnsiTheme="majorHAnsi" w:cstheme="majorHAnsi"/>
          <w:highlight w:val="yellow"/>
          <w:lang w:val="es-ES_tradnl"/>
        </w:rPr>
        <w:t xml:space="preserve"> (n=226)</w:t>
      </w:r>
      <w:r w:rsidR="001A0604" w:rsidRPr="006B101C">
        <w:rPr>
          <w:rFonts w:asciiTheme="majorHAnsi" w:hAnsiTheme="majorHAnsi" w:cstheme="majorHAnsi"/>
          <w:highlight w:val="yellow"/>
          <w:lang w:val="es-ES_tradnl"/>
        </w:rPr>
        <w:t>.</w:t>
      </w:r>
      <w:r w:rsidR="001A0604" w:rsidRPr="001A0604">
        <w:rPr>
          <w:rFonts w:asciiTheme="majorHAnsi" w:hAnsiTheme="majorHAnsi" w:cstheme="majorHAnsi"/>
          <w:lang w:val="es-ES_tradnl"/>
        </w:rPr>
        <w:t xml:space="preserve"> </w:t>
      </w:r>
      <w:r w:rsidR="00C46AF8" w:rsidRPr="00C46AF8">
        <w:rPr>
          <w:rFonts w:asciiTheme="majorHAnsi" w:hAnsiTheme="majorHAnsi" w:cstheme="majorHAnsi"/>
          <w:lang w:val="es-ES_tradnl"/>
        </w:rPr>
        <w:t>El coste total anual</w:t>
      </w:r>
      <w:r w:rsidR="006839FE">
        <w:rPr>
          <w:rFonts w:asciiTheme="majorHAnsi" w:hAnsiTheme="majorHAnsi" w:cstheme="majorHAnsi"/>
          <w:lang w:val="es-ES_tradnl"/>
        </w:rPr>
        <w:t>, por paciente y año,</w:t>
      </w:r>
      <w:r w:rsidR="00C46AF8" w:rsidRPr="00C46AF8">
        <w:rPr>
          <w:rFonts w:asciiTheme="majorHAnsi" w:hAnsiTheme="majorHAnsi" w:cstheme="majorHAnsi"/>
          <w:lang w:val="es-ES_tradnl"/>
        </w:rPr>
        <w:t xml:space="preserve"> </w:t>
      </w:r>
      <w:r w:rsidR="00D13389">
        <w:rPr>
          <w:rFonts w:asciiTheme="majorHAnsi" w:hAnsiTheme="majorHAnsi" w:cstheme="majorHAnsi"/>
          <w:lang w:val="es-ES_tradnl"/>
        </w:rPr>
        <w:t>ascendió a</w:t>
      </w:r>
      <w:r w:rsidR="00C46AF8" w:rsidRPr="00C46AF8">
        <w:rPr>
          <w:rFonts w:asciiTheme="majorHAnsi" w:hAnsiTheme="majorHAnsi" w:cstheme="majorHAnsi"/>
          <w:lang w:val="es-ES_tradnl"/>
        </w:rPr>
        <w:t xml:space="preserve"> 45.395,40</w:t>
      </w:r>
      <w:r w:rsidR="00D13389">
        <w:rPr>
          <w:rFonts w:asciiTheme="majorHAnsi" w:hAnsiTheme="majorHAnsi" w:cstheme="majorHAnsi"/>
          <w:lang w:val="es-ES_tradnl"/>
        </w:rPr>
        <w:t>€</w:t>
      </w:r>
      <w:r w:rsidR="00C46AF8" w:rsidRPr="00C46AF8">
        <w:rPr>
          <w:rFonts w:asciiTheme="majorHAnsi" w:hAnsiTheme="majorHAnsi" w:cstheme="majorHAnsi"/>
          <w:lang w:val="es-ES_tradnl"/>
        </w:rPr>
        <w:t xml:space="preserve"> en HD</w:t>
      </w:r>
      <w:r>
        <w:rPr>
          <w:rFonts w:asciiTheme="majorHAnsi" w:hAnsiTheme="majorHAnsi" w:cstheme="majorHAnsi"/>
          <w:lang w:val="es-ES_tradnl"/>
        </w:rPr>
        <w:t>H</w:t>
      </w:r>
      <w:r w:rsidR="00C46AF8" w:rsidRPr="00C46AF8">
        <w:rPr>
          <w:rFonts w:asciiTheme="majorHAnsi" w:hAnsiTheme="majorHAnsi" w:cstheme="majorHAnsi"/>
          <w:lang w:val="es-ES_tradnl"/>
        </w:rPr>
        <w:t xml:space="preserve"> frente a 38.815,77€ en </w:t>
      </w:r>
      <w:r>
        <w:rPr>
          <w:rFonts w:asciiTheme="majorHAnsi" w:hAnsiTheme="majorHAnsi" w:cstheme="majorHAnsi"/>
          <w:lang w:val="es-ES_tradnl"/>
        </w:rPr>
        <w:t>HDC</w:t>
      </w:r>
      <w:r w:rsidR="00C46AF8" w:rsidRPr="00C46AF8">
        <w:rPr>
          <w:rFonts w:asciiTheme="majorHAnsi" w:hAnsiTheme="majorHAnsi" w:cstheme="majorHAnsi"/>
          <w:lang w:val="es-ES_tradnl"/>
        </w:rPr>
        <w:t>.</w:t>
      </w:r>
      <w:r w:rsidR="00C46AF8">
        <w:rPr>
          <w:rFonts w:asciiTheme="majorHAnsi" w:hAnsiTheme="majorHAnsi" w:cstheme="majorHAnsi"/>
          <w:lang w:val="es-ES_tradnl"/>
        </w:rPr>
        <w:t xml:space="preserve"> </w:t>
      </w:r>
      <w:r w:rsidR="00C46AF8" w:rsidRPr="001A0604">
        <w:rPr>
          <w:rFonts w:asciiTheme="majorHAnsi" w:hAnsiTheme="majorHAnsi" w:cstheme="majorHAnsi"/>
          <w:lang w:val="es-ES_tradnl"/>
        </w:rPr>
        <w:t>Esta diferencia</w:t>
      </w:r>
      <w:r w:rsidR="00C46AF8">
        <w:rPr>
          <w:rFonts w:asciiTheme="majorHAnsi" w:hAnsiTheme="majorHAnsi" w:cstheme="majorHAnsi"/>
          <w:lang w:val="es-ES_tradnl"/>
        </w:rPr>
        <w:t xml:space="preserve"> </w:t>
      </w:r>
      <w:r w:rsidR="00C46AF8" w:rsidRPr="001A0604">
        <w:rPr>
          <w:rFonts w:asciiTheme="majorHAnsi" w:hAnsiTheme="majorHAnsi" w:cstheme="majorHAnsi"/>
          <w:lang w:val="es-ES_tradnl"/>
        </w:rPr>
        <w:t>se explica principalmente por la estructura mucho más compleja existente</w:t>
      </w:r>
      <w:r w:rsidR="00C46AF8">
        <w:rPr>
          <w:rFonts w:asciiTheme="majorHAnsi" w:hAnsiTheme="majorHAnsi" w:cstheme="majorHAnsi"/>
          <w:lang w:val="es-ES_tradnl"/>
        </w:rPr>
        <w:t xml:space="preserve"> </w:t>
      </w:r>
      <w:r w:rsidR="00C46AF8" w:rsidRPr="001A0604">
        <w:rPr>
          <w:rFonts w:asciiTheme="majorHAnsi" w:hAnsiTheme="majorHAnsi" w:cstheme="majorHAnsi"/>
          <w:lang w:val="es-ES_tradnl"/>
        </w:rPr>
        <w:t>en el hospital respecto a los centros donde se realiza la diálisis concertada</w:t>
      </w:r>
      <w:r w:rsidR="00C46AF8">
        <w:rPr>
          <w:rFonts w:asciiTheme="majorHAnsi" w:hAnsiTheme="majorHAnsi" w:cstheme="majorHAnsi"/>
          <w:lang w:val="es-ES_tradnl"/>
        </w:rPr>
        <w:t xml:space="preserve">, </w:t>
      </w:r>
      <w:r w:rsidR="006839FE">
        <w:rPr>
          <w:rFonts w:asciiTheme="majorHAnsi" w:hAnsiTheme="majorHAnsi" w:cstheme="majorHAnsi"/>
          <w:lang w:val="es-ES_tradnl"/>
        </w:rPr>
        <w:t>y que supone un incremento, sobre los costes directos de 6.718,52€ y 2.573,03€ en cada una de las modalidades</w:t>
      </w:r>
      <w:r w:rsidR="00C46AF8" w:rsidRPr="001A0604">
        <w:rPr>
          <w:rFonts w:asciiTheme="majorHAnsi" w:hAnsiTheme="majorHAnsi" w:cstheme="majorHAnsi"/>
          <w:lang w:val="es-ES_tradnl"/>
        </w:rPr>
        <w:t>.</w:t>
      </w:r>
      <w:r w:rsidR="00C46AF8">
        <w:rPr>
          <w:rFonts w:asciiTheme="majorHAnsi" w:hAnsiTheme="majorHAnsi" w:cstheme="majorHAnsi"/>
          <w:lang w:val="es-ES_tradnl"/>
        </w:rPr>
        <w:t xml:space="preserve"> </w:t>
      </w:r>
      <w:r w:rsidR="006839FE">
        <w:rPr>
          <w:rFonts w:asciiTheme="majorHAnsi" w:hAnsiTheme="majorHAnsi" w:cstheme="majorHAnsi"/>
          <w:lang w:val="es-ES_tradnl"/>
        </w:rPr>
        <w:t>C</w:t>
      </w:r>
      <w:r w:rsidR="001A0604" w:rsidRPr="001A0604">
        <w:rPr>
          <w:rFonts w:asciiTheme="majorHAnsi" w:hAnsiTheme="majorHAnsi" w:cstheme="majorHAnsi"/>
          <w:lang w:val="es-ES_tradnl"/>
        </w:rPr>
        <w:t>ostes directos</w:t>
      </w:r>
      <w:r w:rsidR="006839FE">
        <w:rPr>
          <w:rFonts w:asciiTheme="majorHAnsi" w:hAnsiTheme="majorHAnsi" w:cstheme="majorHAnsi"/>
          <w:lang w:val="es-ES_tradnl"/>
        </w:rPr>
        <w:t xml:space="preserve">, por su parte, </w:t>
      </w:r>
      <w:r w:rsidR="001A0604" w:rsidRPr="001A0604">
        <w:rPr>
          <w:rFonts w:asciiTheme="majorHAnsi" w:hAnsiTheme="majorHAnsi" w:cstheme="majorHAnsi"/>
          <w:lang w:val="es-ES_tradnl"/>
        </w:rPr>
        <w:t>muy similares</w:t>
      </w:r>
      <w:r w:rsidR="006839FE">
        <w:rPr>
          <w:rFonts w:asciiTheme="majorHAnsi" w:hAnsiTheme="majorHAnsi" w:cstheme="majorHAnsi"/>
          <w:lang w:val="es-ES_tradnl"/>
        </w:rPr>
        <w:t xml:space="preserve"> en la </w:t>
      </w:r>
      <w:r w:rsidR="006839FE" w:rsidRPr="001A0604">
        <w:rPr>
          <w:rFonts w:asciiTheme="majorHAnsi" w:hAnsiTheme="majorHAnsi" w:cstheme="majorHAnsi"/>
          <w:lang w:val="es-ES_tradnl"/>
        </w:rPr>
        <w:t>HD hospitalaria y concertada</w:t>
      </w:r>
      <w:r w:rsidR="001A0604" w:rsidRPr="001A0604">
        <w:rPr>
          <w:rFonts w:asciiTheme="majorHAnsi" w:hAnsiTheme="majorHAnsi" w:cstheme="majorHAnsi"/>
          <w:lang w:val="es-ES_tradnl"/>
        </w:rPr>
        <w:t xml:space="preserve">, </w:t>
      </w:r>
      <w:r w:rsidR="006839FE">
        <w:rPr>
          <w:rFonts w:asciiTheme="majorHAnsi" w:hAnsiTheme="majorHAnsi" w:cstheme="majorHAnsi"/>
          <w:lang w:val="es-ES_tradnl"/>
        </w:rPr>
        <w:t>con</w:t>
      </w:r>
      <w:r w:rsidR="001A0604" w:rsidRPr="001A0604">
        <w:rPr>
          <w:rFonts w:asciiTheme="majorHAnsi" w:hAnsiTheme="majorHAnsi" w:cstheme="majorHAnsi"/>
          <w:lang w:val="es-ES_tradnl"/>
        </w:rPr>
        <w:t xml:space="preserve"> 38.676,88€</w:t>
      </w:r>
      <w:r w:rsidR="001A0604">
        <w:rPr>
          <w:rFonts w:asciiTheme="majorHAnsi" w:hAnsiTheme="majorHAnsi" w:cstheme="majorHAnsi"/>
          <w:lang w:val="es-ES_tradnl"/>
        </w:rPr>
        <w:t xml:space="preserve"> </w:t>
      </w:r>
      <w:r w:rsidR="001A0604" w:rsidRPr="001A0604">
        <w:rPr>
          <w:rFonts w:asciiTheme="majorHAnsi" w:hAnsiTheme="majorHAnsi" w:cstheme="majorHAnsi"/>
          <w:lang w:val="es-ES_tradnl"/>
        </w:rPr>
        <w:t xml:space="preserve">y 36.062,74€ </w:t>
      </w:r>
      <w:r w:rsidR="006839FE">
        <w:rPr>
          <w:rFonts w:asciiTheme="majorHAnsi" w:hAnsiTheme="majorHAnsi" w:cstheme="majorHAnsi"/>
          <w:lang w:val="es-ES_tradnl"/>
        </w:rPr>
        <w:t>respectivamente</w:t>
      </w:r>
      <w:r w:rsidR="008D3BB2">
        <w:rPr>
          <w:rFonts w:asciiTheme="majorHAnsi" w:hAnsiTheme="majorHAnsi" w:cstheme="majorHAnsi"/>
          <w:lang w:val="es-ES_tradnl"/>
        </w:rPr>
        <w:fldChar w:fldCharType="begin" w:fldLock="1"/>
      </w:r>
      <w:r w:rsidR="008100F2">
        <w:rPr>
          <w:rFonts w:asciiTheme="majorHAnsi" w:hAnsiTheme="majorHAnsi" w:cstheme="majorHAnsi"/>
          <w:lang w:val="es-ES_tradnl"/>
        </w:rPr>
        <w:instrText>ADDIN CSL_CITATION {"citationItems":[{"id":"ITEM-1","itemData":{"ISBN":"9788415600350","author":[{"dropping-particle":"","family":"Márquez","given":"S","non-dropping-particle":"","parse-names":false,"suffix":""},{"dropping-particle":"","family":"Caro","given":"Araceli","non-dropping-particle":"","parse-names":false,"suffix":""},{"dropping-particle":"","family":"Adam","given":"Daniel","non-dropping-particle":"","parse-names":false,"suffix":""},{"dropping-particle":"","family":"Olry-de-Labry-Lima","given":"Antonio","non-dropping-particle":"","parse-names":false,"suffix":""},{"dropping-particle":"","family":"Navarro","given":"JA","non-dropping-particle":"","parse-names":false,"suffix":""},{"dropping-particle":"","family":"García","given":"Leticia","non-dropping-particle":"","parse-names":false,"suffix":""}],"id":"ITEM-1","issued":{"date-parts":[["2013"]]},"title":"Eficiencia de la diálisis peritoneal frente a hemodiálisis para el tratamiento de la insuficiencia renal. Informes de evaluación de tecnologías sanitarias AETSA","type":"book"},"uris":["http://www.mendeley.com/documents/?uuid=f4735f38-8a98-4c6c-a51c-c212c1b6d8d3"]}],"mendeley":{"formattedCitation":"&lt;sup&gt;3&lt;/sup&gt;","plainTextFormattedCitation":"3","previouslyFormattedCitation":"&lt;sup&gt;3&lt;/sup&gt;"},"properties":{"noteIndex":0},"schema":"https://github.com/citation-style-language/schema/raw/master/csl-citation.json"}</w:instrText>
      </w:r>
      <w:r w:rsidR="008D3BB2">
        <w:rPr>
          <w:rFonts w:asciiTheme="majorHAnsi" w:hAnsiTheme="majorHAnsi" w:cstheme="majorHAnsi"/>
          <w:lang w:val="es-ES_tradnl"/>
        </w:rPr>
        <w:fldChar w:fldCharType="separate"/>
      </w:r>
      <w:r w:rsidR="00095194" w:rsidRPr="00095194">
        <w:rPr>
          <w:rFonts w:asciiTheme="majorHAnsi" w:hAnsiTheme="majorHAnsi" w:cstheme="majorHAnsi"/>
          <w:noProof/>
          <w:vertAlign w:val="superscript"/>
          <w:lang w:val="es-ES_tradnl"/>
        </w:rPr>
        <w:t>3</w:t>
      </w:r>
      <w:r w:rsidR="008D3BB2">
        <w:rPr>
          <w:rFonts w:asciiTheme="majorHAnsi" w:hAnsiTheme="majorHAnsi" w:cstheme="majorHAnsi"/>
          <w:lang w:val="es-ES_tradnl"/>
        </w:rPr>
        <w:fldChar w:fldCharType="end"/>
      </w:r>
      <w:r w:rsidR="00C46AF8">
        <w:rPr>
          <w:rFonts w:asciiTheme="majorHAnsi" w:hAnsiTheme="majorHAnsi" w:cstheme="majorHAnsi"/>
          <w:lang w:val="es-ES_tradnl"/>
        </w:rPr>
        <w:t>.</w:t>
      </w:r>
      <w:r w:rsidR="001A0604" w:rsidRPr="001A0604">
        <w:rPr>
          <w:rFonts w:asciiTheme="majorHAnsi" w:hAnsiTheme="majorHAnsi" w:cstheme="majorHAnsi"/>
          <w:lang w:val="es-ES_tradnl"/>
        </w:rPr>
        <w:t xml:space="preserve"> </w:t>
      </w:r>
    </w:p>
    <w:p w14:paraId="5A84AA28" w14:textId="26E4BCB9" w:rsidR="00453869" w:rsidRDefault="00453869" w:rsidP="001A0604">
      <w:pPr>
        <w:spacing w:line="360" w:lineRule="auto"/>
        <w:ind w:firstLine="640"/>
        <w:jc w:val="both"/>
        <w:rPr>
          <w:rFonts w:asciiTheme="majorHAnsi" w:hAnsiTheme="majorHAnsi" w:cstheme="majorHAnsi"/>
          <w:lang w:val="es-ES_tradnl"/>
        </w:rPr>
      </w:pPr>
      <w:r w:rsidRPr="006B101C">
        <w:rPr>
          <w:rFonts w:asciiTheme="majorHAnsi" w:hAnsiTheme="majorHAnsi" w:cstheme="majorHAnsi"/>
          <w:highlight w:val="yellow"/>
          <w:lang w:val="es-ES_tradnl"/>
        </w:rPr>
        <w:t xml:space="preserve">Un estudio </w:t>
      </w:r>
      <w:r w:rsidR="005C0BC7" w:rsidRPr="006B101C">
        <w:rPr>
          <w:rFonts w:asciiTheme="majorHAnsi" w:hAnsiTheme="majorHAnsi" w:cstheme="majorHAnsi"/>
          <w:highlight w:val="yellow"/>
          <w:lang w:val="es-ES_tradnl"/>
        </w:rPr>
        <w:t>de costes multicéntrico</w:t>
      </w:r>
      <w:r w:rsidR="00B57DD4" w:rsidRPr="006B101C">
        <w:rPr>
          <w:rFonts w:asciiTheme="majorHAnsi" w:hAnsiTheme="majorHAnsi" w:cstheme="majorHAnsi"/>
          <w:highlight w:val="yellow"/>
          <w:lang w:val="es-ES_tradnl"/>
        </w:rPr>
        <w:t>, dos de titularidad</w:t>
      </w:r>
      <w:r w:rsidR="005C0BC7" w:rsidRPr="006B101C">
        <w:rPr>
          <w:rFonts w:asciiTheme="majorHAnsi" w:hAnsiTheme="majorHAnsi" w:cstheme="majorHAnsi"/>
          <w:highlight w:val="yellow"/>
          <w:lang w:val="es-ES_tradnl"/>
        </w:rPr>
        <w:t xml:space="preserve"> pública y cuatro concertados, obtuvo un</w:t>
      </w:r>
      <w:r w:rsidR="00B57DD4" w:rsidRPr="006B101C">
        <w:rPr>
          <w:rFonts w:asciiTheme="majorHAnsi" w:hAnsiTheme="majorHAnsi" w:cstheme="majorHAnsi"/>
          <w:highlight w:val="yellow"/>
          <w:lang w:val="es-ES_tradnl"/>
        </w:rPr>
        <w:t xml:space="preserve"> coste medio de 40.136€; oscilando entre 33.130€ y 45.370€ </w:t>
      </w:r>
      <w:r w:rsidR="005C0BC7" w:rsidRPr="006B101C">
        <w:rPr>
          <w:rFonts w:asciiTheme="majorHAnsi" w:hAnsiTheme="majorHAnsi" w:cstheme="majorHAnsi"/>
          <w:highlight w:val="yellow"/>
          <w:lang w:val="es-ES_tradnl"/>
        </w:rPr>
        <w:t xml:space="preserve">en el caso de los </w:t>
      </w:r>
      <w:r w:rsidR="00B57DD4" w:rsidRPr="006B101C">
        <w:rPr>
          <w:rFonts w:asciiTheme="majorHAnsi" w:hAnsiTheme="majorHAnsi" w:cstheme="majorHAnsi"/>
          <w:highlight w:val="yellow"/>
          <w:lang w:val="es-ES_tradnl"/>
        </w:rPr>
        <w:t>centros concertados,</w:t>
      </w:r>
      <w:r w:rsidR="005C0BC7" w:rsidRPr="006B101C">
        <w:rPr>
          <w:rFonts w:asciiTheme="majorHAnsi" w:hAnsiTheme="majorHAnsi" w:cstheme="majorHAnsi"/>
          <w:highlight w:val="yellow"/>
          <w:lang w:val="es-ES_tradnl"/>
        </w:rPr>
        <w:t xml:space="preserve"> y</w:t>
      </w:r>
      <w:r w:rsidR="00B57DD4" w:rsidRPr="006B101C">
        <w:rPr>
          <w:rFonts w:asciiTheme="majorHAnsi" w:hAnsiTheme="majorHAnsi" w:cstheme="majorHAnsi"/>
          <w:highlight w:val="yellow"/>
          <w:lang w:val="es-ES_tradnl"/>
        </w:rPr>
        <w:t xml:space="preserve"> </w:t>
      </w:r>
      <w:r w:rsidR="005C0BC7" w:rsidRPr="006B101C">
        <w:rPr>
          <w:rFonts w:asciiTheme="majorHAnsi" w:hAnsiTheme="majorHAnsi" w:cstheme="majorHAnsi"/>
          <w:highlight w:val="yellow"/>
          <w:lang w:val="es-ES_tradnl"/>
        </w:rPr>
        <w:t xml:space="preserve">entre </w:t>
      </w:r>
      <w:r w:rsidR="00B57DD4" w:rsidRPr="006B101C">
        <w:rPr>
          <w:rFonts w:asciiTheme="majorHAnsi" w:hAnsiTheme="majorHAnsi" w:cstheme="majorHAnsi"/>
          <w:highlight w:val="yellow"/>
          <w:lang w:val="es-ES_tradnl"/>
        </w:rPr>
        <w:t>46.254€ y 44.486€</w:t>
      </w:r>
      <w:r w:rsidR="005C0BC7" w:rsidRPr="006B101C">
        <w:rPr>
          <w:rFonts w:asciiTheme="majorHAnsi" w:hAnsiTheme="majorHAnsi" w:cstheme="majorHAnsi"/>
          <w:highlight w:val="yellow"/>
          <w:lang w:val="es-ES_tradnl"/>
        </w:rPr>
        <w:t xml:space="preserve"> para los centros públicos</w:t>
      </w:r>
      <w:r w:rsidR="00B57DD4" w:rsidRPr="006B101C">
        <w:rPr>
          <w:rFonts w:asciiTheme="majorHAnsi" w:hAnsiTheme="majorHAnsi" w:cstheme="majorHAnsi"/>
          <w:highlight w:val="yellow"/>
          <w:lang w:val="es-ES_tradnl"/>
        </w:rPr>
        <w:fldChar w:fldCharType="begin" w:fldLock="1"/>
      </w:r>
      <w:r w:rsidR="00B57DD4" w:rsidRPr="006B101C">
        <w:rPr>
          <w:rFonts w:asciiTheme="majorHAnsi" w:hAnsiTheme="majorHAnsi" w:cstheme="majorHAnsi"/>
          <w:highlight w:val="yellow"/>
          <w:lang w:val="es-ES_tradnl"/>
        </w:rPr>
        <w:instrText>ADDIN CSL_CITATION {"citationItems":[{"id":"ITEM-1","itemData":{"DOI":"10.3265/Nefrologia.pre2011.Apr.10813","ISSN":"1989-2284 (Electronic)","PMID":"21629336","abstract":"BACKGROUND: Previous studies to determine the cost of haemodialysis (HD) in Spain  have significant limitations: they are outdated or used indirect methods. There is also a lack of analysis performed simultaneously on Public centres (PC), with direct HD services, and partially state-subsidised centres (SC). This is an important issue since the two systems coexist in Spain. OBJECTIVES: To estimate the cost of HD replacement therapy for chronic renal failure in several centres. METHODS: This is a prospective and publicly-funded study, which estimates the costs for 2008 using a cost accounting system with specific allocation criteria. We collected demographic and comorbidity data for each centre. RESULTS: Six centres participated, two PC and four SC. There were no significant differences between centres in terms of patient demographics, time on haemodialysis and the Charlson comorbidity index. The total cost per patient per year ranged between € 46, 254 and € 33,130. The cost per patient per year (excluding vascular access and hospital admission) for PC was € 42, 547 and € 39, 289 and for SC € 32 872, € 29, 786, € 35, 461 and € 35, 294 (23% more in PC than SC). Costs related to staff/patient/year and consumables/patient/year were 67% and 83% respectively, higher for PC than SC. The highest percentage cost was for staff (average 30.9%), which showed significant variability between centres, both in absolute numbers (staff cost per patient per year between € 18,151 and € 8504) and as a percentage (between 42.6 % and 25.4%). CONCLUSIONS: Cost variability exists among different HD centres, and this can be attributed primarily to staff and consumables costs, which is higher for PC than SC.","author":[{"dropping-particle":"","family":"Parra Moncasi","given":"E","non-dropping-particle":"","parse-names":false,"suffix":""},{"dropping-particle":"","family":"Arenas Jiménez","given":"M D","non-dropping-particle":"","parse-names":false,"suffix":""},{"dropping-particle":"","family":"Alonso","given":"M","non-dropping-particle":"","parse-names":false,"suffix":""},{"dropping-particle":"","family":"Martínez","given":"M F","non-dropping-particle":"","parse-names":false,"suffix":""},{"dropping-particle":"","family":"Gámen Pardo","given":"A","non-dropping-particle":"","parse-names":false,"suffix":""},{"dropping-particle":"","family":"Rebollo","given":"P","non-dropping-particle":"","parse-names":false,"suffix":""},{"dropping-particle":"","family":"Ortega Montoliú","given":"T","non-dropping-particle":"","parse-names":false,"suffix":""},{"dropping-particle":"","family":"Martínez Terrer","given":"T","non-dropping-particle":"","parse-names":false,"suffix":""},{"dropping-particle":"","family":"Alvarez-Ude","given":"F","non-dropping-particle":"","parse-names":false,"suffix":""}],"container-title":"Nefrologia : publicacion oficial de la Sociedad Espanola Nefrologia","id":"ITEM-1","issue":"3","issued":{"date-parts":[["2011"]]},"language":"eng","page":"299-307","publisher-place":"Spain","title":"Multicentre study of haemodialysis costs.","type":"article-journal","volume":"31"},"uris":["http://www.mendeley.com/documents/?uuid=663dacd5-96af-403e-b510-005baf3f12a2"]}],"mendeley":{"formattedCitation":"&lt;sup&gt;26&lt;/sup&gt;","plainTextFormattedCitation":"26","previouslyFormattedCitation":"&lt;sup&gt;26&lt;/sup&gt;"},"properties":{"noteIndex":0},"schema":"https://github.com/citation-style-language/schema/raw/master/csl-citation.json"}</w:instrText>
      </w:r>
      <w:r w:rsidR="00B57DD4" w:rsidRPr="006B101C">
        <w:rPr>
          <w:rFonts w:asciiTheme="majorHAnsi" w:hAnsiTheme="majorHAnsi" w:cstheme="majorHAnsi"/>
          <w:highlight w:val="yellow"/>
          <w:lang w:val="es-ES_tradnl"/>
        </w:rPr>
        <w:fldChar w:fldCharType="separate"/>
      </w:r>
      <w:r w:rsidR="00B57DD4" w:rsidRPr="006B101C">
        <w:rPr>
          <w:rFonts w:asciiTheme="majorHAnsi" w:hAnsiTheme="majorHAnsi" w:cstheme="majorHAnsi"/>
          <w:noProof/>
          <w:highlight w:val="yellow"/>
          <w:vertAlign w:val="superscript"/>
          <w:lang w:val="es-ES_tradnl"/>
        </w:rPr>
        <w:t>26</w:t>
      </w:r>
      <w:r w:rsidR="00B57DD4" w:rsidRPr="006B101C">
        <w:rPr>
          <w:rFonts w:asciiTheme="majorHAnsi" w:hAnsiTheme="majorHAnsi" w:cstheme="majorHAnsi"/>
          <w:highlight w:val="yellow"/>
          <w:lang w:val="es-ES_tradnl"/>
        </w:rPr>
        <w:fldChar w:fldCharType="end"/>
      </w:r>
      <w:r w:rsidR="00B57DD4" w:rsidRPr="006B101C">
        <w:rPr>
          <w:rFonts w:asciiTheme="majorHAnsi" w:hAnsiTheme="majorHAnsi" w:cstheme="majorHAnsi"/>
          <w:highlight w:val="yellow"/>
          <w:lang w:val="es-ES_tradnl"/>
        </w:rPr>
        <w:t>. Se encontró una distribución similar entre los tipos de centros salvo en gasto en personal que era del 37,3% del total en los públicos y del 27,7% del total en los concertados. Por el contrario, otros gastos (transporte, gestión o mantenimiento) fue mayor en los centros concertados con un 24,4% frente al 17,1% de aquellos de titularidad pública.</w:t>
      </w:r>
      <w:r w:rsidR="00B57DD4">
        <w:rPr>
          <w:rFonts w:asciiTheme="majorHAnsi" w:hAnsiTheme="majorHAnsi" w:cstheme="majorHAnsi"/>
          <w:lang w:val="es-ES_tradnl"/>
        </w:rPr>
        <w:t xml:space="preserve">   </w:t>
      </w:r>
    </w:p>
    <w:p w14:paraId="3C5B29FC" w14:textId="54053B90" w:rsidR="00453869" w:rsidRDefault="007601C4" w:rsidP="00D611ED">
      <w:pPr>
        <w:spacing w:line="360" w:lineRule="auto"/>
        <w:ind w:firstLine="640"/>
        <w:jc w:val="both"/>
        <w:rPr>
          <w:rFonts w:asciiTheme="majorHAnsi" w:hAnsiTheme="majorHAnsi" w:cstheme="majorHAnsi"/>
        </w:rPr>
      </w:pPr>
      <w:r>
        <w:rPr>
          <w:rFonts w:asciiTheme="majorHAnsi" w:hAnsiTheme="majorHAnsi" w:cstheme="majorHAnsi"/>
          <w:lang w:val="es-ES_tradnl"/>
        </w:rPr>
        <w:t>En el estudio</w:t>
      </w:r>
      <w:r w:rsidR="009644CA">
        <w:rPr>
          <w:rFonts w:asciiTheme="majorHAnsi" w:hAnsiTheme="majorHAnsi" w:cstheme="majorHAnsi"/>
          <w:lang w:val="es-ES_tradnl"/>
        </w:rPr>
        <w:t xml:space="preserve"> de Conde-</w:t>
      </w:r>
      <w:r w:rsidR="009644CA" w:rsidRPr="009644CA">
        <w:rPr>
          <w:rFonts w:asciiTheme="majorHAnsi" w:hAnsiTheme="majorHAnsi" w:cstheme="majorHAnsi"/>
          <w:lang w:val="es-ES_tradnl"/>
        </w:rPr>
        <w:t>Olasagasti</w:t>
      </w:r>
      <w:r w:rsidR="009644CA">
        <w:rPr>
          <w:rFonts w:asciiTheme="majorHAnsi" w:hAnsiTheme="majorHAnsi" w:cstheme="majorHAnsi"/>
          <w:lang w:val="es-ES_tradnl"/>
        </w:rPr>
        <w:t xml:space="preserve"> (2017)</w:t>
      </w:r>
      <w:r w:rsidR="003F68F4">
        <w:rPr>
          <w:rFonts w:asciiTheme="majorHAnsi" w:hAnsiTheme="majorHAnsi" w:cstheme="majorHAnsi"/>
          <w:lang w:val="es-ES_tradnl"/>
        </w:rPr>
        <w:fldChar w:fldCharType="begin" w:fldLock="1"/>
      </w:r>
      <w:r w:rsidR="008100F2">
        <w:rPr>
          <w:rFonts w:asciiTheme="majorHAnsi" w:hAnsiTheme="majorHAnsi" w:cstheme="majorHAnsi"/>
          <w:lang w:val="es-ES_tradnl"/>
        </w:rPr>
        <w:instrText>ADDIN CSL_CITATION {"citationItems":[{"id":"ITEM-1","itemData":{"ISSN":"2013-2514","author":[{"dropping-particle":"","family":"Olasagasti","given":"José L Conde","non-dropping-particle":"","parse-names":false,"suffix":""},{"dropping-particle":"","family":"Diaz","given":"José Eugenio Garcia","non-dropping-particle":"","parse-names":false,"suffix":""},{"dropping-particle":"","family":"Benitez","given":"Pilar Carrasco","non-dropping-particle":"","parse-names":false,"suffix":""},{"dropping-particle":"","family":"Ruiz","given":"Miguel Ángel Mareque","non-dropping-particle":"","parse-names":false,"suffix":""},{"dropping-particle":"","family":"Partido","given":"María Pilar Parras","non-dropping-particle":"","parse-names":false,"suffix":""},{"dropping-particle":"","family":"Alia","given":"Inmaculada Moreno","non-dropping-particle":"","parse-names":false,"suffix":""},{"dropping-particle":"","family":"Lopez","given":"Laura Jimenez","non-dropping-particle":"","parse-names":false,"suffix":""},{"dropping-particle":"","family":"Lecumberri","given":"Juan José Cia","non-dropping-particle":"","parse-names":false,"suffix":""},{"dropping-particle":"","family":"Araque","given":"Pilar","non-dropping-particle":"","parse-names":false,"suffix":""},{"dropping-particle":"","family":"Fernandez","given":"Mariano","non-dropping-particle":"","parse-names":false,"suffix":""}],"container-title":"Nefrología","id":"ITEM-1","issue":"3","issued":{"date-parts":[["2017"]]},"page":"285-292","publisher":"Elsevier","title":"Cost analysis of integrated renal replacement therapy program in the province of Toledo (2012–2013)","type":"article-journal","volume":"37"},"uris":["http://www.mendeley.com/documents/?uuid=9999c45b-b1e1-493f-a381-d9104bd4721a"]}],"mendeley":{"formattedCitation":"&lt;sup&gt;27&lt;/sup&gt;","plainTextFormattedCitation":"27","previouslyFormattedCitation":"&lt;sup&gt;27&lt;/sup&gt;"},"properties":{"noteIndex":0},"schema":"https://github.com/citation-style-language/schema/raw/master/csl-citation.json"}</w:instrText>
      </w:r>
      <w:r w:rsidR="003F68F4">
        <w:rPr>
          <w:rFonts w:asciiTheme="majorHAnsi" w:hAnsiTheme="majorHAnsi" w:cstheme="majorHAnsi"/>
          <w:lang w:val="es-ES_tradnl"/>
        </w:rPr>
        <w:fldChar w:fldCharType="separate"/>
      </w:r>
      <w:r w:rsidR="00B57DD4" w:rsidRPr="00B57DD4">
        <w:rPr>
          <w:rFonts w:asciiTheme="majorHAnsi" w:hAnsiTheme="majorHAnsi" w:cstheme="majorHAnsi"/>
          <w:noProof/>
          <w:vertAlign w:val="superscript"/>
          <w:lang w:val="es-ES_tradnl"/>
        </w:rPr>
        <w:t>27</w:t>
      </w:r>
      <w:r w:rsidR="003F68F4">
        <w:rPr>
          <w:rFonts w:asciiTheme="majorHAnsi" w:hAnsiTheme="majorHAnsi" w:cstheme="majorHAnsi"/>
          <w:lang w:val="es-ES_tradnl"/>
        </w:rPr>
        <w:fldChar w:fldCharType="end"/>
      </w:r>
      <w:r w:rsidR="009644CA">
        <w:rPr>
          <w:rFonts w:asciiTheme="majorHAnsi" w:hAnsiTheme="majorHAnsi" w:cstheme="majorHAnsi"/>
          <w:lang w:val="es-ES_tradnl"/>
        </w:rPr>
        <w:t xml:space="preserve"> se estimó</w:t>
      </w:r>
      <w:r w:rsidR="0090105D">
        <w:rPr>
          <w:rFonts w:asciiTheme="majorHAnsi" w:hAnsiTheme="majorHAnsi" w:cstheme="majorHAnsi"/>
          <w:lang w:val="es-ES_tradnl"/>
        </w:rPr>
        <w:t xml:space="preserve"> </w:t>
      </w:r>
      <w:r w:rsidR="009644CA">
        <w:rPr>
          <w:rFonts w:asciiTheme="majorHAnsi" w:hAnsiTheme="majorHAnsi" w:cstheme="majorHAnsi"/>
          <w:lang w:val="es-ES_tradnl"/>
        </w:rPr>
        <w:t>el coste del</w:t>
      </w:r>
      <w:r>
        <w:rPr>
          <w:rFonts w:asciiTheme="majorHAnsi" w:hAnsiTheme="majorHAnsi" w:cstheme="majorHAnsi"/>
          <w:lang w:val="es-ES_tradnl"/>
        </w:rPr>
        <w:t xml:space="preserve"> programa de la</w:t>
      </w:r>
      <w:r w:rsidR="009644CA">
        <w:rPr>
          <w:rFonts w:asciiTheme="majorHAnsi" w:hAnsiTheme="majorHAnsi" w:cstheme="majorHAnsi"/>
          <w:lang w:val="es-ES_tradnl"/>
        </w:rPr>
        <w:t xml:space="preserve"> diálisis en Toledo</w:t>
      </w:r>
      <w:r w:rsidR="00F0138C">
        <w:rPr>
          <w:rFonts w:asciiTheme="majorHAnsi" w:hAnsiTheme="majorHAnsi" w:cstheme="majorHAnsi"/>
          <w:lang w:val="es-ES_tradnl"/>
        </w:rPr>
        <w:t xml:space="preserve"> </w:t>
      </w:r>
      <w:r w:rsidR="0090105D">
        <w:rPr>
          <w:rFonts w:asciiTheme="majorHAnsi" w:hAnsiTheme="majorHAnsi" w:cstheme="majorHAnsi"/>
          <w:lang w:val="es-ES_tradnl"/>
        </w:rPr>
        <w:t>para</w:t>
      </w:r>
      <w:r w:rsidR="00F0138C">
        <w:rPr>
          <w:rFonts w:asciiTheme="majorHAnsi" w:hAnsiTheme="majorHAnsi" w:cstheme="majorHAnsi"/>
          <w:lang w:val="es-ES_tradnl"/>
        </w:rPr>
        <w:t xml:space="preserve"> los años 2012 y 2013. </w:t>
      </w:r>
      <w:r w:rsidR="005A5658">
        <w:rPr>
          <w:rFonts w:asciiTheme="majorHAnsi" w:hAnsiTheme="majorHAnsi" w:cstheme="majorHAnsi"/>
          <w:lang w:val="es-ES_tradnl"/>
        </w:rPr>
        <w:t>E</w:t>
      </w:r>
      <w:r w:rsidR="00E76174">
        <w:rPr>
          <w:rFonts w:asciiTheme="majorHAnsi" w:hAnsiTheme="majorHAnsi" w:cstheme="majorHAnsi"/>
          <w:lang w:val="es-ES_tradnl"/>
        </w:rPr>
        <w:t xml:space="preserve">l coste total del tratamiento fue de </w:t>
      </w:r>
      <w:r w:rsidR="00E76174" w:rsidRPr="00E76174">
        <w:rPr>
          <w:rFonts w:asciiTheme="majorHAnsi" w:hAnsiTheme="majorHAnsi" w:cstheme="majorHAnsi"/>
          <w:lang w:val="es-ES_tradnl"/>
        </w:rPr>
        <w:t>15.778.360</w:t>
      </w:r>
      <w:r w:rsidR="00E76174">
        <w:rPr>
          <w:rFonts w:asciiTheme="majorHAnsi" w:hAnsiTheme="majorHAnsi" w:cstheme="majorHAnsi"/>
          <w:lang w:val="es-ES_tradnl"/>
        </w:rPr>
        <w:t>€, de</w:t>
      </w:r>
      <w:r w:rsidR="005A5658">
        <w:rPr>
          <w:rFonts w:asciiTheme="majorHAnsi" w:hAnsiTheme="majorHAnsi" w:cstheme="majorHAnsi"/>
          <w:lang w:val="es-ES_tradnl"/>
        </w:rPr>
        <w:t>l que un</w:t>
      </w:r>
      <w:r w:rsidR="00A12342">
        <w:rPr>
          <w:rFonts w:asciiTheme="majorHAnsi" w:hAnsiTheme="majorHAnsi" w:cstheme="majorHAnsi"/>
          <w:lang w:val="es-ES_tradnl"/>
        </w:rPr>
        <w:t xml:space="preserve"> </w:t>
      </w:r>
      <w:r w:rsidR="005A5658">
        <w:rPr>
          <w:rFonts w:asciiTheme="majorHAnsi" w:hAnsiTheme="majorHAnsi" w:cstheme="majorHAnsi"/>
          <w:lang w:val="es-ES_tradnl"/>
        </w:rPr>
        <w:t>40,1% correspondía a</w:t>
      </w:r>
      <w:r w:rsidR="00E76174">
        <w:rPr>
          <w:rFonts w:asciiTheme="majorHAnsi" w:hAnsiTheme="majorHAnsi" w:cstheme="majorHAnsi"/>
          <w:lang w:val="es-ES_tradnl"/>
        </w:rPr>
        <w:t xml:space="preserve">l tratamiento de diálisis, </w:t>
      </w:r>
      <w:r w:rsidR="005A5658">
        <w:rPr>
          <w:rFonts w:asciiTheme="majorHAnsi" w:hAnsiTheme="majorHAnsi" w:cstheme="majorHAnsi"/>
          <w:lang w:val="es-ES_tradnl"/>
        </w:rPr>
        <w:t>un</w:t>
      </w:r>
      <w:r w:rsidR="00E76174">
        <w:rPr>
          <w:rFonts w:asciiTheme="majorHAnsi" w:hAnsiTheme="majorHAnsi" w:cstheme="majorHAnsi"/>
          <w:lang w:val="es-ES_tradnl"/>
        </w:rPr>
        <w:t xml:space="preserve"> 21,2% a carga hospitalaria (</w:t>
      </w:r>
      <w:r w:rsidR="00E76174" w:rsidRPr="00E76174">
        <w:rPr>
          <w:rFonts w:asciiTheme="majorHAnsi" w:hAnsiTheme="majorHAnsi" w:cstheme="majorHAnsi"/>
          <w:lang w:val="es-ES_tradnl"/>
        </w:rPr>
        <w:t>cirugía mayor ambulatoria</w:t>
      </w:r>
      <w:r w:rsidR="00E76174">
        <w:rPr>
          <w:rFonts w:asciiTheme="majorHAnsi" w:hAnsiTheme="majorHAnsi" w:cstheme="majorHAnsi"/>
          <w:lang w:val="es-ES_tradnl"/>
        </w:rPr>
        <w:t>, consultas externas y visitas a urgencias),</w:t>
      </w:r>
      <w:r w:rsidR="00E76174" w:rsidRPr="00E76174">
        <w:rPr>
          <w:rFonts w:asciiTheme="majorHAnsi" w:hAnsiTheme="majorHAnsi" w:cstheme="majorHAnsi"/>
          <w:lang w:val="es-ES_tradnl"/>
        </w:rPr>
        <w:t xml:space="preserve"> </w:t>
      </w:r>
      <w:r w:rsidR="005A5658">
        <w:rPr>
          <w:rFonts w:asciiTheme="majorHAnsi" w:hAnsiTheme="majorHAnsi" w:cstheme="majorHAnsi"/>
          <w:lang w:val="es-ES_tradnl"/>
        </w:rPr>
        <w:t>un</w:t>
      </w:r>
      <w:r w:rsidR="00E76174">
        <w:rPr>
          <w:rFonts w:asciiTheme="majorHAnsi" w:hAnsiTheme="majorHAnsi" w:cstheme="majorHAnsi"/>
          <w:lang w:val="es-ES_tradnl"/>
        </w:rPr>
        <w:t xml:space="preserve"> 20,3% </w:t>
      </w:r>
      <w:r w:rsidR="005A5658">
        <w:rPr>
          <w:rFonts w:asciiTheme="majorHAnsi" w:hAnsiTheme="majorHAnsi" w:cstheme="majorHAnsi"/>
          <w:lang w:val="es-ES_tradnl"/>
        </w:rPr>
        <w:t xml:space="preserve">a </w:t>
      </w:r>
      <w:r w:rsidR="00E76174">
        <w:rPr>
          <w:rFonts w:asciiTheme="majorHAnsi" w:hAnsiTheme="majorHAnsi" w:cstheme="majorHAnsi"/>
          <w:lang w:val="es-ES_tradnl"/>
        </w:rPr>
        <w:t xml:space="preserve">farmacia, </w:t>
      </w:r>
      <w:r w:rsidR="005A5658">
        <w:rPr>
          <w:rFonts w:asciiTheme="majorHAnsi" w:hAnsiTheme="majorHAnsi" w:cstheme="majorHAnsi"/>
          <w:lang w:val="es-ES_tradnl"/>
        </w:rPr>
        <w:t>un</w:t>
      </w:r>
      <w:r w:rsidR="00E76174">
        <w:rPr>
          <w:rFonts w:asciiTheme="majorHAnsi" w:hAnsiTheme="majorHAnsi" w:cstheme="majorHAnsi"/>
          <w:lang w:val="es-ES_tradnl"/>
        </w:rPr>
        <w:t xml:space="preserve"> 10,1% </w:t>
      </w:r>
      <w:r w:rsidR="005A5658">
        <w:rPr>
          <w:rFonts w:asciiTheme="majorHAnsi" w:hAnsiTheme="majorHAnsi" w:cstheme="majorHAnsi"/>
          <w:lang w:val="es-ES_tradnl"/>
        </w:rPr>
        <w:t xml:space="preserve">a </w:t>
      </w:r>
      <w:r w:rsidR="00E76174">
        <w:rPr>
          <w:rFonts w:asciiTheme="majorHAnsi" w:hAnsiTheme="majorHAnsi" w:cstheme="majorHAnsi"/>
          <w:lang w:val="es-ES_tradnl"/>
        </w:rPr>
        <w:t xml:space="preserve">transporte y </w:t>
      </w:r>
      <w:r w:rsidR="005A5658">
        <w:rPr>
          <w:rFonts w:asciiTheme="majorHAnsi" w:hAnsiTheme="majorHAnsi" w:cstheme="majorHAnsi"/>
          <w:lang w:val="es-ES_tradnl"/>
        </w:rPr>
        <w:t>un</w:t>
      </w:r>
      <w:r w:rsidR="00E76174">
        <w:rPr>
          <w:rFonts w:asciiTheme="majorHAnsi" w:hAnsiTheme="majorHAnsi" w:cstheme="majorHAnsi"/>
          <w:lang w:val="es-ES_tradnl"/>
        </w:rPr>
        <w:t xml:space="preserve"> 7,5% </w:t>
      </w:r>
      <w:r w:rsidR="005A5658">
        <w:rPr>
          <w:rFonts w:asciiTheme="majorHAnsi" w:hAnsiTheme="majorHAnsi" w:cstheme="majorHAnsi"/>
          <w:lang w:val="es-ES_tradnl"/>
        </w:rPr>
        <w:t xml:space="preserve">en concepto de </w:t>
      </w:r>
      <w:r w:rsidR="00E76174">
        <w:rPr>
          <w:rFonts w:asciiTheme="majorHAnsi" w:hAnsiTheme="majorHAnsi" w:cstheme="majorHAnsi"/>
          <w:lang w:val="es-ES_tradnl"/>
        </w:rPr>
        <w:t>apoyo (</w:t>
      </w:r>
      <w:r w:rsidR="00E76174" w:rsidRPr="00E76174">
        <w:rPr>
          <w:rFonts w:asciiTheme="majorHAnsi" w:hAnsiTheme="majorHAnsi" w:cstheme="majorHAnsi"/>
          <w:lang w:val="es-ES_tradnl"/>
        </w:rPr>
        <w:t>sesiones de HD no programadas, entrenamiento en</w:t>
      </w:r>
      <w:r w:rsidR="00E76174">
        <w:rPr>
          <w:rFonts w:asciiTheme="majorHAnsi" w:hAnsiTheme="majorHAnsi" w:cstheme="majorHAnsi"/>
          <w:lang w:val="es-ES_tradnl"/>
        </w:rPr>
        <w:t xml:space="preserve"> </w:t>
      </w:r>
      <w:r w:rsidR="00E76174" w:rsidRPr="00E76174">
        <w:rPr>
          <w:rFonts w:asciiTheme="majorHAnsi" w:hAnsiTheme="majorHAnsi" w:cstheme="majorHAnsi"/>
          <w:lang w:val="es-ES_tradnl"/>
        </w:rPr>
        <w:t>DP</w:t>
      </w:r>
      <w:r w:rsidR="005A5658">
        <w:rPr>
          <w:rFonts w:asciiTheme="majorHAnsi" w:hAnsiTheme="majorHAnsi" w:cstheme="majorHAnsi"/>
          <w:lang w:val="es-ES_tradnl"/>
        </w:rPr>
        <w:t xml:space="preserve"> o</w:t>
      </w:r>
      <w:r w:rsidR="00E76174" w:rsidRPr="00E76174">
        <w:rPr>
          <w:rFonts w:asciiTheme="majorHAnsi" w:hAnsiTheme="majorHAnsi" w:cstheme="majorHAnsi"/>
          <w:lang w:val="es-ES_tradnl"/>
        </w:rPr>
        <w:t xml:space="preserve"> atención a imprevistos en</w:t>
      </w:r>
      <w:r w:rsidR="005A5658">
        <w:rPr>
          <w:rFonts w:asciiTheme="majorHAnsi" w:hAnsiTheme="majorHAnsi" w:cstheme="majorHAnsi"/>
          <w:lang w:val="es-ES_tradnl"/>
        </w:rPr>
        <w:t xml:space="preserve"> el</w:t>
      </w:r>
      <w:r w:rsidR="00E76174" w:rsidRPr="00E76174">
        <w:rPr>
          <w:rFonts w:asciiTheme="majorHAnsi" w:hAnsiTheme="majorHAnsi" w:cstheme="majorHAnsi"/>
          <w:lang w:val="es-ES_tradnl"/>
        </w:rPr>
        <w:t xml:space="preserve"> hospital de día).</w:t>
      </w:r>
      <w:r w:rsidR="00E76174">
        <w:rPr>
          <w:rFonts w:asciiTheme="majorHAnsi" w:hAnsiTheme="majorHAnsi" w:cstheme="majorHAnsi"/>
          <w:lang w:val="es-ES_tradnl"/>
        </w:rPr>
        <w:t xml:space="preserve"> Así, el coste el c</w:t>
      </w:r>
      <w:r w:rsidR="00E76174" w:rsidRPr="00E76174">
        <w:rPr>
          <w:rFonts w:asciiTheme="majorHAnsi" w:hAnsiTheme="majorHAnsi" w:cstheme="majorHAnsi"/>
          <w:lang w:val="es-ES_tradnl"/>
        </w:rPr>
        <w:t xml:space="preserve">oste </w:t>
      </w:r>
      <w:r w:rsidR="005A5658">
        <w:rPr>
          <w:rFonts w:asciiTheme="majorHAnsi" w:hAnsiTheme="majorHAnsi" w:cstheme="majorHAnsi"/>
          <w:lang w:val="es-ES_tradnl"/>
        </w:rPr>
        <w:t xml:space="preserve">por </w:t>
      </w:r>
      <w:r w:rsidR="00E76174" w:rsidRPr="00E76174">
        <w:rPr>
          <w:rFonts w:asciiTheme="majorHAnsi" w:hAnsiTheme="majorHAnsi" w:cstheme="majorHAnsi"/>
          <w:lang w:val="es-ES_tradnl"/>
        </w:rPr>
        <w:t>paciente</w:t>
      </w:r>
      <w:r w:rsidR="005A5658">
        <w:rPr>
          <w:rFonts w:asciiTheme="majorHAnsi" w:hAnsiTheme="majorHAnsi" w:cstheme="majorHAnsi"/>
          <w:lang w:val="es-ES_tradnl"/>
        </w:rPr>
        <w:t xml:space="preserve"> y </w:t>
      </w:r>
      <w:r w:rsidR="00E76174" w:rsidRPr="00E76174">
        <w:rPr>
          <w:rFonts w:asciiTheme="majorHAnsi" w:hAnsiTheme="majorHAnsi" w:cstheme="majorHAnsi"/>
          <w:lang w:val="es-ES_tradnl"/>
        </w:rPr>
        <w:t>a</w:t>
      </w:r>
      <w:r w:rsidR="00E76174">
        <w:rPr>
          <w:rFonts w:asciiTheme="majorHAnsi" w:hAnsiTheme="majorHAnsi" w:cstheme="majorHAnsi"/>
          <w:lang w:val="es-ES_tradnl"/>
        </w:rPr>
        <w:t>ñ</w:t>
      </w:r>
      <w:r w:rsidR="00E76174" w:rsidRPr="00E76174">
        <w:rPr>
          <w:rFonts w:asciiTheme="majorHAnsi" w:hAnsiTheme="majorHAnsi" w:cstheme="majorHAnsi"/>
          <w:lang w:val="es-ES_tradnl"/>
        </w:rPr>
        <w:t>o</w:t>
      </w:r>
      <w:r w:rsidR="00E76174">
        <w:rPr>
          <w:rFonts w:asciiTheme="majorHAnsi" w:hAnsiTheme="majorHAnsi" w:cstheme="majorHAnsi"/>
          <w:lang w:val="es-ES_tradnl"/>
        </w:rPr>
        <w:t xml:space="preserve"> de la </w:t>
      </w:r>
      <w:r w:rsidR="005A5658">
        <w:rPr>
          <w:rFonts w:asciiTheme="majorHAnsi" w:hAnsiTheme="majorHAnsi" w:cstheme="majorHAnsi"/>
          <w:lang w:val="es-ES_tradnl"/>
        </w:rPr>
        <w:t>HDH</w:t>
      </w:r>
      <w:r w:rsidR="00E76174">
        <w:rPr>
          <w:rFonts w:asciiTheme="majorHAnsi" w:hAnsiTheme="majorHAnsi" w:cstheme="majorHAnsi"/>
          <w:lang w:val="es-ES_tradnl"/>
        </w:rPr>
        <w:t xml:space="preserve"> fue de </w:t>
      </w:r>
      <w:r w:rsidR="00E76174" w:rsidRPr="00E76174">
        <w:rPr>
          <w:rFonts w:asciiTheme="majorHAnsi" w:hAnsiTheme="majorHAnsi" w:cstheme="majorHAnsi"/>
          <w:lang w:val="es-ES_tradnl"/>
        </w:rPr>
        <w:t>53.289</w:t>
      </w:r>
      <w:r w:rsidR="00E76174">
        <w:rPr>
          <w:rFonts w:asciiTheme="majorHAnsi" w:hAnsiTheme="majorHAnsi" w:cstheme="majorHAnsi"/>
          <w:lang w:val="es-ES_tradnl"/>
        </w:rPr>
        <w:t xml:space="preserve">€ frente a los </w:t>
      </w:r>
      <w:r w:rsidR="00E76174" w:rsidRPr="00E76174">
        <w:rPr>
          <w:rFonts w:asciiTheme="majorHAnsi" w:hAnsiTheme="majorHAnsi" w:cstheme="majorHAnsi"/>
          <w:lang w:val="es-ES_tradnl"/>
        </w:rPr>
        <w:t>44.971</w:t>
      </w:r>
      <w:r w:rsidR="00E76174">
        <w:rPr>
          <w:rFonts w:asciiTheme="majorHAnsi" w:hAnsiTheme="majorHAnsi" w:cstheme="majorHAnsi"/>
          <w:lang w:val="es-ES_tradnl"/>
        </w:rPr>
        <w:t>€ de</w:t>
      </w:r>
      <w:r w:rsidR="00E76174">
        <w:rPr>
          <w:rFonts w:asciiTheme="majorHAnsi" w:hAnsiTheme="majorHAnsi" w:cstheme="majorHAnsi"/>
        </w:rPr>
        <w:t xml:space="preserve"> la </w:t>
      </w:r>
      <w:r w:rsidR="005A5658">
        <w:rPr>
          <w:rFonts w:asciiTheme="majorHAnsi" w:hAnsiTheme="majorHAnsi" w:cstheme="majorHAnsi"/>
        </w:rPr>
        <w:t>HDC</w:t>
      </w:r>
      <w:r w:rsidR="00E76174">
        <w:rPr>
          <w:rFonts w:asciiTheme="majorHAnsi" w:hAnsiTheme="majorHAnsi" w:cstheme="majorHAnsi"/>
        </w:rPr>
        <w:t xml:space="preserve">. </w:t>
      </w:r>
      <w:r w:rsidR="005A5658">
        <w:rPr>
          <w:rFonts w:asciiTheme="majorHAnsi" w:hAnsiTheme="majorHAnsi" w:cstheme="majorHAnsi"/>
        </w:rPr>
        <w:t xml:space="preserve">La comparativa de los diferentes componentes de coste permite observar </w:t>
      </w:r>
      <w:r w:rsidR="00634182" w:rsidRPr="00634182">
        <w:rPr>
          <w:rFonts w:asciiTheme="majorHAnsi" w:hAnsiTheme="majorHAnsi" w:cstheme="majorHAnsi"/>
        </w:rPr>
        <w:t xml:space="preserve">que la principal diferencia de costes entre una y otra modalidad está en lo que se denomina carga hospitalaria, o gastos derivados de la asistencia médica directa (HDH 9.599€ vs. HDC 6.721€), seguido del coste de la diálisis (HDH 27.289€ vs. HDC 24.653€). La parte </w:t>
      </w:r>
      <w:r w:rsidR="00634182" w:rsidRPr="00634182">
        <w:rPr>
          <w:rFonts w:asciiTheme="majorHAnsi" w:hAnsiTheme="majorHAnsi" w:cstheme="majorHAnsi"/>
        </w:rPr>
        <w:lastRenderedPageBreak/>
        <w:t>de coste que el transporte, la farmacia o el apoyo supone en el total de coste de cada modalidad no presentó diferencias importantes entre la HD hospitalaria o concertada</w:t>
      </w:r>
      <w:r w:rsidR="00BF3A06">
        <w:rPr>
          <w:rFonts w:asciiTheme="majorHAnsi" w:hAnsiTheme="majorHAnsi" w:cstheme="majorHAnsi"/>
        </w:rPr>
        <w:t xml:space="preserve"> (tabla 1)</w:t>
      </w:r>
      <w:r w:rsidR="00634182" w:rsidRPr="00634182">
        <w:rPr>
          <w:rFonts w:asciiTheme="majorHAnsi" w:hAnsiTheme="majorHAnsi" w:cstheme="majorHAnsi"/>
        </w:rPr>
        <w:t xml:space="preserve">. </w:t>
      </w:r>
    </w:p>
    <w:p w14:paraId="3D8CC096" w14:textId="47F4950D" w:rsidR="00750CE0" w:rsidRPr="0025653C" w:rsidRDefault="00FB7097" w:rsidP="00797442">
      <w:pPr>
        <w:spacing w:line="360" w:lineRule="auto"/>
        <w:jc w:val="both"/>
        <w:rPr>
          <w:rFonts w:asciiTheme="majorHAnsi" w:hAnsiTheme="majorHAnsi" w:cstheme="majorHAnsi"/>
          <w:b/>
        </w:rPr>
      </w:pPr>
      <w:r>
        <w:rPr>
          <w:rFonts w:asciiTheme="majorHAnsi" w:hAnsiTheme="majorHAnsi" w:cstheme="majorHAnsi"/>
          <w:b/>
        </w:rPr>
        <w:t xml:space="preserve">Precios públicos de las sesiones de </w:t>
      </w:r>
      <w:r w:rsidR="00297CB1">
        <w:rPr>
          <w:rFonts w:asciiTheme="majorHAnsi" w:hAnsiTheme="majorHAnsi" w:cstheme="majorHAnsi"/>
          <w:b/>
        </w:rPr>
        <w:t>hemod</w:t>
      </w:r>
      <w:r>
        <w:rPr>
          <w:rFonts w:asciiTheme="majorHAnsi" w:hAnsiTheme="majorHAnsi" w:cstheme="majorHAnsi"/>
          <w:b/>
        </w:rPr>
        <w:t xml:space="preserve">iálisis </w:t>
      </w:r>
      <w:r w:rsidR="00432B17">
        <w:rPr>
          <w:rFonts w:asciiTheme="majorHAnsi" w:hAnsiTheme="majorHAnsi" w:cstheme="majorHAnsi"/>
          <w:b/>
        </w:rPr>
        <w:t>en España</w:t>
      </w:r>
    </w:p>
    <w:p w14:paraId="4C5E3485" w14:textId="4759CEC3" w:rsidR="00427C54" w:rsidRDefault="00FB7097" w:rsidP="00D611ED">
      <w:pPr>
        <w:spacing w:line="360" w:lineRule="auto"/>
        <w:ind w:firstLine="640"/>
        <w:jc w:val="both"/>
        <w:rPr>
          <w:rFonts w:asciiTheme="majorHAnsi" w:hAnsiTheme="majorHAnsi" w:cstheme="majorHAnsi"/>
        </w:rPr>
      </w:pPr>
      <w:r>
        <w:rPr>
          <w:rFonts w:asciiTheme="majorHAnsi" w:hAnsiTheme="majorHAnsi" w:cstheme="majorHAnsi"/>
        </w:rPr>
        <w:t>E</w:t>
      </w:r>
      <w:r w:rsidR="00427C54">
        <w:rPr>
          <w:rFonts w:asciiTheme="majorHAnsi" w:hAnsiTheme="majorHAnsi" w:cstheme="majorHAnsi"/>
        </w:rPr>
        <w:t xml:space="preserve">n la tabla </w:t>
      </w:r>
      <w:r w:rsidR="00BD543C">
        <w:rPr>
          <w:rFonts w:asciiTheme="majorHAnsi" w:hAnsiTheme="majorHAnsi" w:cstheme="majorHAnsi"/>
        </w:rPr>
        <w:t>2</w:t>
      </w:r>
      <w:r w:rsidR="00427C54">
        <w:rPr>
          <w:rFonts w:asciiTheme="majorHAnsi" w:hAnsiTheme="majorHAnsi" w:cstheme="majorHAnsi"/>
        </w:rPr>
        <w:t xml:space="preserve"> se muestran las tarifas públicas de los servicios de </w:t>
      </w:r>
      <w:r w:rsidR="00432B17">
        <w:rPr>
          <w:rFonts w:asciiTheme="majorHAnsi" w:hAnsiTheme="majorHAnsi" w:cstheme="majorHAnsi"/>
        </w:rPr>
        <w:t>diálisis</w:t>
      </w:r>
      <w:r w:rsidR="00427C54">
        <w:rPr>
          <w:rFonts w:asciiTheme="majorHAnsi" w:hAnsiTheme="majorHAnsi" w:cstheme="majorHAnsi"/>
        </w:rPr>
        <w:t xml:space="preserve"> de las diferentes Comunidades </w:t>
      </w:r>
      <w:r w:rsidR="000D3C64">
        <w:rPr>
          <w:rFonts w:asciiTheme="majorHAnsi" w:hAnsiTheme="majorHAnsi" w:cstheme="majorHAnsi"/>
        </w:rPr>
        <w:t>Autónomas</w:t>
      </w:r>
      <w:r w:rsidR="007A654B">
        <w:rPr>
          <w:rFonts w:asciiTheme="majorHAnsi" w:hAnsiTheme="majorHAnsi" w:cstheme="majorHAnsi"/>
        </w:rPr>
        <w:fldChar w:fldCharType="begin" w:fldLock="1"/>
      </w:r>
      <w:r w:rsidR="0072361E">
        <w:rPr>
          <w:rFonts w:asciiTheme="majorHAnsi" w:hAnsiTheme="majorHAnsi" w:cstheme="majorHAnsi"/>
        </w:rPr>
        <w:instrText>ADDIN CSL_CITATION {"citationItems":[{"id":"ITEM-1","itemData":{"ISBN":"0212-033X","ISSN":"0212-033X","URL":"http://www.boe.es","abstract":"Núm. 144 Miércoles 17 de junio de 2015 Sec. I. Pág. 50319 I. DISPOSICIONES GENERALES MINISTERIO DE EDUCACIÓN, CULTURA Y DEPORTE 6705 Real Decreto 415/2015, de 29 de mayo, por el que se modifica el Real Decreto 1312/2007, de 5 de octubre, por el que se establece la acreditación nacional para el acceso a los cuerpos docentes universitarios. Los procedimientos de evaluación dirigidos a obtener la acreditación necesaria para poder acceder a los cuerpos docentes universitarios tienen como objetivo que las universidades puedan seleccionar a los mejores profesionales, con vocación de servicio público, para la docencia e investigación en la Universidad. Con este real decreto se pretende llevar a cabo una simplificación normativa y una mejora regulatoria de los procedimientos de acreditación del profesorado universitario; también se busca garantizar mayor objetividad y transparencia en la acreditación del personal docente universitario, así como potenciar el uso de las tecnologías de la información y de la comunicación en dichos procedimientos. La Ley Orgánica 4/2007, de 12 de abril, por la que se modifica la Ley Orgánica 6/2001, de 21 de diciembre, de Universidades, estructura el personal docente universitario en dos cuerpos de funcionarios, el de Catedráticos de Universidad y el de Profesores Titulares de Universidad. Junto a ello, estableció un nuevo modelo de acreditación del profesorado, en el que, a diferencia de la habilitación hasta entonces vigente, se eliminó la oferta de un número de plazas previamente delimitadas. El Real Decreto 1312/2007, de 5 de octubre, por el que se establece la acreditación nacional para el acceso a los cuerpos docentes universitarios, desarrolla este segundo elemento, inspirado en la tradición académica de la evaluación por pares. La presente modificación del sistema de acreditación nacional para el acceso a los cuerpos docentes universitarios es resultado de la experiencia acumulada por la Agencia Nacional de Evaluación de la Calidad y Acreditación (ANECA) durante los 6 años de vigencia del sistema de acreditación. Partiendo de dicha experiencia, y de los aspectos susceptibles de mejora, se plantean los cambios que recoge esta norma, siguiendo además el modelo de otros países de nuestro entorno. La primera novedad que se introduce consiste en la supresión del concepto de acreditación universal, conforme al cual los interesados, independientemente de la rama de conocimiento por la que hubieran decidido ser evaluados, resultaba…","accessed":{"date-parts":[["2021","1","17"]]},"id":"ITEM-1","issued":{"date-parts":[["2013"]]},"title":"Resolución de 19 de julio de 2013, del Instituto Nacional de Gestión Sanitaria, sobre revisión de precios a aplicar por los centros sanitarios del Instituto Nacional de Gestión Sanitaria en Ceuta y Melilla, por las asistencias.","type":"webpage"},"uris":["http://www.mendeley.com/documents/?uuid=c32b6685-ef3c-41fb-8c35-0734faa95c7e"]},{"id":"ITEM-2","itemData":{"URL":"http://www.caib.es/eboibfront/","accessed":{"date-parts":[["2021","1","17"]]},"id":"ITEM-2","issued":{"date-parts":[["2018"]]},"title":"Resolución del director general del Servicio de Salud de las Islas Baleares por la que se modifica la Orden de la consejera de Salud y Consumo de 22 de diciembre de 2006 por la que se establecen los precios públicos a aplicar por los centros sanitarios de","type":"webpage"},"uris":["http://www.mendeley.com/documents/?uuid=fe18ffaa-9cca-4558-ab8f-c213b34299f2"]},{"id":"ITEM-3","itemData":{"URL":"www.boe.es","abstract":"Resolución de 18 de septiembre de 2013, del Instituto de Contabilidad y Auditoría de Cuentas, por la que se dictan normas de registro y valoración e información a incluir en la memoria de las cuentas anuales sobre el deterioro del valor de los activos.","accessed":{"date-parts":[["2021","1","17"]]},"container-title":"Boletín Oficial del Estado","id":"ITEM-3","issued":{"date-parts":[["2014"]]},"title":"Resolución 4B0/38026/2014, de 19 de febrero, del Instituto Social de las Fuerzas Armadas, por la que se regula la asistencia sanitaria fuera del territorio nacional.","type":"webpage"},"uris":["http://www.mendeley.com/documents/?uuid=70b3691a-2cae-4c59-8c4b-30dae6ec306d"]},{"id":"ITEM-4","itemData":{"URL":"https://www.boe.es/boe/dias/2019/01/12/pdfs/BOE-A-2019-317.pdf","abstract":"esolución de 18 de septiembre de 2013, del Instituto de Contabilidad y Auditoría de Cuentas, por la que se dictan normas de registro y valoración e información a incluir en la memoria de las cuentas anuales sobre el deterioro del valor de los activos.","accessed":{"date-parts":[["2021","1","17"]]},"container-title":"Boletín Oficial del Estado","id":"ITEM-4","issue":"11","issued":{"date-parts":[["2019"]]},"page":"2260 -2268","title":"Resolución de 18 de diciembre de 2014, de la Mutualidad General de Funcionarios Civiles del Estado, por la que se publica el concierto suscrito con entidades de seguro para el aseguramiento del acceso a la prestación de asistencia sanitaria en territorio","type":"webpage"},"uris":["http://www.mendeley.com/documents/?uuid=bf28c0e1-2dd7-471a-8e91-a7c80a609327"]},{"id":"ITEM-5","itemData":{"URL":"http://www.boa.aragon.es","accessed":{"date-parts":[["2021","1","17"]]},"id":"ITEM-5","issued":{"date-parts":[["2017"]]},"title":"ORDEN SAN/1221/2017, de 21 de julio, por la que se establecen los precios y tarifas máximas aplicables en la prestación de servicios sanitarios con medios ajenos al Sistema de Salud de Aragón.","type":"webpage"},"uris":["http://www.mendeley.com/documents/?uuid=ba2e75b2-7f98-433a-9f45-2476451115f8"]},{"id":"ITEM-6","itemData":{"URL":"https://sede.asturias.es/servicios-del-bopa","accessed":{"date-parts":[["2021","1","17"]]},"id":"ITEM-6","issued":{"date-parts":[["2019"]]},"title":"Convenio singular de vinculación a la Red Hospitalaria Pública del Principado de Asturias, como Hospital de Distrito, suscrito entre el Servicio de Salud del Principado de Asturias y la Fundación Hospital de Jove para la prestación de atención sanitaria","type":"webpage"},"uris":["http://www.mendeley.com/documents/?uuid=f4bdfd66-07ba-4428-8cb8-9e886ad1667d"]},{"id":"ITEM-7","itemData":{"URL":"http://www.gobiernodecanarias.org/boc/","accessed":{"date-parts":[["2021","1","17"]]},"id":"ITEM-7","issued":{"date-parts":[["2017"]]},"title":"Resolución de 29 de marzo de 2017, del Director, por la que se modifica la cuantía de los precios públicos de servicios sanitarios previstos en el Decreto 81/2009, de 16 de junio, por el que se establecen los precios públicos de los servicios sanitarios p","type":"webpage"},"uris":["http://www.mendeley.com/documents/?uuid=a7b50020-9d0b-4043-adde-952774302740"]},{"id":"ITEM-8","itemData":{"URL":"https://boc.cantabria.es/boces/","accessed":{"date-parts":[["2021","1","17"]]},"id":"ITEM-8","issued":{"date-parts":[["0"]]},"title":"Orden SAN/35/2017, de 15 de diciembre, por la que se fi jan las cuan- tías de los Precios Públicos de los Servicios Sanitarios prestados por el Servicio Cántabro de Salud.","type":"webpage"},"uris":["http://www.mendeley.com/documents/?uuid=292702d2-9160-47c3-82fb-33927ee4d8d0"]},{"id":"ITEM-9","itemData":{"ISBN":"2015052100","ISSN":"1133-2654","URL":"https://docm.castillalamancha.es/","abstract":"Orden de 07/02/2011, de la Consejería de Agricultura y Medio Ambiente, por la que se modifica la Orden de 04/02/2010, de la Consejería de Industria, Energía y Medio Ambiente, por la que se aprueba el programa de ac-tuación aplicable a las zonas vulnerables a la contaminación por nitratos de origen agrario, designadas en la Comunidad Autónoma de Castilla-La Mancha. [2011/6075] La Directiva 91/676/CEE, del Consejo, de 12 de diciembre, relativa a la protección de las aguas contra la contaminación producida por nitratos procedentes de fuentes agrarias, establece la obligación de designar como zonas vulnerables todas aquellas áreas del territorio que por escorrentía o por percolación contribuyan a la citada contaminación. El Real Decreto 261/1996, de 16 de febrero, sobre protección de las aguas contra la contaminación producida por los nitratos procedentes de fuentes agrarias, supone la incorporación de la citada Directiva 91/676/CEE a nuestro ordena-miento jurídico, estableciéndose en su artículo 4 que corresponde a las Comunidades Autónomas la designación de las zonas vulnerables en sus respectivos ámbitos de competencia. En Castilla-La Mancha esta designación se lleva a cabo mediante las Resoluciones de 7 de agosto de 1998 y de 10 de febrero de 2003; y la Orden de 21 de mayo de 2009 en la que se ratifican las anteriores y se añade una nueva, \" Campo de Calatrava \" , además de un término municipal más.","accessed":{"date-parts":[["2021","1","17"]]},"id":"ITEM-9","issued":{"date-parts":[["2008"]]},"title":"Orden de 17/11/2014, de la Consejería de Sanidad y Asuntos Sociales, por la que se establecen los precios públicos de la asistencia sanitaria y de los servicios prestados en la red de centros sanitarios dependientes del Servicio de Salud de Castilla-La Ma","type":"webpage"},"uris":["http://www.mendeley.com/documents/?uuid=a2af8d2b-1527-48fc-92d2-d6656454cb7d"]},{"id":"ITEM-10","itemData":{"URL":"https://bocyl.jcyl.es/","accessed":{"date-parts":[["2021","1","17"]]},"id":"ITEM-10","issued":{"date-parts":[["2011"]]},"title":"RESOLUCIÓN de 21 de noviembre de 2011, del Presidente de la Gerencia Regional de Salud, por la que se fijan las tarifas máximas y los porcentajes de revisión de las condiciones económicas aplicables en el año 2011, a la prestación de Servicios de Asistenc","type":"webpage"},"uris":["http://www.mendeley.com/documents/?uuid=d13f1ec3-3be7-4e93-82b8-89771ac7f5fd"]},{"id":"ITEM-11","itemData":{"URL":"https://dogc.gencat.cat/es/inici/","accessed":{"date-parts":[["2021","1","17"]]},"container-title":"Dogc","id":"ITEM-11","issued":{"date-parts":[["2013"]]},"page":"1-127","title":"Resolució SLT/353/2013, de 13 de febrer, sobre la revisió de preus públics corresponents als serveis sanitaris que presta l'Institut Català de la Salut","type":"webpage"},"uris":["http://www.mendeley.com/documents/?uuid=76fa7153-3bdc-4b5a-a7e5-ccb64292b2c1"]},{"id":"ITEM-12","itemData":{"URL":"https://www.boe.es/","abstract":"Resolución de 18 de septiembre de 2013, del Instituto de Contabilidad y Auditoría de Cuentas, por la que se dictan normas de registro y valoración e información a incluir en la memoria de las cuentas anuales sobre el deterioro del valor de los activos.","accessed":{"date-parts":[["2021","1","17"]]},"id":"ITEM-12","issued":{"date-parts":[["2020"]]},"title":"Ley 20/2017, de 28 de diciembre, de tasas","type":"webpage"},"uris":["http://www.mendeley.com/documents/?uuid=3e2eae2b-00d2-4364-b009-d8f3f543d43a"]},{"id":"ITEM-13","itemData":{"ISBN":"2019060221","URL":"http://doe.gobex.es/","accessed":{"date-parts":[["2021","1","17"]]},"id":"ITEM-13","issued":{"date-parts":[["2019"]]},"title":"RESOLUCIÓN de 24 de enero de 2019, de la Vicepresidenta y Consejera, por la que se publican las tarifas actualizadas de las tasas y precios públicos de la Comunidad Autónoma de Extremadura en virtud de lo dispuesto en la Ley de presupuestos generales de l","type":"webpage"},"uris":["http://www.mendeley.com/documents/?uuid=3f1753ab-ff70-4623-97c0-9b8d99e4f7f0"]},{"id":"ITEM-14","itemData":{"URL":"https://www.xunta.gal/diario-oficial-galicia/","accessed":{"date-parts":[["2021","1","17"]]},"id":"ITEM-14","issued":{"date-parts":[["2014"]]},"title":"Decreto 56/2014, do 30 de abril, polo que se establecen as tarifas dos servizos sanitarios prestados nos centros dependentes do Servizo Galego de Saúde e nas fundacións públicas sanitarias.","type":"webpage"},"uris":["http://www.mendeley.com/documents/?uuid=942214bb-b364-4176-9f97-e14225861801"]},{"id":"ITEM-15","itemData":{"ISBN":"2014121915","URL":"https://web.larioja.org/bor-portada","accessed":{"date-parts":[["2021","1","17"]]},"id":"ITEM-15","issued":{"date-parts":[["2014"]]},"page":"24923-24955","title":"Precios públicos por servicios sanitarios prestados a particulares en los centros del Servicio Riojano de Salud","type":"webpage"},"uris":["http://www.mendeley.com/documents/?uuid=9244bea6-a526-4f99-951f-e61f0fc46b4d"]},{"id":"ITEM-16","itemData":{"URL":"http://www.madrid.org/ICMdownload/NOUDM.pdf","accessed":{"date-parts":[["2021","1","17"]]},"id":"ITEM-16","issued":{"date-parts":[["2015"]]},"title":"Orden por la que se fijan los precios públicos por la prestación de los servicios y actividades de naturaleza sanitaria de la red de centros de la Comunidad de Madrid.","type":"webpage"},"uris":["http://www.mendeley.com/documents/?uuid=06213810-99be-4e2b-a260-623d57d5c4c8"]},{"id":"ITEM-17","itemData":{"URL":"https://www.borm.es","accessed":{"date-parts":[["2021","1","17"]]},"id":"ITEM-17","issued":{"date-parts":[["2019"]]},"page":"6371-6503","title":"Orden de 22 de febrero de 2019 de la Consejería de Hacienda, por la que se publican las tarifas de las tasas y precios públicos aplicables en el año 2019.","type":"webpage"},"uris":["http://www.mendeley.com/documents/?uuid=4763b4ab-ce27-4b78-a97e-834d667f91b2"]},{"id":"ITEM-18","itemData":{"URL":"https://www.euskadi.eus/","abstract":"Docentes: tarifas","accessed":{"date-parts":[["2021","1","17"]]},"id":"ITEM-18","issued":{"date-parts":[["2014"]]},"title":"Tarifas para facturación de servicios sanitarios y docentes de Osakidetza para el año 2019","type":"webpage"},"uris":["http://www.mendeley.com/documents/?uuid=f54c0d21-b5dd-4acc-89b5-c9eb014c045c"]},{"id":"ITEM-19","itemData":{"URL":"https://www.juntadeandalucia.es/boja/buscador/","accessed":{"date-parts":[["2021","1","17"]]},"container-title":"Boja","id":"ITEM-19","issued":{"date-parts":[["2015"]]},"title":"ORDEN de 18 de noviembre de 2015, por la que se modifica la Orden de 14 de octubre de 2005, por la que se fijan los precios públicos de los servicios sanitarios prestados por centros dependientes del Sistema Sanitario Público de Andalucía. BOJA núm.228.","type":"webpage"},"uris":["http://www.mendeley.com/documents/?uuid=9d0074ad-2f1c-4e9c-b461-88834bb78b8b"]}],"mendeley":{"formattedCitation":"&lt;sup&gt;28–46&lt;/sup&gt;","plainTextFormattedCitation":"28–46","previouslyFormattedCitation":"&lt;sup&gt;28–46&lt;/sup&gt;"},"properties":{"noteIndex":0},"schema":"https://github.com/citation-style-language/schema/raw/master/csl-citation.json"}</w:instrText>
      </w:r>
      <w:r w:rsidR="007A654B">
        <w:rPr>
          <w:rFonts w:asciiTheme="majorHAnsi" w:hAnsiTheme="majorHAnsi" w:cstheme="majorHAnsi"/>
        </w:rPr>
        <w:fldChar w:fldCharType="separate"/>
      </w:r>
      <w:r w:rsidR="0072361E" w:rsidRPr="0072361E">
        <w:rPr>
          <w:rFonts w:asciiTheme="majorHAnsi" w:hAnsiTheme="majorHAnsi" w:cstheme="majorHAnsi"/>
          <w:noProof/>
          <w:vertAlign w:val="superscript"/>
        </w:rPr>
        <w:t>28–46</w:t>
      </w:r>
      <w:r w:rsidR="007A654B">
        <w:rPr>
          <w:rFonts w:asciiTheme="majorHAnsi" w:hAnsiTheme="majorHAnsi" w:cstheme="majorHAnsi"/>
        </w:rPr>
        <w:fldChar w:fldCharType="end"/>
      </w:r>
      <w:r w:rsidR="00427C54">
        <w:rPr>
          <w:rFonts w:asciiTheme="majorHAnsi" w:hAnsiTheme="majorHAnsi" w:cstheme="majorHAnsi"/>
        </w:rPr>
        <w:t xml:space="preserve">, observándose </w:t>
      </w:r>
      <w:r w:rsidR="00721461">
        <w:rPr>
          <w:rFonts w:asciiTheme="majorHAnsi" w:hAnsiTheme="majorHAnsi" w:cstheme="majorHAnsi"/>
        </w:rPr>
        <w:t xml:space="preserve">un amplio margen temporal en las </w:t>
      </w:r>
      <w:r w:rsidR="00427C54">
        <w:rPr>
          <w:rFonts w:asciiTheme="majorHAnsi" w:hAnsiTheme="majorHAnsi" w:cstheme="majorHAnsi"/>
        </w:rPr>
        <w:t xml:space="preserve">fechas de publicación de las tarifas entre </w:t>
      </w:r>
      <w:r w:rsidR="000D3C64" w:rsidRPr="0025653C">
        <w:rPr>
          <w:rFonts w:asciiTheme="majorHAnsi" w:hAnsiTheme="majorHAnsi" w:cstheme="majorHAnsi"/>
        </w:rPr>
        <w:t>junio</w:t>
      </w:r>
      <w:r w:rsidR="00427C54" w:rsidRPr="0025653C">
        <w:rPr>
          <w:rFonts w:asciiTheme="majorHAnsi" w:hAnsiTheme="majorHAnsi" w:cstheme="majorHAnsi"/>
        </w:rPr>
        <w:t xml:space="preserve"> 201</w:t>
      </w:r>
      <w:r w:rsidR="00517BD5">
        <w:rPr>
          <w:rFonts w:asciiTheme="majorHAnsi" w:hAnsiTheme="majorHAnsi" w:cstheme="majorHAnsi"/>
        </w:rPr>
        <w:t>1</w:t>
      </w:r>
      <w:r w:rsidR="00721461">
        <w:rPr>
          <w:rFonts w:asciiTheme="majorHAnsi" w:hAnsiTheme="majorHAnsi" w:cstheme="majorHAnsi"/>
        </w:rPr>
        <w:t>, en</w:t>
      </w:r>
      <w:r w:rsidR="00427C54">
        <w:rPr>
          <w:rFonts w:asciiTheme="majorHAnsi" w:hAnsiTheme="majorHAnsi" w:cstheme="majorHAnsi"/>
        </w:rPr>
        <w:t xml:space="preserve"> Castilla y León</w:t>
      </w:r>
      <w:r w:rsidR="00721461">
        <w:rPr>
          <w:rFonts w:asciiTheme="majorHAnsi" w:hAnsiTheme="majorHAnsi" w:cstheme="majorHAnsi"/>
        </w:rPr>
        <w:t>,</w:t>
      </w:r>
      <w:r w:rsidR="00427C54">
        <w:rPr>
          <w:rFonts w:asciiTheme="majorHAnsi" w:hAnsiTheme="majorHAnsi" w:cstheme="majorHAnsi"/>
        </w:rPr>
        <w:t xml:space="preserve"> y </w:t>
      </w:r>
      <w:r w:rsidR="000D3C64">
        <w:rPr>
          <w:rFonts w:asciiTheme="majorHAnsi" w:hAnsiTheme="majorHAnsi" w:cstheme="majorHAnsi"/>
        </w:rPr>
        <w:t>m</w:t>
      </w:r>
      <w:r w:rsidR="00427C54">
        <w:rPr>
          <w:rFonts w:asciiTheme="majorHAnsi" w:hAnsiTheme="majorHAnsi" w:cstheme="majorHAnsi"/>
        </w:rPr>
        <w:t>arzo del 2019</w:t>
      </w:r>
      <w:r w:rsidR="00721461">
        <w:rPr>
          <w:rFonts w:asciiTheme="majorHAnsi" w:hAnsiTheme="majorHAnsi" w:cstheme="majorHAnsi"/>
        </w:rPr>
        <w:t>, en</w:t>
      </w:r>
      <w:r w:rsidR="00427C54">
        <w:rPr>
          <w:rFonts w:asciiTheme="majorHAnsi" w:hAnsiTheme="majorHAnsi" w:cstheme="majorHAnsi"/>
        </w:rPr>
        <w:t xml:space="preserve"> Murcia</w:t>
      </w:r>
      <w:r w:rsidR="00721461">
        <w:rPr>
          <w:rFonts w:asciiTheme="majorHAnsi" w:hAnsiTheme="majorHAnsi" w:cstheme="majorHAnsi"/>
        </w:rPr>
        <w:t>. E</w:t>
      </w:r>
      <w:r w:rsidR="00427C54">
        <w:rPr>
          <w:rFonts w:asciiTheme="majorHAnsi" w:hAnsiTheme="majorHAnsi" w:cstheme="majorHAnsi"/>
        </w:rPr>
        <w:t>l</w:t>
      </w:r>
      <w:r w:rsidR="00721461">
        <w:rPr>
          <w:rFonts w:asciiTheme="majorHAnsi" w:hAnsiTheme="majorHAnsi" w:cstheme="majorHAnsi"/>
        </w:rPr>
        <w:t xml:space="preserve"> precio público </w:t>
      </w:r>
      <w:r w:rsidR="00427C54">
        <w:rPr>
          <w:rFonts w:asciiTheme="majorHAnsi" w:hAnsiTheme="majorHAnsi" w:cstheme="majorHAnsi"/>
        </w:rPr>
        <w:t xml:space="preserve">osciló entre los </w:t>
      </w:r>
      <w:r w:rsidR="00427C54" w:rsidRPr="00427C54">
        <w:rPr>
          <w:rFonts w:asciiTheme="majorHAnsi" w:hAnsiTheme="majorHAnsi" w:cstheme="majorHAnsi"/>
        </w:rPr>
        <w:t>393,42€</w:t>
      </w:r>
      <w:r w:rsidR="00427C54">
        <w:rPr>
          <w:rFonts w:asciiTheme="majorHAnsi" w:hAnsiTheme="majorHAnsi" w:cstheme="majorHAnsi"/>
        </w:rPr>
        <w:t xml:space="preserve"> por sesión de hemodiálisis de La Rioja y </w:t>
      </w:r>
      <w:r w:rsidR="000D3C64" w:rsidRPr="0025653C">
        <w:rPr>
          <w:rFonts w:asciiTheme="majorHAnsi" w:hAnsiTheme="majorHAnsi" w:cstheme="majorHAnsi"/>
        </w:rPr>
        <w:t>132,5€</w:t>
      </w:r>
      <w:r w:rsidR="000D3C64">
        <w:rPr>
          <w:rFonts w:asciiTheme="majorHAnsi" w:hAnsiTheme="majorHAnsi" w:cstheme="majorHAnsi"/>
        </w:rPr>
        <w:t xml:space="preserve"> de la sesión de </w:t>
      </w:r>
      <w:r w:rsidR="000D3C64" w:rsidRPr="000D3C64">
        <w:rPr>
          <w:rFonts w:asciiTheme="majorHAnsi" w:hAnsiTheme="majorHAnsi" w:cstheme="majorHAnsi"/>
        </w:rPr>
        <w:t xml:space="preserve">Hemodiálisis en </w:t>
      </w:r>
      <w:r w:rsidR="000D3C64">
        <w:rPr>
          <w:rFonts w:asciiTheme="majorHAnsi" w:hAnsiTheme="majorHAnsi" w:cstheme="majorHAnsi"/>
        </w:rPr>
        <w:t>Andalucía</w:t>
      </w:r>
      <w:r w:rsidR="00365A0D">
        <w:rPr>
          <w:rFonts w:asciiTheme="majorHAnsi" w:hAnsiTheme="majorHAnsi" w:cstheme="majorHAnsi"/>
        </w:rPr>
        <w:t xml:space="preserve"> (año 2015)</w:t>
      </w:r>
      <w:r w:rsidR="000D3C64">
        <w:rPr>
          <w:rFonts w:asciiTheme="majorHAnsi" w:hAnsiTheme="majorHAnsi" w:cstheme="majorHAnsi"/>
        </w:rPr>
        <w:t>.</w:t>
      </w:r>
      <w:r w:rsidR="00BB1639">
        <w:rPr>
          <w:rFonts w:asciiTheme="majorHAnsi" w:hAnsiTheme="majorHAnsi" w:cstheme="majorHAnsi"/>
        </w:rPr>
        <w:t xml:space="preserve"> Además de la variabilidad entre las tarifas de las diferentes regiones, </w:t>
      </w:r>
      <w:r w:rsidR="00F87954">
        <w:rPr>
          <w:rFonts w:asciiTheme="majorHAnsi" w:hAnsiTheme="majorHAnsi" w:cstheme="majorHAnsi"/>
        </w:rPr>
        <w:t>una vez actualizados</w:t>
      </w:r>
      <w:r w:rsidR="00BB1639">
        <w:rPr>
          <w:rFonts w:asciiTheme="majorHAnsi" w:hAnsiTheme="majorHAnsi" w:cstheme="majorHAnsi"/>
        </w:rPr>
        <w:t xml:space="preserve"> los importes al 2020 mediante el Índice de Precios al Consumo (IPC), se observa una diversidad notable en la denominación del concepto y tipo de diálisis, con un amplio rango de </w:t>
      </w:r>
      <w:r w:rsidR="00F87954">
        <w:rPr>
          <w:rFonts w:asciiTheme="majorHAnsi" w:hAnsiTheme="majorHAnsi" w:cstheme="majorHAnsi"/>
        </w:rPr>
        <w:t xml:space="preserve">opciones terapéuticas que van desde la “sesión de </w:t>
      </w:r>
      <w:r w:rsidR="00297CB1">
        <w:rPr>
          <w:rFonts w:asciiTheme="majorHAnsi" w:hAnsiTheme="majorHAnsi" w:cstheme="majorHAnsi"/>
        </w:rPr>
        <w:t>HD</w:t>
      </w:r>
      <w:r w:rsidR="00F87954">
        <w:rPr>
          <w:rFonts w:asciiTheme="majorHAnsi" w:hAnsiTheme="majorHAnsi" w:cstheme="majorHAnsi"/>
        </w:rPr>
        <w:t xml:space="preserve">” del País Vasco o Castilla y León, al detalle de cinco diferentes tipos de HD que publica Aragón. </w:t>
      </w:r>
    </w:p>
    <w:p w14:paraId="2D6B1976" w14:textId="6AF30B80" w:rsidR="001F424B" w:rsidRDefault="001F424B">
      <w:pPr>
        <w:rPr>
          <w:rFonts w:asciiTheme="majorHAnsi" w:hAnsiTheme="majorHAnsi" w:cstheme="majorHAnsi"/>
        </w:rPr>
      </w:pPr>
      <w:r>
        <w:rPr>
          <w:rFonts w:asciiTheme="majorHAnsi" w:hAnsiTheme="majorHAnsi" w:cstheme="majorHAnsi"/>
        </w:rPr>
        <w:br w:type="page"/>
      </w:r>
    </w:p>
    <w:p w14:paraId="090D0DDD" w14:textId="673FDB1C" w:rsidR="001F424B" w:rsidRPr="001F424B" w:rsidRDefault="001F424B">
      <w:pPr>
        <w:rPr>
          <w:rFonts w:asciiTheme="majorHAnsi" w:hAnsiTheme="majorHAnsi" w:cstheme="majorHAnsi"/>
          <w:b/>
        </w:rPr>
      </w:pPr>
      <w:r w:rsidRPr="001F424B">
        <w:rPr>
          <w:rFonts w:asciiTheme="majorHAnsi" w:hAnsiTheme="majorHAnsi" w:cstheme="majorHAnsi"/>
          <w:b/>
        </w:rPr>
        <w:lastRenderedPageBreak/>
        <w:t>Discusión</w:t>
      </w:r>
    </w:p>
    <w:p w14:paraId="48ACB91C" w14:textId="1548FAEC" w:rsidR="00782E64" w:rsidRPr="006B101C" w:rsidRDefault="00782E64" w:rsidP="00B25FCD">
      <w:pPr>
        <w:spacing w:line="360" w:lineRule="auto"/>
        <w:ind w:firstLine="709"/>
        <w:jc w:val="both"/>
        <w:rPr>
          <w:rFonts w:asciiTheme="majorHAnsi" w:hAnsiTheme="majorHAnsi" w:cstheme="majorHAnsi"/>
          <w:highlight w:val="yellow"/>
        </w:rPr>
      </w:pPr>
      <w:r w:rsidRPr="006B101C">
        <w:rPr>
          <w:rFonts w:asciiTheme="majorHAnsi" w:hAnsiTheme="majorHAnsi" w:cstheme="majorHAnsi"/>
          <w:highlight w:val="yellow"/>
        </w:rPr>
        <w:t>En un intento de obtener evidencias de un modo rápido y pragmático, se decidió utilizar la revisión de alcance (scoping review) ya que permite incluir artículos con diferentes diseños y medidas de resultado.</w:t>
      </w:r>
      <w:r w:rsidR="00B25FCD" w:rsidRPr="006B101C">
        <w:rPr>
          <w:rFonts w:asciiTheme="majorHAnsi" w:hAnsiTheme="majorHAnsi" w:cstheme="majorHAnsi"/>
          <w:highlight w:val="yellow"/>
        </w:rPr>
        <w:t xml:space="preserve"> </w:t>
      </w:r>
      <w:r w:rsidRPr="006B101C">
        <w:rPr>
          <w:rFonts w:asciiTheme="majorHAnsi" w:hAnsiTheme="majorHAnsi" w:cstheme="majorHAnsi"/>
          <w:highlight w:val="yellow"/>
        </w:rPr>
        <w:t xml:space="preserve">La evidencia disponible obtenida de dicha revisión pone de manifiesto que en España la HD hospitalaria tiene un mayor coste respecto a la diálisis concertada y que en EEUU presenta una menor tasa de hospitalizaciones, no encontrándose diferencias significativas en la mortalidad. </w:t>
      </w:r>
    </w:p>
    <w:p w14:paraId="25462FC8" w14:textId="1F735870" w:rsidR="00782E64" w:rsidRPr="006B101C" w:rsidRDefault="00782E64" w:rsidP="00B25FCD">
      <w:pPr>
        <w:spacing w:line="360" w:lineRule="auto"/>
        <w:ind w:firstLine="709"/>
        <w:jc w:val="both"/>
        <w:rPr>
          <w:rFonts w:asciiTheme="majorHAnsi" w:hAnsiTheme="majorHAnsi" w:cstheme="majorHAnsi"/>
          <w:highlight w:val="yellow"/>
        </w:rPr>
      </w:pPr>
      <w:r w:rsidRPr="006B101C">
        <w:rPr>
          <w:rFonts w:asciiTheme="majorHAnsi" w:hAnsiTheme="majorHAnsi" w:cstheme="majorHAnsi"/>
          <w:highlight w:val="yellow"/>
        </w:rPr>
        <w:t>Por otra parte, los escasos resultados sobre efectividad, medidos por los mencionados indicadores, deben ser tomados con cautela debido a la gran heterogeneidad de resultados y metodologías, debiendo destacarse además que sean obtenidos en un marco asistencial tan distinto del español como es el de EEUU, en el que impera la modificación de la práctica asistencial de los centros con ánimo de lucro para ajustarse a los contratos y/o obtener en máximo beneficio económico</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{"citationItems":[{"id":"ITEM-1","itemData":{"DOI":"10.1186/s12882-015-0059-8","ISSN":"1471-2369 (Electronic)","PMID":"25928734","abstract":"BACKGROUND: The aim of the US dialysis Prospective Payment System bundle, launched in January 2011, was reduction and more accurate prediction of costs of services, whilst maintaining or improving patient care. Dialysis facilities could either adopt the bundle completely (100%) in the first year of launch, or phase-in (25%) over four years. Differences in practice patterns and patient outcomes were hypothesized to occur in facilities that phased-in 25% compared to those that did not. METHODS: Data are from STEPPS, a study of 51 small dialysis organization facilities designed to describe trends in dialytic treatment before and after bundle implementation. Baseline was defined as October-December 2010; follow-up as January-December 2011. Facility- and patient-level data were collected at enrollment and regularly thereafter. Cox proportional hazards and linear multi-level models were used to estimate the effect of opting-in 25% (vs. 100%) on practice patterns and clinical outcomes. RESULTS: 12 facilities (patient n = 346) opted-in 25% and 37 facilities (patient n = 1296) opted-in 100% to the dialysis bundle. At baseline, patients at 25% facilities were primarily covered by Medicare, were more likely to be black, and were receiving higher monthly epoetin alfa (EPO) doses. Throughout 2011, patients in 100% facilities received lower monthly EPO doses, and had lower mean hemoglobin concentrations; hospitalization and mortality rates were numerically lower in 25% facilities but not statistically different. CONCLUSIONS: The economic pressure for dialysis providers to work within an expanded composite rate bundle whilst maintaining patient care may be a driver of practice indicator outcomes. Additional investigations are warranted to more precisely estimate clinical outcomes in patients attending facilities enrolling into the bundle 100% relative to the previous fee-for-service framework.","author":[{"dropping-particle":"","family":"Monda","given":"Keri L","non-dropping-particle":"","parse-names":false,"suffix":""},{"dropping-particle":"","family":"Joseph","given":"Parveen Nedra","non-dropping-particle":"","parse-names":false,"suffix":""},{"dropping-particle":"","family":"Neumann","given":"Peter J","non-dropping-particle":"","parse-names":false,"suffix":""},{"dropping-particle":"","family":"Bradbury","given":"Brian D","non-dropping-particle":"","parse-names":false,"suffix":""},{"dropping-particle":"","family":"Rubin","given":"Robert J","non-dropping-particle":"","parse-names":false,"suffix":""}],"container-title":"BMC nephrology","id":"ITEM-1","issued":{"date-parts":[["2015"]]},"language":"eng","page":"67","publisher-place":"England","title":"Comparative changes in treatment practices and clinical outcomes following implementation of a prospective payment system: the STEPPS study.","type":"article-journal","volume":"16"},"uris":["http://www.mendeley.com/documents/?uuid=154134f5-3f97-44d3-be4e-a224d92fe6d8"]},{"id":"ITEM-2","itemData":{"DOI":"10.1053/j.ajkd.2012.03.010","ISSN":"1523-6838 (Electronic)","PMID":"22560829","abstract":"BACKGROUND: In 2011, the Medicare Improvements for Patients and Providers Act replaced the case-mix-adjusted composite payment system for Medicare outpatient dialysis facilities with a bundled end-stage renal disease prospective payment system (PPS). We assessed the economic implications for modality choice of the revised Medicare payment system. STUDY DESIGN: Microeconomic analyses. SETTING &amp; POPULATION: Patients eligible for dialysis in the United States. MODEL, PERSPECTIVE, &amp; TIMEFRAME: The perspective of this analysis is that of a financial administrator of a representative dialysis center in the United States. Data were obtained from the Medicare Payment Advisory Commission, the US Renal Data System, the DOPPS (Dialysis Outcomes and Practice Patterns Study) Practice Monitor, the US Bureau of Labor Statistics, and Medicare fee schedules. INTERVENTIONS: Recently implemented end-stage renal disease PPS versus the prior case-mix composite payment system. OUTCOMES: Medicare payment per month, center fixed and variable costs per month, net difference in revenue and variable costs (direct contribution), and net difference in revenue and total costs (operating margin). RESULTS: The direct contribution and operating margin for in-center hemodialysis and peritoneal dialysis are expected to be positive under the new bundled PPS. For Medicare fiscal intermediaries/administrators, paid treatments for home hemodialysis vary from 3.2 to more than 4.8 per week. The direct contribution and operating margin are expected to be negative for home hemodialysis if the number of paid treatments is similar between in-center and home hemodialysis; they are almost identical when the number of paid treatments increases for home hemodialysis by approximately 1 per week. LIMITATIONS: Experience across centers and intermediaries/administrators may vary. Sensitivity analyses were conducted to assess the robustness of findings and determine which variables most influenced results. CONCLUSIONS: The new bundled PPS created a financial incentive for increased use of peritoneal dialysis. Use of home hemodialysis may be influenced by number of paid treatments per week.","author":[{"dropping-particle":"","family":"Hornberger","given":"John","non-dropping-particle":"","parse-names":false,"suffix":""},{"dropping-particle":"","family":"Hirth","given":"Richard A","non-dropping-particle":"","parse-names":false,"suffix":""}],"container-title":"American journal of kidney diseases : the official journal of the National Kidney Foundation","id":"ITEM-2","issue":"2","issued":{"date-parts":[["2012"]]},"language":"eng","page":"280-287","publisher-place":"United States","title":"Financial implications of choice of dialysis type of the revised Medicare payment system: an economic analysis.","type":"article-journal","volume":"60"},"uris":["http://www.mendeley.com/documents/?uuid=753ea764-bffa-4da8-a936-b1afc4ba27a5"]},{"id":"ITEM-3","itemData":{"DOI":"10.1053/j.ajkd.2011.03.001","ISSN":"1523-6838 (Electronic)","PMID":"21530036","abstract":"A new initiative of the US Dialysis Outcomes and Practice Patterns Study (DOPPS), the DOPPS Practice Monitor (DPM), provides up-to-date data and analyses to monitor trends in dialysis practice during implementation of the new Centers for Medicare &amp; Medicaid Services (CMS) end-stage renal disease Prospective Payment System (PPS; 2011-2014). We review DPM rationale, design, sampling approach, analytic methods, and facility sample characteristics. Using stratified random sampling, the sample of ~145 US facilities provides results representative nationally and by facility type (dialysis organization size, rural/urban, free standing/hospital based), achieving coverage similar to the CMS sample frame at average values and tails of the distributions for key measures and patient characteristics. A publicly available web report (www.dopps.org/DPM) provides detailed trends, including demographic, comorbidity, and dialysis data; medications; vascular access; and quality of life. Findings are updated every 4 months with a lag of only 3-4 months. Baseline data are from mid-2010, before the new PPS. In sum, the DPM provides timely representative data to monitor effects of the expanded PPS on dialysis practice. Findings can serve as an early warning system for possible adverse effects on clinical care and as a basis for community outreach, editorial comment, and informed advocacy.","author":[{"dropping-particle":"","family":"Robinson","given":"Bruce","non-dropping-particle":"","parse-names":false,"suffix":""},{"dropping-particle":"","family":"Fuller","given":"Douglas","non-dropping-particle":"","parse-names":false,"suffix":""},{"dropping-particle":"","family":"Zinsser","given":"Dawn","non-dropping-particle":"","parse-names":false,"suffix":""},{"dropping-particle":"","family":"Albert","given":"Justin","non-dropping-particle":"","parse-names":false,"suffix":""},{"dropping-particle":"","family":"Gillespie","given":"Brenda","non-dropping-particle":"","parse-names":false,"suffix":""},{"dropping-particle":"","family":"Tentori","given":"Francesca","non-dropping-particle":"","parse-names":false,"suffix":""},{"dropping-particle":"","family":"Turenne","given":"Marc","non-dropping-particle":"","parse-names":false,"suffix":""},{"dropping-particle":"","family":"Port","given":"Friedrich","non-dropping-particle":"","parse-names":false,"suffix":""},{"dropping-particle":"","family":"Pisoni","given":"Ronald","non-dropping-particle":"","parse-names":false,"suffix":""}],"container-title":"American journal of kidney diseases : the official journal of the National Kidney Foundation","id":"ITEM-3","issue":"6","issued":{"date-parts":[["2011"]]},"language":"eng","page":"822-831","publisher-place":"United States","title":"The Dialysis Outcomes and Practice Patterns Study (DOPPS) Practice Monitor: rationale and methods for an initiative to monitor the new US bundled dialysis payment system.","type":"article-journal","volume":"57"},"uris":["http://www.mendeley.com/documents/?uuid=6029e184-056a-4cdc-b722-3c21b7ff17aa"]}],"mendeley":{"formattedCitation":"&lt;sup&gt;47–49&lt;/sup&gt;","plainTextFormattedCitation":"47–49","previouslyFormattedCitation":"&lt;sup&gt;47–49&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47–49</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El hecho de que la totalidad de los estudios sobre efectividad comparada proceden de dicho país, dificulta la extrapolación de los resultados a nuestro medio.</w:t>
      </w:r>
    </w:p>
    <w:p w14:paraId="10A3BF83" w14:textId="77777777" w:rsidR="00782E64" w:rsidRPr="006B101C" w:rsidRDefault="00782E64" w:rsidP="00B25FCD">
      <w:pPr>
        <w:spacing w:line="360" w:lineRule="auto"/>
        <w:ind w:firstLine="709"/>
        <w:jc w:val="both"/>
        <w:rPr>
          <w:rFonts w:asciiTheme="majorHAnsi" w:hAnsiTheme="majorHAnsi" w:cstheme="majorHAnsi"/>
          <w:highlight w:val="yellow"/>
        </w:rPr>
      </w:pPr>
      <w:r w:rsidRPr="006B101C">
        <w:rPr>
          <w:rFonts w:asciiTheme="majorHAnsi" w:hAnsiTheme="majorHAnsi" w:cstheme="majorHAnsi"/>
          <w:highlight w:val="yellow"/>
        </w:rPr>
        <w:t xml:space="preserve">Un hallazgo llamativo es que, teniendo en cuenta la trascendencia económica y social, y el aumento esperado de pacientes en diálisis, haya tan escaso número de publicaciones sobre la evaluación comparativa de la diálisis concertada. Ello dificulta ofrecer una base de información consistente y útil para la toma de decisiones en niveles de la meso y macro gestión. </w:t>
      </w:r>
    </w:p>
    <w:p w14:paraId="74F6AC60" w14:textId="77777777" w:rsidR="00782E64" w:rsidRPr="006B101C" w:rsidRDefault="00782E64" w:rsidP="00B25FCD">
      <w:pPr>
        <w:spacing w:line="360" w:lineRule="auto"/>
        <w:ind w:firstLine="709"/>
        <w:jc w:val="both"/>
        <w:rPr>
          <w:rFonts w:asciiTheme="majorHAnsi" w:hAnsiTheme="majorHAnsi" w:cstheme="majorHAnsi"/>
          <w:b/>
          <w:i/>
          <w:highlight w:val="yellow"/>
        </w:rPr>
      </w:pPr>
      <w:r w:rsidRPr="006B101C">
        <w:rPr>
          <w:rFonts w:asciiTheme="majorHAnsi" w:hAnsiTheme="majorHAnsi" w:cstheme="majorHAnsi"/>
          <w:b/>
          <w:i/>
          <w:highlight w:val="yellow"/>
        </w:rPr>
        <w:t xml:space="preserve">Otras informaciones y consideraciones </w:t>
      </w:r>
    </w:p>
    <w:p w14:paraId="363FCA06" w14:textId="3DB558E7" w:rsidR="00782E64" w:rsidRPr="006B101C" w:rsidRDefault="00782E64" w:rsidP="00B25FCD">
      <w:pPr>
        <w:spacing w:line="360" w:lineRule="auto"/>
        <w:ind w:firstLine="709"/>
        <w:jc w:val="both"/>
        <w:rPr>
          <w:rFonts w:asciiTheme="majorHAnsi" w:hAnsiTheme="majorHAnsi" w:cstheme="majorHAnsi"/>
          <w:highlight w:val="yellow"/>
        </w:rPr>
      </w:pPr>
      <w:r w:rsidRPr="006B101C">
        <w:rPr>
          <w:rFonts w:asciiTheme="majorHAnsi" w:hAnsiTheme="majorHAnsi" w:cstheme="majorHAnsi"/>
          <w:highlight w:val="yellow"/>
        </w:rPr>
        <w:t>Cabe destacar que se han encontrado dos revisiones sistemáticas que evaluaban la calidad de la asistencia sanitaria de multitud de servicios de centros dependientes de los VA. Estas dos revisiones concluyen que, en general, la atención sanitaria en los centros dependientes de la VA (Ej., Medicare, Medicaid) es buena o mejor que aquella atención proporcionada por los centros no dependientes de la VA o externalizados</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{"citationItems":[{"id":"ITEM-1","itemData":{"DOI":"10.1097/MLR.0b013e3181f53575","ISSN":"1537-1948 (Electronic)","PMID":"20966778","abstract":"BACKGROUND: The Veterans Health Administration, the nation's largest integrated delivery system, launched an organizational transformation in the mid 1990 s to improve the quality of its care. PURPOSE: To synthesize the evidence comparing the quality of medical and other nonsurgical care in Veterans Affairs (VA) and non-VA settings. DATA SOURCES: MEDLINE database and bibliographies of retrieved studies. STUDY SELECTION: Studies comparing the technical quality of nonsurgical care in VA and US non-VA settings published between 1990 and August 2009. DATA EXTRACTION: Two physicians independently reviewed 175 unique studies identified using the search strategy and abstracted data related to 6 domains of study quality. DATA SYNTHESIS: Thirty-six studies met the inclusion criteria. All 9 general comparative studies showed greater adherence to accepted processes of care or better health outcomes in the VA compared with care delivered outside the VA. Five studies of mortality following an acute coronary event found no clear survival differences between VA and non-VA settings. Three studies of care processes after an acute myocardial infarction found greater rates of evidence-based drug therapy in VA, and 1 found lower use of clinically-appropriate angiography in the VA. Three studies of diabetes care processes demonstrated a performance advantage for the VA. Studies of hospital mortality found similar risk-adjusted mortality rates in VA and non-VA hospitals. LIMITATIONS: Most studies used decade-old data, assessed self-reported service use, or included only a few VA or non-VA sites. CONCLUSIONS: Studies that assessed recommended processes of care almost always demonstrated that the VA performed better than non-VA comparison groups. Studies that assessed risk-adjusted mortality generally found similar rates for patients in VA and non-VA settings.","author":[{"dropping-particle":"","family":"Trivedi","given":"Amal N","non-dropping-particle":"","parse-names":false,"suffix":""},{"dropping-particle":"","family":"Matula","given":"Sierra","non-dropping-particle":"","parse-names":false,"suffix":""},{"dropping-particle":"","family":"Miake-Lye","given":"Isomi","non-dropping-particle":"","parse-names":false,"suffix":""},{"dropping-particle":"","family":"Glassman","given":"Peter A","non-dropping-particle":"","parse-names":false,"suffix":""},{"dropping-particle":"","family":"Shekelle","given":"Paul","non-dropping-particle":"","parse-names":false,"suffix":""},{"dropping-particle":"","family":"Asch","given":"Steven","non-dropping-particle":"","parse-names":false,"suffix":""}],"container-title":"Medical care","id":"ITEM-1","issue":"1","issued":{"date-parts":[["2011"]]},"language":"eng","page":"76-88","publisher-place":"United States","title":"Systematic review: comparison of the quality of medical care in Veterans Affairs and non-Veterans Affairs settings.","type":"article-journal","volume":"49"},"uris":["http://www.mendeley.com/documents/?uuid=faadcc0a-148f-47c5-8b89-537fd4431d7c"]},{"id":"ITEM-2","itemData":{"DOI":"10.1007/s11606-016-3775-2","ISSN":"15251497","PMID":"27422615","abstract":"Background: The Veterans Affairs (VA) health care system aims to provide high-quality medical care to veterans in the USA, but the quality of VA care has recently drawn the concern of Congress. The objective of this study was to systematically review published evidence examining the quality of care provided at VA health care facilities compared to quality of care in other facilities and systems. Methods: Building on the search strategy and results of a prior systematic review, we searched MEDLINE (from January 1, 2005, to January 1, 2015) to identify relevant articles on the quality of care at VA facilities compared to non-VA facilities. Articles from the prior systematic review published from 2005 and onward were also included and re-abstracted. Studies were classified, analyzed, and summarized by the Institute of Medicine’s quality dimensions. Results: Sixty-nine articles were identified (including 31 articles from the prior systematic review and 38 new articles) that address one or more Institute of Medicine quality dimensions: safety (34 articles), effectiveness (24 articles), efficiency (9 articles), patient-centeredness (5 articles), equity (4 articles), and timeliness (1 article). Studies of safety and effectiveness indicated generally better or equal performance, with some exceptions. Too few articles related to timeliness, equity, efficiency, and patient-centeredness were found from which to reliably draw conclusions about VA care related to these dimensions. Discussion: The VA often (but not always) performs better than or similarly to other systems of care with regard to the safety and effectiveness of care. Additional studies of quality of care in the VA are needed on all aspects of quality, but particularly with regard to timeliness, equity, efficiency, and patient-centeredness.","author":[{"dropping-particle":"","family":"O’Hanlon","given":"Claire","non-dropping-particle":"","parse-names":false,"suffix":""},{"dropping-particle":"","family":"Huang","given":"Christina","non-dropping-particle":"","parse-names":false,"suffix":""},{"dropping-particle":"","family":"Sloss","given":"Elizabeth","non-dropping-particle":"","parse-names":false,"suffix":""},{"dropping-particle":"","family":"Anhang Price","given":"Rebecca","non-dropping-particle":"","parse-names":false,"suffix":""},{"dropping-particle":"","family":"Hussey","given":"Peter","non-dropping-particle":"","parse-names":false,"suffix":""},{"dropping-particle":"","family":"Farmer","given":"Carrie","non-dropping-particle":"","parse-names":false,"suffix":""},{"dropping-particle":"","family":"Gidengil","given":"Courtney","non-dropping-particle":"","parse-names":false,"suffix":""}],"container-title":"Journal of General Internal Medicine","id":"ITEM-2","issue":"1","issued":{"date-parts":[["2017"]]},"page":"105-121","publisher":"Journal of General Internal Medicine","title":"Comparing VA and Non-VA Quality of Care: A Systematic Review","type":"article-journal","volume":"32"},"uris":["http://www.mendeley.com/documents/?uuid=89cf149b-9b30-481e-996c-2c987d992f37"]}],"mendeley":{"formattedCitation":"&lt;sup&gt;50,51&lt;/sup&gt;","plainTextFormattedCitation":"50,51","previouslyFormattedCitation":"&lt;sup&gt;50,51&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50,51</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w:t>
      </w:r>
    </w:p>
    <w:p w14:paraId="4836186D" w14:textId="6E9B3203" w:rsidR="00782E64" w:rsidRPr="006B101C" w:rsidRDefault="00782E64" w:rsidP="00B25FCD">
      <w:pPr>
        <w:spacing w:line="360" w:lineRule="auto"/>
        <w:ind w:firstLine="709"/>
        <w:jc w:val="both"/>
        <w:rPr>
          <w:rFonts w:asciiTheme="majorHAnsi" w:hAnsiTheme="majorHAnsi" w:cstheme="majorHAnsi"/>
          <w:highlight w:val="yellow"/>
        </w:rPr>
      </w:pPr>
      <w:r w:rsidRPr="006B101C">
        <w:rPr>
          <w:rFonts w:asciiTheme="majorHAnsi" w:hAnsiTheme="majorHAnsi" w:cstheme="majorHAnsi"/>
          <w:highlight w:val="yellow"/>
        </w:rPr>
        <w:t>En términos de seguridad en la atención, no se encontró ningún artículo que evaluara diferencias en distintos ámbitos de la prestación de la diálisis. En un estudio de 2017</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{"citationItems":[{"id":"ITEM-1","itemData":{"ISSN":"2254-2884","author":[{"dropping-particle":"","family":"Muñoz Macías","given":"Carolina","non-dropping-particle":"","parse-names":false,"suffix":""},{"dropping-particle":"","family":"Torollo Luna","given":"Irene","non-dropping-particle":"","parse-names":false,"suffix":""},{"dropping-particle":"","family":"Sag Legrán","given":"María José","non-dropping-particle":"","parse-names":false,"suffix":""},{"dropping-particle":"","family":"Salas Cardador","given":"Francisco","non-dropping-particle":"","parse-names":false,"suffix":""},{"dropping-particle":"","family":"Gómez López","given":"Victoria Eugenia","non-dropping-particle":"","parse-names":false,"suffix":""},{"dropping-particle":"","family":"Crespo Montero","given":"Rodolfo","non-dropping-particle":"","parse-names":false,"suffix":""}],"container-title":"Enfermería Nefrológica","id":"ITEM-1","issued":{"date-parts":[["2017"]]},"page":"29","publisher":"SciELO Espana","title":"Análisis de los eventos adversos en una unidad de diálisis","type":"article-journal","volume":"20"},"uris":["http://www.mendeley.com/documents/?uuid=ee68f7b9-57a8-4528-8590-41186904ab41"]}],"mendeley":{"formattedCitation":"&lt;sup&gt;52&lt;/sup&gt;","plainTextFormattedCitation":"52","previouslyFormattedCitation":"&lt;sup&gt;52&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52</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xml:space="preserve">, realizado en un centro hospitalario español, se revisaron todas las sesiones de HD en 2 meses (2.149 en la unidad hospitalaria y 2.125 en el centro periférico) detectándose un 11,8% de eventos adversos (EA) en la unidad hospitalaria (un 12,9% de alta severidad) frente a un 9,2% en el centro periférico (un 1% de alta severidad). Los EA más frecuentes fueron la hipotensión, en ambos casos, seguidos de coagulación del circuito extracorpóreo y problemas de la FAV (unidad hospitalaria) y </w:t>
      </w:r>
      <w:r w:rsidRPr="006B101C">
        <w:rPr>
          <w:rFonts w:asciiTheme="majorHAnsi" w:hAnsiTheme="majorHAnsi" w:cstheme="majorHAnsi"/>
          <w:highlight w:val="yellow"/>
        </w:rPr>
        <w:lastRenderedPageBreak/>
        <w:t xml:space="preserve">problemas relacionados con la punción de la FAV y coagulación del circuito extracorpóreo (en centro periférico). </w:t>
      </w:r>
    </w:p>
    <w:p w14:paraId="5E53FC0A" w14:textId="6B25382D" w:rsidR="00782E64" w:rsidRPr="006B101C" w:rsidRDefault="00782E64" w:rsidP="00B25FCD">
      <w:pPr>
        <w:spacing w:line="360" w:lineRule="auto"/>
        <w:ind w:firstLine="709"/>
        <w:jc w:val="both"/>
        <w:rPr>
          <w:rFonts w:asciiTheme="majorHAnsi" w:hAnsiTheme="majorHAnsi" w:cstheme="majorHAnsi"/>
          <w:highlight w:val="yellow"/>
        </w:rPr>
      </w:pPr>
      <w:r w:rsidRPr="006B101C">
        <w:rPr>
          <w:rFonts w:asciiTheme="majorHAnsi" w:hAnsiTheme="majorHAnsi" w:cstheme="majorHAnsi"/>
          <w:highlight w:val="yellow"/>
        </w:rPr>
        <w:t>Roderick et al. (2005)</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ISSN":"1366-5278","author":[{"dropping-particle":"","family":"Roderick","given":"P","non-dropping-particle":"","parse-names":false,"suffix":""},{"dropping-particle":"","family":"Nicholson","given":"T","non-dropping-particle":"","parse-names":false,"suffix":""},{"dropping-particle":"","family":"Armitage","given":"A","non-dropping-particle":"","parse-names":false,"suffix":""},{"dropping-particle":"","family":"Mehta","given":"R","non-dropping-particle":"","parse-names":false,"suffix":""},{"dropping-particle":"","family":"Mullee","given":"M","non-dropping-particle":"","parse-names":false,"suffix":""},{"dropping-particle":"","family":"Gerard","given":"K","non-dropping-particle":"","parse-names":false,"suffix":""},{"dropping-particle":"","family":"Drey","given":"N","non-dropping-particle":"","parse-names":false,"suffix":""},{"dropping-particle":"","family":"Feest","given":"T","non-dropping-particle":"","parse-names":false,"suffix":""},{"dropping-particle":"","family":"Greenwood","given":"R","non-dropping-particle":"","parse-names":false,"suffix":""},{"dropping-particle":"","family":"Lamping","given":"D","non-dropping-particle":"","parse-names":false,"suffix":""}],"container-title":"Health technology assessment (Winchester, England)","id":"ITEM-1","issue":"24","issued":{"date-parts":[["2005"]]},"page":"1-178","publisher":"NIHR Journals Library","title":"An evaluation of the costs, effectiveness and quality of renal replacement therapy provision in renal satellite units in England and Wales.","type":"article-journal","volume":"9"},"uris":["http://www.mendeley.com/documents/?uuid=d66feed1-efec-41e9-9417-b9cdd0847214"]}],"mendeley":{"formattedCitation":"&lt;sup&gt;6&lt;/sup&gt;","plainTextFormattedCitation":"6","previouslyFormattedCitation":"&lt;sup&gt;6&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6</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xml:space="preserve"> preguntó al personal de enfermería la incidencia de EA observada en las últimas seis semanas a 368 pacientes en HDC. Se halló un 37,5% de pacientes sin evento adverso importante, y de los 551 eventos adversos identificados, los más frecuentes fueron: hipotensión (48,8%), otros (32,1%) y problemas de acceso (15,3%). Estos resultados están en consonancia con el estudio de Arenas (2017)</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{"citationItems":[{"id":"ITEM-1","itemData":{"ISSN":"0211-6995","author":[{"dropping-particle":"","family":"Arenas Jiménez","given":"María Dolores","non-dropping-particle":"","parse-names":false,"suffix":""},{"dropping-particle":"","family":"Ferre","given":"Gabriel","non-dropping-particle":"","parse-names":false,"suffix":""},{"dropping-particle":"","family":"Álvarez-Ude","given":"Fernando","non-dropping-particle":"","parse-names":false,"suffix":""}],"container-title":"Nefrología","id":"ITEM-1","issue":"6","issued":{"date-parts":[["2017"]]},"page":"608-621","publisher":"SciELO Espana","title":"Estrategias para aumentar la seguridad del paciente en hemodiálisis: Aplicación del sistema de análisis modal de fallos y efectos (sistema AMFE)","type":"article-journal","volume":"37"},"uris":["http://www.mendeley.com/documents/?uuid=d4a1c2a0-acdf-4637-a14e-fca533894934"]}],"mendeley":{"formattedCitation":"&lt;sup&gt;53&lt;/sup&gt;","plainTextFormattedCitation":"53","previouslyFormattedCitation":"&lt;sup&gt;53&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53</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xml:space="preserve"> que encontró una proporción de eventos adversos en una unidad de HDC del 25,8%, siendo los más frecuentes la hipertensión (42,7%) y la hipotensión (27,5%). </w:t>
      </w:r>
    </w:p>
    <w:p w14:paraId="56F901CB" w14:textId="69241183" w:rsidR="00782E64" w:rsidRPr="006B101C" w:rsidRDefault="00782E64" w:rsidP="00B25FCD">
      <w:pPr>
        <w:spacing w:line="360" w:lineRule="auto"/>
        <w:ind w:firstLine="709"/>
        <w:jc w:val="both"/>
        <w:rPr>
          <w:rFonts w:asciiTheme="majorHAnsi" w:hAnsiTheme="majorHAnsi" w:cstheme="majorHAnsi"/>
          <w:highlight w:val="yellow"/>
        </w:rPr>
      </w:pPr>
      <w:r w:rsidRPr="006B101C">
        <w:rPr>
          <w:rFonts w:asciiTheme="majorHAnsi" w:hAnsiTheme="majorHAnsi" w:cstheme="majorHAnsi"/>
          <w:highlight w:val="yellow"/>
        </w:rPr>
        <w:t>Balhara</w:t>
      </w:r>
      <w:r w:rsidR="00B25FCD" w:rsidRPr="006B101C">
        <w:rPr>
          <w:rFonts w:asciiTheme="majorHAnsi" w:hAnsiTheme="majorHAnsi" w:cstheme="majorHAnsi"/>
          <w:highlight w:val="yellow"/>
        </w:rPr>
        <w:t xml:space="preserve"> (2012)</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{"citationItems":[{"id":"ITEM-1","itemData":{"DOI":"10.1111/j.1600-6143.2012.04207.x","ISSN":"1600-6143 (Electronic)","PMID":"22883444","abstract":"Kidney transplant education is associated with higher transplantation rates; however national policies regarding optimal timing and content of transplant education are lacking. We aimed to characterize nephrologists' attitudes regarding kidney transplant education, and to compare practices between nephrologists at for-profit and nonprofit centers. We surveyed 906 nephrologist practicing in the United States. Most respondents (81%) felt the ideal time to spend on transplant education was &gt;20 min, but only 43% reported actually doing so. Spending &gt;20 min was associated with covering more topics, having one-on-one and repeated conversations, involving families in discussions and initiating discussions at CKD-stage 4. Providers at for-profit centers were significantly less likely to spend &gt;20 min (RR = 0.89, 95%CI: 0.80-0.99) or involve families (RR = 0.57, 95%CI: 0.38-0.87); they reported that fewer of their patients received transplant counseling (RR = 0.58, 95%CI: 0.37-0.96), initiated transplant discussions (RR = 0.58, 95%CI: 0.38-0.88), or were eligible for transplantation (RR = 0.45, 95%CI: 0.30-0.68). Of nephrologists who spent &lt;/=20 min, those at for-profit centers more often cited lack of reimbursement as a reason (30.0% vs. 18.9%, p = 0.02). Disparities in quality of education at for-profit centers might partially explain previously documented disparities in access to transplantation for patients at these centers. National policies detailing the optimal timing and content of transplant education are needed to improve equity.","author":[{"dropping-particle":"","family":"Balhara","given":"K S","non-dropping-particle":"","parse-names":false,"suffix":""},{"dropping-particle":"","family":"Kucirka","given":"L M","non-dropping-particle":"","parse-names":false,"suffix":""},{"dropping-particle":"","family":"Jaar","given":"B G","non-dropping-particle":"","parse-names":false,"suffix":""},{"dropping-particle":"","family":"Segev","given":"D L","non-dropping-particle":"","parse-names":false,"suffix":""}],"container-title":"American journal of transplantation : official journal of the American Society of Transplantation and the American Society of Transplant Surgeons","id":"ITEM-1","issue":"11","issued":{"date-parts":[["2012"]]},"language":"eng","page":"3104-3110","publisher-place":"United States","title":"Disparities in provision of transplant education by profit status of the dialysis center.","type":"article-journal","volume":"12"},"uris":["http://www.mendeley.com/documents/?uuid=476cbb9f-dcd4-4d8a-8cb4-432da1826220"]}],"mendeley":{"formattedCitation":"&lt;sup&gt;54&lt;/sup&gt;","plainTextFormattedCitation":"54","previouslyFormattedCitation":"&lt;sup&gt;54&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54</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xml:space="preserve"> realiz</w:t>
      </w:r>
      <w:r w:rsidR="00B25FCD" w:rsidRPr="006B101C">
        <w:rPr>
          <w:rFonts w:asciiTheme="majorHAnsi" w:hAnsiTheme="majorHAnsi" w:cstheme="majorHAnsi"/>
          <w:highlight w:val="yellow"/>
        </w:rPr>
        <w:t>ó</w:t>
      </w:r>
      <w:r w:rsidRPr="006B101C">
        <w:rPr>
          <w:rFonts w:asciiTheme="majorHAnsi" w:hAnsiTheme="majorHAnsi" w:cstheme="majorHAnsi"/>
          <w:highlight w:val="yellow"/>
        </w:rPr>
        <w:t xml:space="preserve"> una encuesta a 906 nefrólogos de EEUU sobre el tiempo que dedicaban a educar a sus pacientes en estadio 4 de la ERC. Estimado en 20 minutos el tiempo ideal dedicado a la educación del paciente sobre el trasplante renal, uno de los resultados halló que solo el 43% de los profesionales afirmaban invertir ese tiempo. Además, se encontró que aquellos centros con ánimo de lucro mostraban estadísticamente un menor tiempo de dedicación a la educación (RR=0,89), counseling (RR=0,58), discusión sobre el trasplante (RR=0,58), implicación de los familiares (RR=0,57), frente a aquellos sin ánimo de lucro. Este resultado tiene, especial relevancia ya que la formación de los pacientes es un elemento clave para la autonomía de los pacientes y el autocuidado</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{"citationItems":[{"id":"ITEM-1","itemData":{"ISBN":"1988-348X UL - http://scielo.isciii.es/scielo.php?script=sci_arttext&amp;pid=S1988-348X2016000300011&amp;nrm=iso","author":[{"dropping-particle":"","family":"Pelayo Alonso","given":"Raquel","non-dropping-particle":"","parse-names":false,"suffix":""}],"container-title":"Ene","id":"ITEM-1","issued":{"date-parts":[["2016"]]},"page":"1-4","publisher":"scieloes","title":"Auto-manejo de la hemodialisis para la enfermedad renal terminal","type":"article","volume":"10"},"uris":["http://www.mendeley.com/documents/?uuid=5156a263-e4e4-4c26-af25-f34642586ae1"]}],"mendeley":{"formattedCitation":"&lt;sup&gt;55&lt;/sup&gt;","plainTextFormattedCitation":"55","previouslyFormattedCitation":"&lt;sup&gt;55&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55</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xml:space="preserve"> e incide directamente en los resultados de las técnicas y la satisfacción del paciente. </w:t>
      </w:r>
    </w:p>
    <w:p w14:paraId="29C6B3BF" w14:textId="3A41CE59" w:rsidR="00782E64" w:rsidRPr="006B101C" w:rsidRDefault="00782E64" w:rsidP="00B25FCD">
      <w:pPr>
        <w:spacing w:line="360" w:lineRule="auto"/>
        <w:ind w:firstLine="709"/>
        <w:jc w:val="both"/>
        <w:rPr>
          <w:rFonts w:asciiTheme="majorHAnsi" w:hAnsiTheme="majorHAnsi" w:cstheme="majorHAnsi"/>
          <w:highlight w:val="yellow"/>
        </w:rPr>
      </w:pPr>
      <w:r w:rsidRPr="006B101C">
        <w:rPr>
          <w:rFonts w:asciiTheme="majorHAnsi" w:hAnsiTheme="majorHAnsi" w:cstheme="majorHAnsi"/>
          <w:highlight w:val="yellow"/>
        </w:rPr>
        <w:t>Relacionado con la satisfacción de los pacientes respecto a la atención recibida, se hallaron dos trabajos</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ISSN":"1366-5278","author":[{"dropping-particle":"","family":"Roderick","given":"P","non-dropping-particle":"","parse-names":false,"suffix":""},{"dropping-particle":"","family":"Nicholson","given":"T","non-dropping-particle":"","parse-names":false,"suffix":""},{"dropping-particle":"","family":"Armitage","given":"A","non-dropping-particle":"","parse-names":false,"suffix":""},{"dropping-particle":"","family":"Mehta","given":"R","non-dropping-particle":"","parse-names":false,"suffix":""},{"dropping-particle":"","family":"Mullee","given":"M","non-dropping-particle":"","parse-names":false,"suffix":""},{"dropping-particle":"","family":"Gerard","given":"K","non-dropping-particle":"","parse-names":false,"suffix":""},{"dropping-particle":"","family":"Drey","given":"N","non-dropping-particle":"","parse-names":false,"suffix":""},{"dropping-particle":"","family":"Feest","given":"T","non-dropping-particle":"","parse-names":false,"suffix":""},{"dropping-particle":"","family":"Greenwood","given":"R","non-dropping-particle":"","parse-names":false,"suffix":""},{"dropping-particle":"","family":"Lamping","given":"D","non-dropping-particle":"","parse-names":false,"suffix":""}],"container-title":"Health technology assessment (Winchester, England)","id":"ITEM-1","issue":"24","issued":{"date-parts":[["2005"]]},"page":"1-178","publisher":"NIHR Journals Library","title":"An evaluation of the costs, effectiveness and quality of renal replacement therapy provision in renal satellite units in England and Wales.","type":"article-journal","volume":"9"},"uris":["http://www.mendeley.com/documents/?uuid=d66feed1-efec-41e9-9417-b9cdd0847214"]},{"id":"ITEM-2","itemData":{"URL":"https://www.revistaseden.org/files/2195_Páginas de 2009-82.pdf","accessed":{"date-parts":[["2021","2","19"]]},"author":[{"dropping-particle":"","family":"García-Vallaure Rivas","given":"Ana","non-dropping-particle":"","parse-names":false,"suffix":""},{"dropping-particle":"","family":"Álvarez-Rodriguez","given":"Ana Isabel","non-dropping-particle":"","parse-names":false,"suffix":""},{"dropping-particle":"","family":"Valdés Arias","given":"Covadonga","non-dropping-particle":"","parse-names":false,"suffix":""},{"dropping-particle":"","family":"Peñas García","given":"Cristina","non-dropping-particle":"","parse-names":false,"suffix":""},{"dropping-particle":"","family":"Miguel Montoya","given":"Mercedes","non-dropping-particle":"","parse-names":false,"suffix":""},{"dropping-particle":"","family":"Velázquez Sánchez","given":"Paula","non-dropping-particle":"","parse-names":false,"suffix":""}],"id":"ITEM-2","issued":{"date-parts":[["0"]]},"title":"La satisfacción de los pacientes en una unidad de diálisis concertada. Diferencias con respecto a una unidad hospitalaria pública","type":"webpage"},"uris":["http://www.mendeley.com/documents/?uuid=b717a9e3-72cf-48e6-964f-bda0c1eb2700"]}],"mendeley":{"formattedCitation":"&lt;sup&gt;6,56&lt;/sup&gt;","plainTextFormattedCitation":"6,56","previouslyFormattedCitation":"&lt;sup&gt;6,56&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6,56</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xml:space="preserve">. En ambos se encontró una mayor satisfacción de los pacientes en HD en centros concertados, siendo significativamente mayor en aquellas dimensiones relacionadas con la hostelería, el aspecto del centro y la información recibida por el personal sanitario. </w:t>
      </w:r>
    </w:p>
    <w:p w14:paraId="46EA688C" w14:textId="10A18E52" w:rsidR="00782E64" w:rsidRPr="006B101C" w:rsidRDefault="00782E64" w:rsidP="00B25FCD">
      <w:pPr>
        <w:spacing w:line="360" w:lineRule="auto"/>
        <w:ind w:firstLine="709"/>
        <w:jc w:val="both"/>
        <w:rPr>
          <w:rFonts w:asciiTheme="majorHAnsi" w:hAnsiTheme="majorHAnsi" w:cstheme="majorHAnsi"/>
          <w:highlight w:val="yellow"/>
        </w:rPr>
      </w:pPr>
      <w:r w:rsidRPr="006B101C">
        <w:rPr>
          <w:rFonts w:asciiTheme="majorHAnsi" w:hAnsiTheme="majorHAnsi" w:cstheme="majorHAnsi"/>
          <w:highlight w:val="yellow"/>
        </w:rPr>
        <w:t>La equidad y la continuidad asistencial se muestran como elementos clave para obtener los máximos resultados en salud de los pacientes en diálisis, siendo fundamental la coordinación entre los centros concertados y sus hospitales de referencia, que permitan homogeneizar criterios de actuación, cartera de servicios o técnicas, procedimientos, etc</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{"citationItems":[{"id":"ITEM-1","itemData":{"URL":"https://www.senefro.org/modules/webstructure/files/guiacentroshd130606_copy1.pdf?check_idfile=2402","author":[{"dropping-particle":"","family":"Guías","given":"S E N","non-dropping-particle":"","parse-names":false,"suffix":""}],"container-title":"Nefrología","id":"ITEM-1","issue":"suplemento 8","issued":{"date-parts":[["2006"]]},"title":"Guías de centros de hemodiálisis","type":"webpage"},"uris":["http://www.mendeley.com/documents/?uuid=c4bc2ae5-b372-49cb-b31d-3d3a1c9a7561"]}],"mendeley":{"formattedCitation":"&lt;sup&gt;8&lt;/sup&gt;","plainTextFormattedCitation":"8","previouslyFormattedCitation":"&lt;sup&gt;8&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8</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xml:space="preserve">. </w:t>
      </w:r>
    </w:p>
    <w:p w14:paraId="29B9AB9C" w14:textId="28F403B1" w:rsidR="00782E64" w:rsidRPr="006B101C" w:rsidRDefault="00782E64" w:rsidP="00B25FCD">
      <w:pPr>
        <w:spacing w:line="360" w:lineRule="auto"/>
        <w:ind w:firstLine="709"/>
        <w:jc w:val="both"/>
        <w:rPr>
          <w:rFonts w:asciiTheme="majorHAnsi" w:hAnsiTheme="majorHAnsi" w:cstheme="majorHAnsi"/>
          <w:highlight w:val="yellow"/>
        </w:rPr>
      </w:pPr>
      <w:r w:rsidRPr="006B101C">
        <w:rPr>
          <w:rFonts w:asciiTheme="majorHAnsi" w:hAnsiTheme="majorHAnsi" w:cstheme="majorHAnsi"/>
          <w:highlight w:val="yellow"/>
        </w:rPr>
        <w:t>En España, aún no se disponen de evaluaciones sistemáticas e independientes de las distintas formas de gestión, que permitan orientar las estrategias de organización y gestión futuras</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{"citationItems":[{"id":"ITEM-1","itemData":{"ISSN":"0213-9111","author":[{"dropping-particle":"","family":"Sánchez-Martínez","given":"Fernando I","non-dropping-particle":"","parse-names":false,"suffix":""},{"dropping-particle":"","family":"Abellán-Perpiñán","given":"José María","non-dropping-particle":"","parse-names":false,"suffix":""},{"dropping-particle":"","family":"Oliva-Moreno","given":"Juan","non-dropping-particle":"","parse-names":false,"suffix":""}],"container-title":"Gaceta Sanitaria","id":"ITEM-1","issued":{"date-parts":[["2014"]]},"page":"75-80","publisher":"Elsevier","title":"La privatización de la gestión sanitaria: efecto secundario de la crisis y síntoma de mal gobierno. Informe SESPAS 2014","type":"article-journal","volume":"28"},"uris":["http://www.mendeley.com/documents/?uuid=b2ad4bab-9321-4c85-bd1c-3c0b771590cc"]}],"mendeley":{"formattedCitation":"&lt;sup&gt;57&lt;/sup&gt;","plainTextFormattedCitation":"57","previouslyFormattedCitation":"&lt;sup&gt;57&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57</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Destacar que el fomento de la competencia entre centros (con independencia de la forma jurídica de gestión) podría ofrecer mejoras</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{"citationItems":[{"id":"ITEM-1","itemData":{"DOI":"10.1111/1475-6773.12835","ISSN":"14756773","abstract":"Objective: To examine whether market competition is associated with improved health outcomes in hemodialysis. Data Sources: Secondary analysis of data from a national dialysis registry between 2001 and 2011. Study Design: We conducted one- and two-part linear regression models, using each hospital service area (HSA) as its own control, to examine the independent associations among market concentration and health outcomes. Data Collection: We selected cohorts of patients receiving in-center hemodialysis in the United States at the start of each calendar year. We used information about dialysis facility ownership and the location where patients received dialysis to measure an index of market concentration—the Hirschman-Herfindahl Index (HHI)—for HSA and year, which ranges from near zero (perfect competition) to one (monopoly). Principal Findings: An average reduction in HHI by 0.2 (one standard deviation in 2011) was associated with 2.9 fewer hospitalizations per 100 patient-years (95 percent CI, 0.4 to 5.4). If these findings were generalized to the entire in-center hemodialysis population, this would translate to 8,100 (95 percent CI 1,200 to 15,000) fewer hospitalizations in 2011. There was no association between change in market competition and mortality. Conclusions: Market competition in dialysis may lead to improved health outcomes.","author":[{"dropping-particle":"","family":"Erickson","given":"Kevin F.","non-dropping-particle":"","parse-names":false,"suffix":""},{"dropping-particle":"","family":"Zheng","given":"Yuanchao","non-dropping-particle":"","parse-names":false,"suffix":""},{"dropping-particle":"","family":"Ho","given":"Vivian","non-dropping-particle":"","parse-names":false,"suffix":""},{"dropping-particle":"","family":"Winkelmayer","given":"Wolfgang C.","non-dropping-particle":"","parse-names":false,"suffix":""},{"dropping-particle":"","family":"Bhattacharya","given":"Jay","non-dropping-particle":"","parse-names":false,"suffix":""},{"dropping-particle":"","family":"Chertow","given":"Glenn M.","non-dropping-particle":"","parse-names":false,"suffix":""}],"container-title":"Health Services Research","id":"ITEM-1","issue":"5","issued":{"date-parts":[["2018"]]},"page":"3680-3703","title":"Market Competition and Health Outcomes in Hemodialysis","type":"article-journal","volume":"53"},"uris":["http://www.mendeley.com/documents/?uuid=f9b4ecde-1151-475b-9059-f268a10f204c"]}],"mendeley":{"formattedCitation":"&lt;sup&gt;25&lt;/sup&gt;","plainTextFormattedCitation":"25","previouslyFormattedCitation":"&lt;sup&gt;25&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25</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xml:space="preserve">; competencia que no puede surgir de manera espontánea, dadas las características de cuasimonopolio que poseen los centros sanitarios en sus zonas de influencia, sino que debe ser generada en la licitación de los servicios (en el caso de la </w:t>
      </w:r>
      <w:r w:rsidRPr="006B101C">
        <w:rPr>
          <w:rFonts w:asciiTheme="majorHAnsi" w:hAnsiTheme="majorHAnsi" w:cstheme="majorHAnsi"/>
          <w:highlight w:val="yellow"/>
        </w:rPr>
        <w:lastRenderedPageBreak/>
        <w:t>gestión privada) y por la comparación de resultados de eficiencia y calidad asistencial en el funcionamiento de los centros</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{"citationItems":[{"id":"ITEM-1","itemData":{"ISSN":"0213-9111","author":[{"dropping-particle":"","family":"Sánchez-Martínez","given":"Fernando I","non-dropping-particle":"","parse-names":false,"suffix":""},{"dropping-particle":"","family":"Abellán-Perpiñán","given":"José María","non-dropping-particle":"","parse-names":false,"suffix":""},{"dropping-particle":"","family":"Oliva-Moreno","given":"Juan","non-dropping-particle":"","parse-names":false,"suffix":""}],"container-title":"Gaceta Sanitaria","id":"ITEM-1","issued":{"date-parts":[["2014"]]},"page":"75-80","publisher":"Elsevier","title":"La privatización de la gestión sanitaria: efecto secundario de la crisis y síntoma de mal gobierno. Informe SESPAS 2014","type":"article-journal","volume":"28"},"uris":["http://www.mendeley.com/documents/?uuid=b2ad4bab-9321-4c85-bd1c-3c0b771590cc"]}],"mendeley":{"formattedCitation":"&lt;sup&gt;57&lt;/sup&gt;","plainTextFormattedCitation":"57","previouslyFormattedCitation":"&lt;sup&gt;57&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57</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xml:space="preserve">. Así, los resultados en salud de los pacientes en diálisis no deberían estar condicionada por la titularidad (pública o privada) de los centros sanitarios. </w:t>
      </w:r>
    </w:p>
    <w:p w14:paraId="52F956F6" w14:textId="6CB2DA8A" w:rsidR="00782E64" w:rsidRPr="006B101C" w:rsidRDefault="00782E64" w:rsidP="00B25FCD">
      <w:pPr>
        <w:spacing w:line="360" w:lineRule="auto"/>
        <w:ind w:firstLine="709"/>
        <w:jc w:val="both"/>
        <w:rPr>
          <w:rFonts w:asciiTheme="majorHAnsi" w:hAnsiTheme="majorHAnsi" w:cstheme="majorHAnsi"/>
          <w:highlight w:val="yellow"/>
        </w:rPr>
      </w:pPr>
      <w:r w:rsidRPr="006B101C">
        <w:rPr>
          <w:rFonts w:asciiTheme="majorHAnsi" w:hAnsiTheme="majorHAnsi" w:cstheme="majorHAnsi"/>
          <w:highlight w:val="yellow"/>
        </w:rPr>
        <w:t>La gran variabilidad entre las tarifas de las Comunidades Autónomas podría explicarse por las diferencias en los conceptos incluidos o diferentes metodologías para su cálculo, aunque también porque no estén reflejando los costes reales del tratamiento</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{"citationItems":[{"id":"ITEM-1","itemData":{"DOI":"10.1007/s10198-019-01157-9","ISSN":"16187601","abstract":"© 2020, Springer-Verlag GmbH Germany, part of Springer Nature. According to the most traditional economic evaluation manuals, all “relevant” costs should be included in the economic analysis, taking into account factors such as the patient population, setting, location, year, perspective and time horizon. However, cost information may be designed for other purposes. Health care organisations may lack sophisticated accounting systems and consequently, health economists may be unfamiliar with cost accounting terminology, which may lead to discrepancy in terms used in the economic evaluation literature and management accountancy. This paper identifies new tendencies in costing methodologies in health care and critically comments on each included article. For better clarification of terminology, a pragmatic glossary of terms is proposed. A scoping review of English and Spanish language literature (2005–2018) was conducted to identify new tendencies in costing methodologies in health care. The databases PubMed, Scopus and EconLit were searched. A total of 21 studies were included yielding 43 costing analysis. The most common analysis was top-down micro-costing (49%), followed by top-down gross-costing (37%) and bottom-up micro-costing (14%). Resource data were collected prospectively in 12 top-down studies (32%). Hospital database was the most common way of collection of resource data (44%) in top-down gross-costing studies. In top-down micro-costing studies, the most resource use data collection was the combination of several methods (38%). In general, substantial inconsistencies in the costing methods were found. The convergence of top-down and bottom-up methods may be an important topic in the next decades.","author":[{"dropping-particle":"","family":"Špacírová","given":"Z.","non-dropping-particle":"","parse-names":false,"suffix":""},{"dropping-particle":"","family":"Epstein","given":"D.","non-dropping-particle":"","parse-names":false,"suffix":""},{"dropping-particle":"","family":"García-Mochón","given":"L.","non-dropping-particle":"","parse-names":false,"suffix":""},{"dropping-particle":"","family":"Rovira","given":"J.","non-dropping-particle":"","parse-names":false,"suffix":""},{"dropping-particle":"","family":"Olry de Labry Lima","given":"A.","non-dropping-particle":"","parse-names":false,"suffix":""},{"dropping-particle":"","family":"Espín","given":"J.","non-dropping-particle":"","parse-names":false,"suffix":""}],"container-title":"European Journal of Health Economics","id":"ITEM-1","issue":"4","issued":{"date-parts":[["2020"]]},"page":"529-542","title":"A general framework for classifying costing methods for economic evaluation of health care","type":"article-journal","volume":"21"},"uris":["http://www.mendeley.com/documents/?uuid=229dfec7-f5df-3caa-b42a-a998dfc82c52"]}],"mendeley":{"formattedCitation":"&lt;sup&gt;58&lt;/sup&gt;","plainTextFormattedCitation":"58","previouslyFormattedCitation":"&lt;sup&gt;58&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58</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Un estudio realizado en Galicia concluyó que los conciertos de HD generaban un valor añadido (crecimiento económico y puestos trabajo) para el área sanitaria muy superior a los conciertos de DP</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{"citationItems":[{"id":"ITEM-1","itemData":{"DOI":"10.3265/Nefrologia.pre2011.Oct.11032","ISSN":"02116995","abstract":"Background: Despite the discrepancy in results from Spanish studies on the costs of dialysis, it is assumed that peritoneal dialysis (PD) is more efficient than haemodialysis (HD). Objectives: To analyse the costs and added value of HD and PD outsourcing agreements in Galicia, the medical transport for HD and the relationship between the cost of the agreement and the cost of consumables used in continuous ambulatory peritoneal dialysis (CAPD) with bicarbonate. Methods: The cost of the outsourcing agreements and the staff was obtained from official publications. The cost of PD and medical transport were calculated using health service data for one month and extrapolating it to one year. The cost of CAPD consumables was provided by the suppliers. The added value was calculated from the investments generated for each agreement treating 40 patients. Results: Expressed as patient/year, the mean costs for treatment were €21 595 and €25 664 in HD and PD, respectively. Medical transport varied between €3323 and €6338, while those of the CAPD agreement and consumables were €19 268 and €12 057, respectively. The added value was greater with the HD agreement, especially considering the jobs created. Conclusions: One cannot generalise that the cost of PD, which is significantly influenced by prescriptions, is lower than that of HD. It would be appropriate to review the additional cost to consumables in the CAPD agreement. The added value generated by dialysis agreements should be considered in future studies and in health planning. More controlled studies are needed to better understand this issue. © 2011 Revista Nefrología.","author":[{"dropping-particle":"","family":"Lamas Barreiro","given":"J. M.","non-dropping-particle":"","parse-names":false,"suffix":""},{"dropping-particle":"","family":"Alonso Suárez","given":"M.","non-dropping-particle":"","parse-names":false,"suffix":""},{"dropping-particle":"","family":"Saavedra Alonso","given":"J. A.","non-dropping-particle":"","parse-names":false,"suffix":""},{"dropping-particle":"","family":"Gándara Martínez","given":"A.","non-dropping-particle":"","parse-names":false,"suffix":""}],"container-title":"Nefrologia","id":"ITEM-1","issue":"6","issued":{"date-parts":[["2011"]]},"page":"656-663","title":"Costes y valor añadido de los conciertos de hemodiálisis y diálisis peritoneal","type":"article-journal","volume":"31"},"uris":["http://www.mendeley.com/documents/?uuid=2474d118-af33-4fab-a8a9-49ff3091058f"]}],"mendeley":{"formattedCitation":"&lt;sup&gt;59&lt;/sup&gt;","plainTextFormattedCitation":"59","previouslyFormattedCitation":"&lt;sup&gt;59&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59</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Este resultado pone de manifiesto la necesidad de realizar una evaluación más exhaustiva y que incluya diferentes dimensiones y perspectivas, siendo el Análisis de Decisión Multicriterio una metodología novedosa que permite realizar la evaluación con una perspectiva más holística y transparente.</w:t>
      </w:r>
    </w:p>
    <w:p w14:paraId="428A0CA9" w14:textId="4583126D" w:rsidR="00782E64" w:rsidRPr="00BF3A06" w:rsidRDefault="00782E64" w:rsidP="00B25FCD">
      <w:pPr>
        <w:spacing w:line="360" w:lineRule="auto"/>
        <w:ind w:firstLine="709"/>
        <w:jc w:val="both"/>
        <w:rPr>
          <w:rFonts w:asciiTheme="majorHAnsi" w:hAnsiTheme="majorHAnsi" w:cstheme="majorHAnsi"/>
          <w:lang w:val="en-US"/>
        </w:rPr>
      </w:pPr>
      <w:r w:rsidRPr="006B101C">
        <w:rPr>
          <w:rFonts w:asciiTheme="majorHAnsi" w:hAnsiTheme="majorHAnsi" w:cstheme="majorHAnsi"/>
          <w:highlight w:val="yellow"/>
        </w:rPr>
        <w:t>El tratamiento de la enfermedad renal tiene un elevado impacto en los sistemas sanitarios; así, el porcentaje del gasto sanitario osciló entre el 1,3% y 3% del gasto sanitario total, siendo mayor en los países con menores ingresos, representando éstos pacientes tan solo el 0,02-0,03% de la población general</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{"citationItems":[{"id":"ITEM-1","itemData":{"DOI":"10.2215/CJN.08150718","ISSN":"1555-905X (Electronic)","PMID":"30545819","abstract":"BACKGROUND AND OBJECTIVES: The prevalence of patients with ESKD who receive extracorporeal kidney replacement therapy is rising worldwide. We compared government reimbursement for hemodialysis and peritoneal dialysis worldwide, assessed the effect on the government health care budget, and discussed strategies to reduce the cost of kidney replacement therapy. DESIGN, SETTING, PARTICIPANTS, &amp; MEASUREMENTS: Cross-sectional global survey of nephrologists in 90 countries to assess reimbursement for dialysis, number of patients receiving hemodialysis and peritoneal dialysis, and measures to prevent development or progression of CKD, conducted online July to December of 2016. RESULTS: Of the 90 survey respondents, governments from 81 countries (90%) provided reimbursement for maintenance dialysis. The prevalence of patients per million population being treated with long-term dialysis in low- and middle-income countries increased linearly with Gross Domestic Product per capita (GDP per capita), but was substantially lower in these countries compared with high-income countries where we did not observe an higher prevalence with higher GDP per capita. The absolute expenditure for dialysis by national governments showed a positive association with GDP per capita, but the percent of total health care budget spent on dialysis showed a negative association. The percentage of patients on peritoneal dialysis was low, even in countries where peritoneal dialysis is better reimbursed than hemodialysis. The so-called peritoneal dialysis-first policy without financial incentive seems to be effective in increasing the utilization of peritoneal dialysis. Few countries actively provide CKD prevention. CONCLUSIONS: In low- and middle-income countries, reimbursement of dialysis is insufficient to treat all patients with ESKD and has a disproportionately high effect on public health expenditure. Current reimbursement policies favor conventional in-center hemodialysis.","author":[{"dropping-particle":"","family":"Tol","given":"Arjan","non-dropping-particle":"van der","parse-names":false,"suffix":""},{"dropping-particle":"","family":"Lameire","given":"Norbert","non-dropping-particle":"","parse-names":false,"suffix":""},{"dropping-particle":"","family":"Morton","given":"Rachael L","non-dropping-particle":"","parse-names":false,"suffix":""},{"dropping-particle":"","family":"Biesen","given":"Wim","non-dropping-particle":"Van","parse-names":false,"suffix":""},{"dropping-particle":"","family":"Vanholder","given":"Raymond","non-dropping-particle":"","parse-names":false,"suffix":""}],"container-title":"Clinical journal of the American Society of Nephrology : CJASN","id":"ITEM-1","issue":"1","issued":{"date-parts":[["2019"]]},"language":"eng","page":"84-93","publisher-place":"United States","title":"An International Analysis of Dialysis Services Reimbursement.","type":"article-journal","volume":"14"},"uris":["http://www.mendeley.com/documents/?uuid=eefb88d5-96d5-49e7-a7a9-6f758c39d70c"]},{"id":"ITEM-2","itemData":{"DOI":"10.1155/2017/5819629","ISSN":"2090-214X (Print)","PMID":"29225970","abstract":"End-stage renal disease (ESRD) is managed by either lifesaving hemodialysis (HD)  and peritoneal dialysis (PD) or a kidney transplant. In Malaysia, the prevalence of dialysis-treated ESRD patients has shown an exponential growth from 504 per million population (pmp) in 2005 to 1155 pmp in 2014. There were 1046 pmp patients on HD and 109 pmp patients on PD in 2014. Kidney transplants are limited due to lack of donors. Malaysia adopts public-private financing model for dialysis. Majority of HD patients were treated in the private sector but almost all PD patients were treated in government facilities. Inequality in access to dialysis is visible within geographical regions where majority of HD centres are scattered around developed areas. The expenditure on dialysis has been escalating in recent years but economic evaluations of dialysis modalities are scarce. Evidence shows that health policies and reimbursement strategies influence dialysis provision. Increased uptake of PD can produce significant economic benefits and improve patients' access to dialysis. As a result, some countries implemented a PD-First or Favored Policy to expand PD use. Thus, a current comparative costs analysis of dialysis is strongly recommended to assist decision-makers to establish a more equitable and economically sustainable dialysis provision in the future.","author":[{"dropping-particle":"","family":"Abdul Manaf","given":"Mohd Rizal","non-dropping-particle":"","parse-names":false,"suffix":""},{"dropping-particle":"","family":"Surendra","given":"Naren Kumar","non-dropping-particle":"","parse-names":false,"suffix":""},{"dropping-particle":"","family":"Abdul Gafor","given":"Abdul Halim","non-dropping-particle":"","parse-names":false,"suffix":""},{"dropping-particle":"","family":"Seong Hooi","given":"Lai","non-dropping-particle":"","parse-names":false,"suffix":""},{"dropping-particle":"","family":"Bavanandan","given":"Sunita","non-dropping-particle":"","parse-names":false,"suffix":""}],"container-title":"International journal of nephrology","id":"ITEM-2","issued":{"date-parts":[["2017"]]},"language":"eng","page":"5819629","publisher-place":"United States","title":"Dialysis Provision and Implications of Health Economics on Peritoneal Dialysis Utilization: A Review from a Malaysian Perspective.","type":"article-journal","volume":"2017"},"uris":["http://www.mendeley.com/documents/?uuid=56925a78-a867-490c-a3cd-ece68315de9b"]}],"mendeley":{"formattedCitation":"&lt;sup&gt;1,60&lt;/sup&gt;","plainTextFormattedCitation":"1,60","previouslyFormattedCitation":"&lt;sup&gt;1,60&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1,60</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En 20 años se estima que un tercio de la población tendrá ≥65 años, lo que podrá verse traducido en un aumento de la prevalencia de pacientes en TRS del 41% en las próximas 2 décadas</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{"citationItems":[{"id":"ITEM-1","itemData":{"ISSN":"2013-2514","author":[{"dropping-particle":"","family":"Ortiz","given":"Alberto","non-dropping-particle":"","parse-names":false,"suffix":""},{"dropping-particle":"","family":"Sanchez-Niño","given":"Maria Dolores","non-dropping-particle":"","parse-names":false,"suffix":""},{"dropping-particle":"","family":"Crespo-Barrio","given":"Marta","non-dropping-particle":"","parse-names":false,"suffix":""},{"dropping-particle":"","family":"De-Sequera-Ortiz","given":"Patricia","non-dropping-particle":"","parse-names":false,"suffix":""},{"dropping-particle":"","family":"Fernández-Giráldez","given":"Elvira","non-dropping-particle":"","parse-names":false,"suffix":""},{"dropping-particle":"","family":"García-Maset","given":"Rafael","non-dropping-particle":"","parse-names":false,"suffix":""},{"dropping-particle":"","family":"Macía-Heras","given":"Manuel","non-dropping-particle":"","parse-names":false,"suffix":""},{"dropping-particle":"","family":"Pérez-Fontán","given":"Miguel","non-dropping-particle":"","parse-names":false,"suffix":""},{"dropping-particle":"","family":"Rodríguez-Portillo","given":"Mariano","non-dropping-particle":"","parse-names":false,"suffix":""},{"dropping-particle":"","family":"Salgueira-Lazo","given":"Mercedes","non-dropping-particle":"","parse-names":false,"suffix":""}],"container-title":"Nefrología : publicación oficial de la Sociedad Española Nefrologia","id":"ITEM-1","issue":"1","issued":{"date-parts":[["2019"]]},"page":"29-34","publisher":"Elsevier","title":"The Spanish Society of Nephrology (SENEFRO) commentary to the Spain GBD 2016 report: keeping chronic kidney disease out of sight of health authorities will only magnify the problem","type":"article-journal","volume":"39"},"uris":["http://www.mendeley.com/documents/?uuid=dbdd174f-96b9-485e-b067-18f5a175f52a"]}],"mendeley":{"formattedCitation":"&lt;sup&gt;61&lt;/sup&gt;","plainTextFormattedCitation":"61","previouslyFormattedCitation":"&lt;sup&gt;61&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61</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Todo ello pone de manifiesto la necesidad de utilización de estrategias que logren disminuir la carga económica de la ERC, mediante programas de prevención de la progresión de la enfermedad, junto a la promoción de la DP</w:t>
      </w:r>
      <w:r w:rsidR="008100F2" w:rsidRPr="006B101C">
        <w:rPr>
          <w:rFonts w:asciiTheme="majorHAnsi" w:hAnsiTheme="majorHAnsi" w:cstheme="majorHAnsi"/>
          <w:highlight w:val="yellow"/>
        </w:rPr>
        <w:fldChar w:fldCharType="begin" w:fldLock="1"/>
      </w:r>
      <w:r w:rsidR="00EC77E4" w:rsidRPr="006B101C">
        <w:rPr>
          <w:rFonts w:asciiTheme="majorHAnsi" w:hAnsiTheme="majorHAnsi" w:cstheme="majorHAnsi"/>
          <w:highlight w:val="yellow"/>
        </w:rPr>
        <w:instrText>ADDIN CSL_CITATION {"citationItems":[{"id":"ITEM-1","itemData":{"DOI":"10.1007/s40258-020-00614-4","ISSN":"1179-1896","abstract":"Kidney replacement therapy (KRT) is a lifesaving but costly treatment for patients with end-stage kidney disease (ESKD). The objective of this study was to review full economic evaluations comparing KRT modalities specified as hemodialysis (HD), peritoneal dialysis (PD), and kidney transplantation (KT) for patients with ESKD.","author":[{"dropping-particle":"","family":"Yang","given":"Fei","non-dropping-particle":"","parse-names":false,"suffix":""},{"dropping-particle":"","family":"Liao","given":"Meixia","non-dropping-particle":"","parse-names":false,"suffix":""},{"dropping-particle":"","family":"Wang","given":"Pusheng","non-dropping-particle":"","parse-names":false,"suffix":""},{"dropping-particle":"","family":"Yang","given":"Zheng","non-dropping-particle":"","parse-names":false,"suffix":""},{"dropping-particle":"","family":"Liu","given":"Yongguang","non-dropping-particle":"","parse-names":false,"suffix":""}],"container-title":"Applied Health Economics and Health Policy","id":"ITEM-1","issue":"2","issued":{"date-parts":[["2021"]]},"page":"163-180","title":"The Cost-Effectiveness of Kidney Replacement Therapy Modalities: A Systematic Review of Full Economic Evaluations","type":"article-journal","volume":"19"},"uris":["http://www.mendeley.com/documents/?uuid=79e7a40a-0b21-4759-ba5b-5058c4577616"]}],"mendeley":{"formattedCitation":"&lt;sup&gt;62&lt;/sup&gt;","plainTextFormattedCitation":"62","previouslyFormattedCitation":"&lt;sup&gt;62&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6B101C">
        <w:rPr>
          <w:rFonts w:asciiTheme="majorHAnsi" w:hAnsiTheme="majorHAnsi" w:cstheme="majorHAnsi"/>
          <w:noProof/>
          <w:highlight w:val="yellow"/>
          <w:vertAlign w:val="superscript"/>
        </w:rPr>
        <w:t>62</w:t>
      </w:r>
      <w:r w:rsidR="008100F2" w:rsidRPr="006B101C">
        <w:rPr>
          <w:rFonts w:asciiTheme="majorHAnsi" w:hAnsiTheme="majorHAnsi" w:cstheme="majorHAnsi"/>
          <w:highlight w:val="yellow"/>
        </w:rPr>
        <w:fldChar w:fldCharType="end"/>
      </w:r>
      <w:r w:rsidRPr="006B101C">
        <w:rPr>
          <w:rFonts w:asciiTheme="majorHAnsi" w:hAnsiTheme="majorHAnsi" w:cstheme="majorHAnsi"/>
          <w:highlight w:val="yellow"/>
        </w:rPr>
        <w:t>. Así, la coexistencia en España de centros públicos y concertados, la variabilidad en la prestación de las técnicas de diálisis y la escasa evidencia sobre si la externalización del TSR supone una forma adecuada de reducir los costes del tratamiento, ponen de manifiesto la necesidad de dedicar esfuerzos y medios a la investigación comparativa de resultados para la aplicación de  estrategias que redunden en una mejora de la atención a la Enfermedad Renal Crónica, dentro de las Estrategias de las Enfermedades Crónicas</w:t>
      </w:r>
      <w:r w:rsidR="008100F2" w:rsidRPr="006B101C">
        <w:rPr>
          <w:rFonts w:asciiTheme="majorHAnsi" w:hAnsiTheme="majorHAnsi" w:cstheme="majorHAnsi"/>
          <w:highlight w:val="yellow"/>
        </w:rPr>
        <w:fldChar w:fldCharType="begin" w:fldLock="1"/>
      </w:r>
      <w:r w:rsidR="008100F2" w:rsidRPr="006B101C">
        <w:rPr>
          <w:rFonts w:asciiTheme="majorHAnsi" w:hAnsiTheme="majorHAnsi" w:cstheme="majorHAnsi"/>
          <w:highlight w:val="yellow"/>
        </w:rPr>
        <w:instrText>ADDIN CSL_CITATION {"citationItems":[{"id":"ITEM-1","itemData":{"DOI":"10.5301/ijao.5000499","ISSN":"1724-6040 (Electronic)","PMID":"27229320","abstract":"INTRODUCTION: Peritoneal dialysis (PD) and haemodialysis (HD) are complementary therapies in end-stage renal disease (ESRD). Despite survival benefit, PD remains an underused therapy with variable utilisation and a common descriptive framework for this variation is not established. We reviewed the renal literature, general population and healthcare data to examine factors leading to variable PD use in Europe and possible changes in the future. METHODS: ERA-EDTA data were used to examine PD distribution in Europe. Statistics and descriptive data about population structure and living conditions published by Eurostat, the World Health Organization (WHO) and the European Observatory were examined. Published literature (Pubmed), health system data (formal internet search approach) and professional body data (internet and personal communication) were examined to describe the factors that may explain PD variation. RESULTS: PD usage varies across Europe and analysis of contributing factors enabled the development of a descriptive framework. PD variation cannot be entirely explained by the reimbursement system. It appears that factors specific to countries and centres as well as personalised ones involving patient-physician interaction are the most influential. The current and projected European population demographics and living conditions will lead to more elderly patients who live alone being on dialysis. DISCUSSION: Factors relating to the patient-physician interaction are prime determinants around the utilization of PD. Population demographic change will lead to additional challenges to renal services. The descriptive framework postulated should be considered in strategic dialysis service planning and future product design to meet the needs of future dialysis patients and deliver patient choice.","author":[{"dropping-particle":"","family":"Machowska","given":"Anna","non-dropping-particle":"","parse-names":false,"suffix":""},{"dropping-particle":"","family":"Rutherford","given":"Peter","non-dropping-particle":"","parse-names":false,"suffix":""}],"container-title":"The International journal of artificial organs","id":"ITEM-1","issue":"5","issued":{"date-parts":[["2016"]]},"language":"eng","page":"211-219","publisher-place":"United States","title":"Peritoneal dialysis use within the context of the population and healthcare systems of Europe - differences, trends and future challenges.","type":"article-journal","volume":"39"},"uris":["http://www.mendeley.com/documents/?uuid=91864084-a284-4e65-9452-d07232b80e07"]},{"id":"ITEM-2","itemData":{"ISBN":"9789568823054","abstract":"Los profesionales sanitarios, las asociaciones de pacientes y las autoridades sanitarias competentes coinciden en la necesidad de incluir la Enfermedad Renal Crónica (ERC) en las Estrategias de las Enfermedades Crónicas. Las sociedades científicas han justificado esta demanda en su elevada prevalencia, morbimortalidad cardiovascular, infradiagnóstico, costes económicos y en el bienestar de las personas afectadas. Las asociaciones de pacientes han justificado la necesidad de la estrategia en base al elevado impacto psicosocial que tiene esta enfermedad crónica sobre el propio paciente y su entorno familiar y social (1, 2, 3 ,4). La ERC supone un coste social y económico (casi un 10 % de la población afectada y 3% del gasto sanitario total) muy elevado que requiere criterios coordinados entre los profesionales sanitarios que garanticen los mejores niveles de calidad en la prevención, diagnóstico y tratamiento. Según la OMS las patologías crónicas suponen el 75% del gasto sanitario.","author":[{"dropping-particle":"","family":"Vargas Marcos","given":"Francisco","non-dropping-particle":"","parse-names":false,"suffix":""}],"container-title":"Ministerio De Sanidad Servicios Sociales e Igualdad","id":"ITEM-2","issued":{"date-parts":[["2015"]]},"number-of-pages":"54","title":"Documento Marco sobre Enfermedad Renal Crónica dentro de la Estrategia de Abordaje a la Cronicidad en el SNS","type":"book"},"uris":["http://www.mendeley.com/documents/?uuid=fbd103d3-3c9b-4944-9b08-4dc16d327998"]},{"id":"ITEM-3","itemData":{"DOI":"10.1016/j.nefro.2016.08.003","ISSN":"02116995","abstract":"Introduction Variations in the use of healthcare services can be defined as systematic variations of adjusted rates for certain aggregation levels of the population. The study analyses how renal replacement therapy (RRT) is used, identifying RRT variability in Catalonia from 2002 to 2012. Material and methods Ecological study by health area using data from the Catalan renal registry. We present incident rates, standardised incidence ratios and prevalence, while variability was calculated through direct and indirect standardisation methods. Results From 2002 until 31/12/2012, 10,784 patients initiated RRT in Catalonia: 9,238 on haemodialysis (HD) (50 treatments per 100,000 people 2010/2012), 1,076 on peritoneal dialysis (PD) (8.2 treatments per 100,000 people 2010/2012) and 470 received an early kidney transplant (KT) (4.4 treatments per 100,000 people 2010/2012). Over the 10 years, the HD cumulative incidence rate fell (7%), while the PD and KT incidence rates increased (63% and 177%, respectively); both are higher in young patients (&lt;45 years). 4,750 patients received a kidney transplant in this period, 49% of which were aged between 45 and 65 years. There were no significant differences in variability in HD (RV5-95 = 1.3; Empirical Bayes [EB]</w:instrText>
      </w:r>
      <w:r w:rsidR="008100F2" w:rsidRPr="006B101C">
        <w:rPr>
          <w:rFonts w:ascii="Cambria Math" w:hAnsi="Cambria Math" w:cs="Cambria Math"/>
          <w:highlight w:val="yellow"/>
        </w:rPr>
        <w:instrText>∼</w:instrText>
      </w:r>
      <w:r w:rsidR="008100F2" w:rsidRPr="006B101C">
        <w:rPr>
          <w:rFonts w:asciiTheme="majorHAnsi" w:hAnsiTheme="majorHAnsi" w:cstheme="majorHAnsi"/>
          <w:highlight w:val="yellow"/>
        </w:rPr>
        <w:instrText xml:space="preserve"> 0), or in the prevalence of KT (RV5-95</w:instrText>
      </w:r>
      <w:r w:rsidR="008100F2" w:rsidRPr="006B101C">
        <w:rPr>
          <w:rFonts w:ascii="Calibri Light" w:hAnsi="Calibri Light" w:cs="Calibri Light"/>
          <w:highlight w:val="yellow"/>
        </w:rPr>
        <w:instrText> </w:instrText>
      </w:r>
      <w:r w:rsidR="008100F2" w:rsidRPr="006B101C">
        <w:rPr>
          <w:rFonts w:asciiTheme="majorHAnsi" w:hAnsiTheme="majorHAnsi" w:cstheme="majorHAnsi"/>
          <w:highlight w:val="yellow"/>
        </w:rPr>
        <w:instrText>=</w:instrText>
      </w:r>
      <w:r w:rsidR="008100F2" w:rsidRPr="006B101C">
        <w:rPr>
          <w:rFonts w:ascii="Calibri Light" w:hAnsi="Calibri Light" w:cs="Calibri Light"/>
          <w:highlight w:val="yellow"/>
        </w:rPr>
        <w:instrText> </w:instrText>
      </w:r>
      <w:r w:rsidR="008100F2" w:rsidRPr="006B101C">
        <w:rPr>
          <w:rFonts w:asciiTheme="majorHAnsi" w:hAnsiTheme="majorHAnsi" w:cstheme="majorHAnsi"/>
          <w:highlight w:val="yellow"/>
        </w:rPr>
        <w:instrText xml:space="preserve">1.4; EB </w:instrText>
      </w:r>
      <w:r w:rsidR="008100F2" w:rsidRPr="006B101C">
        <w:rPr>
          <w:rFonts w:ascii="Cambria Math" w:hAnsi="Cambria Math" w:cs="Cambria Math"/>
          <w:highlight w:val="yellow"/>
        </w:rPr>
        <w:instrText>∼</w:instrText>
      </w:r>
      <w:r w:rsidR="008100F2" w:rsidRPr="006B101C">
        <w:rPr>
          <w:rFonts w:asciiTheme="majorHAnsi" w:hAnsiTheme="majorHAnsi" w:cstheme="majorHAnsi"/>
          <w:highlight w:val="yellow"/>
        </w:rPr>
        <w:instrText xml:space="preserve"> 0). Nevertheless, we found significant geographical variability in PD; notably in the districts of the province of Lérida, where the number of cases observed was greater than expected (RV5-95 = 4.01; EB = 0.08). Conclusion Although there was a notable rise in PD and early KT incidence rates, PD is still underused when compared to international recommendations. No territorial variability was found for HD or KT, but the use of PD was found to be higher in Lérida than in other areas. To reduce PD territorial variability and increase the uptake of this technique in the other regions, we propose 3 initiatives: The development of RRT support tools for shared decision-making, the encouragement of specific PD professional training and the promotion of PD through complementary reimbursement systems.","author":[{"dropping-particle":"","family":"Tebé Condomí","given":"Cristian","non-dropping-particle":"","parse-names":false,"suf</w:instrText>
      </w:r>
      <w:r w:rsidR="008100F2" w:rsidRPr="00BF3A06">
        <w:rPr>
          <w:rFonts w:asciiTheme="majorHAnsi" w:hAnsiTheme="majorHAnsi" w:cstheme="majorHAnsi"/>
          <w:highlight w:val="yellow"/>
          <w:lang w:val="en-US"/>
        </w:rPr>
        <w:instrText>fix":""},{"dropping-particle":"","family":"Arcos","given":"Emma","non-dropping-particle":"","parse-names":false,"suffix":""},{"dropping-particle":"","family":"Comas","given":"Jordi","non-dropping-particle":"","parse-names":false,"suffix":""},{"dropping-particle":"","family":"Espallargues","given":"Mireia","non-dropping-particle":"","parse-names":false,"suffix":""},{"dropping-particle":"","family":"Pons","given":"Joan M.V.","non-dropping-particle":"","parse-names":false,"suffix":""},{"dropping-particle":"","family":"Díaz","given":"Joan M.","non-dropping-particle":"","parse-names":false,"suffix":""},{"dropping-particle":"","family":"Tort","given":"Jaume","non-dropping-particle":"","parse-names":false,"suffix":""},{"dropping-particle":"","family":"Martinez-Castelao","given":"Alberto","non-dropping-particle":"","parse-names":false,"suffix":""}],"container-title":"Nefrología","id":"ITEM-3","issue":"2","issued":{"date-parts":[["2017"]]},"page":"164-171","publisher":"Sociedad Española de Nefrología","title":"Atlas de variaciones sistemáticas en el tratamiento sustitutivo renal en Cataluña (2002–2012)","type":"article-journal","volume":"37"},"uris":["http://www.mendeley.com/documents/?uuid=5384c2a1-2340-4531-9dff-f490d666fe5a"]}],"mendeley":{"formattedCitation":"&lt;sup&gt;63–65&lt;/sup&gt;","plainTextFormattedCitation":"63–65","previouslyFormattedCitation":"&lt;sup&gt;63–65&lt;/sup&gt;"},"properties":{"noteIndex":0},"schema":"https://github.com/citation-style-language/schema/raw/master/csl-citation.json"}</w:instrText>
      </w:r>
      <w:r w:rsidR="008100F2" w:rsidRPr="006B101C">
        <w:rPr>
          <w:rFonts w:asciiTheme="majorHAnsi" w:hAnsiTheme="majorHAnsi" w:cstheme="majorHAnsi"/>
          <w:highlight w:val="yellow"/>
        </w:rPr>
        <w:fldChar w:fldCharType="separate"/>
      </w:r>
      <w:r w:rsidR="008100F2" w:rsidRPr="00BF3A06">
        <w:rPr>
          <w:rFonts w:asciiTheme="majorHAnsi" w:hAnsiTheme="majorHAnsi" w:cstheme="majorHAnsi"/>
          <w:noProof/>
          <w:highlight w:val="yellow"/>
          <w:vertAlign w:val="superscript"/>
          <w:lang w:val="en-US"/>
        </w:rPr>
        <w:t>63–65</w:t>
      </w:r>
      <w:r w:rsidR="008100F2" w:rsidRPr="006B101C">
        <w:rPr>
          <w:rFonts w:asciiTheme="majorHAnsi" w:hAnsiTheme="majorHAnsi" w:cstheme="majorHAnsi"/>
          <w:highlight w:val="yellow"/>
        </w:rPr>
        <w:fldChar w:fldCharType="end"/>
      </w:r>
      <w:r w:rsidRPr="00BF3A06">
        <w:rPr>
          <w:rFonts w:asciiTheme="majorHAnsi" w:hAnsiTheme="majorHAnsi" w:cstheme="majorHAnsi"/>
          <w:highlight w:val="yellow"/>
          <w:lang w:val="en-US"/>
        </w:rPr>
        <w:t>.</w:t>
      </w:r>
    </w:p>
    <w:p w14:paraId="1039B53A" w14:textId="77777777" w:rsidR="00782E64" w:rsidRPr="00BF3A06" w:rsidRDefault="00782E64" w:rsidP="00AC69F3">
      <w:pPr>
        <w:spacing w:line="360" w:lineRule="auto"/>
        <w:ind w:firstLine="708"/>
        <w:jc w:val="both"/>
        <w:rPr>
          <w:rFonts w:asciiTheme="majorHAnsi" w:hAnsiTheme="majorHAnsi" w:cstheme="majorHAnsi"/>
          <w:lang w:val="en-US"/>
        </w:rPr>
      </w:pPr>
    </w:p>
    <w:p w14:paraId="546494A0" w14:textId="082A4B54" w:rsidR="00E901A6" w:rsidRPr="00BF3A06" w:rsidRDefault="00782E64" w:rsidP="00782E64">
      <w:pPr>
        <w:rPr>
          <w:rFonts w:asciiTheme="majorHAnsi" w:hAnsiTheme="majorHAnsi" w:cstheme="majorHAnsi"/>
          <w:lang w:val="en-US"/>
        </w:rPr>
      </w:pPr>
      <w:r w:rsidRPr="00BF3A06">
        <w:rPr>
          <w:rFonts w:asciiTheme="majorHAnsi" w:hAnsiTheme="majorHAnsi" w:cstheme="majorHAnsi"/>
          <w:lang w:val="en-US"/>
        </w:rPr>
        <w:br w:type="page"/>
      </w:r>
    </w:p>
    <w:p w14:paraId="5F518E34" w14:textId="77777777" w:rsidR="00E901A6" w:rsidRPr="00BF3A06" w:rsidRDefault="00E901A6" w:rsidP="00F276F8">
      <w:pPr>
        <w:spacing w:line="360" w:lineRule="auto"/>
        <w:ind w:firstLine="640"/>
        <w:rPr>
          <w:rFonts w:asciiTheme="majorHAnsi" w:hAnsiTheme="majorHAnsi" w:cstheme="majorHAnsi"/>
          <w:lang w:val="en-US"/>
        </w:rPr>
        <w:sectPr w:rsidR="00E901A6" w:rsidRPr="00BF3A06">
          <w:pgSz w:w="11906" w:h="16838"/>
          <w:pgMar w:top="1417" w:right="1701" w:bottom="1417" w:left="1701" w:header="708" w:footer="708" w:gutter="0"/>
          <w:cols w:space="708"/>
          <w:docGrid w:linePitch="360"/>
        </w:sectPr>
      </w:pPr>
    </w:p>
    <w:p w14:paraId="12D5FFF2" w14:textId="77777777" w:rsidR="00C9016B" w:rsidRPr="0025653C" w:rsidRDefault="00C9016B" w:rsidP="00C9016B">
      <w:pPr>
        <w:widowControl w:val="0"/>
        <w:autoSpaceDE w:val="0"/>
        <w:autoSpaceDN w:val="0"/>
        <w:adjustRightInd w:val="0"/>
        <w:spacing w:line="240" w:lineRule="auto"/>
        <w:ind w:left="640" w:hanging="640"/>
        <w:rPr>
          <w:rFonts w:asciiTheme="majorHAnsi" w:hAnsiTheme="majorHAnsi" w:cstheme="majorHAnsi"/>
          <w:b/>
          <w:lang w:val="en-US"/>
        </w:rPr>
      </w:pPr>
      <w:r w:rsidRPr="0025653C">
        <w:rPr>
          <w:rFonts w:asciiTheme="majorHAnsi" w:hAnsiTheme="majorHAnsi" w:cstheme="majorHAnsi"/>
          <w:b/>
          <w:lang w:val="en-US"/>
        </w:rPr>
        <w:lastRenderedPageBreak/>
        <w:t xml:space="preserve">Bibliografía </w:t>
      </w:r>
    </w:p>
    <w:p w14:paraId="36C8AF85" w14:textId="77777777" w:rsidR="00C9016B" w:rsidRPr="0025653C" w:rsidRDefault="00C9016B" w:rsidP="00C9016B">
      <w:pPr>
        <w:widowControl w:val="0"/>
        <w:autoSpaceDE w:val="0"/>
        <w:autoSpaceDN w:val="0"/>
        <w:adjustRightInd w:val="0"/>
        <w:spacing w:line="240" w:lineRule="auto"/>
        <w:ind w:left="640" w:hanging="640"/>
        <w:rPr>
          <w:rFonts w:asciiTheme="majorHAnsi" w:hAnsiTheme="majorHAnsi" w:cstheme="majorHAnsi"/>
          <w:lang w:val="en-US"/>
        </w:rPr>
      </w:pPr>
    </w:p>
    <w:p w14:paraId="64BB310F" w14:textId="303D9ABD" w:rsidR="00EC77E4" w:rsidRPr="00EC77E4" w:rsidRDefault="00C9016B" w:rsidP="00EC77E4">
      <w:pPr>
        <w:widowControl w:val="0"/>
        <w:autoSpaceDE w:val="0"/>
        <w:autoSpaceDN w:val="0"/>
        <w:adjustRightInd w:val="0"/>
        <w:spacing w:line="240" w:lineRule="auto"/>
        <w:ind w:left="640" w:hanging="640"/>
        <w:rPr>
          <w:rFonts w:ascii="Calibri Light" w:hAnsi="Calibri Light" w:cs="Calibri Light"/>
          <w:noProof/>
          <w:szCs w:val="24"/>
        </w:rPr>
      </w:pPr>
      <w:r w:rsidRPr="0025653C">
        <w:rPr>
          <w:rFonts w:asciiTheme="majorHAnsi" w:hAnsiTheme="majorHAnsi" w:cstheme="majorHAnsi"/>
          <w:lang w:val="es-ES_tradnl"/>
        </w:rPr>
        <w:fldChar w:fldCharType="begin" w:fldLock="1"/>
      </w:r>
      <w:r w:rsidRPr="0025653C">
        <w:rPr>
          <w:rFonts w:asciiTheme="majorHAnsi" w:hAnsiTheme="majorHAnsi" w:cstheme="majorHAnsi"/>
          <w:lang w:val="en-US"/>
        </w:rPr>
        <w:instrText xml:space="preserve">ADDIN Mendeley Bibliography CSL_BIBLIOGRAPHY </w:instrText>
      </w:r>
      <w:r w:rsidRPr="0025653C">
        <w:rPr>
          <w:rFonts w:asciiTheme="majorHAnsi" w:hAnsiTheme="majorHAnsi" w:cstheme="majorHAnsi"/>
          <w:lang w:val="es-ES_tradnl"/>
        </w:rPr>
        <w:fldChar w:fldCharType="separate"/>
      </w:r>
      <w:r w:rsidR="00EC77E4" w:rsidRPr="00BF3A06">
        <w:rPr>
          <w:rFonts w:ascii="Calibri Light" w:hAnsi="Calibri Light" w:cs="Calibri Light"/>
          <w:noProof/>
          <w:szCs w:val="24"/>
          <w:lang w:val="en-US"/>
        </w:rPr>
        <w:t xml:space="preserve">1. </w:t>
      </w:r>
      <w:r w:rsidR="00EC77E4" w:rsidRPr="00BF3A06">
        <w:rPr>
          <w:rFonts w:ascii="Calibri Light" w:hAnsi="Calibri Light" w:cs="Calibri Light"/>
          <w:noProof/>
          <w:szCs w:val="24"/>
          <w:lang w:val="en-US"/>
        </w:rPr>
        <w:tab/>
        <w:t xml:space="preserve">van der Tol A, Lameire N, Morton RL, Van Biesen W, Vanholder R. An International Analysis of Dialysis Services Reimbursement. </w:t>
      </w:r>
      <w:r w:rsidR="00EC77E4" w:rsidRPr="00EC77E4">
        <w:rPr>
          <w:rFonts w:ascii="Calibri Light" w:hAnsi="Calibri Light" w:cs="Calibri Light"/>
          <w:noProof/>
          <w:szCs w:val="24"/>
        </w:rPr>
        <w:t xml:space="preserve">Clin J Am Soc Nephrol. 2019;14(1):84–93. </w:t>
      </w:r>
    </w:p>
    <w:p w14:paraId="7C55FEB6"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2. </w:t>
      </w:r>
      <w:r w:rsidRPr="00EC77E4">
        <w:rPr>
          <w:rFonts w:ascii="Calibri Light" w:hAnsi="Calibri Light" w:cs="Calibri Light"/>
          <w:noProof/>
          <w:szCs w:val="24"/>
        </w:rPr>
        <w:tab/>
        <w:t xml:space="preserve">Sociedad Española de Nefrología y la Organización Nacional de Trasplantes. Informe de Diálisis y Trasplante 2019. Registro Español de Enfermos Renales [Internet]. </w:t>
      </w:r>
      <w:r w:rsidRPr="00BF3A06">
        <w:rPr>
          <w:rFonts w:ascii="Calibri Light" w:hAnsi="Calibri Light" w:cs="Calibri Light"/>
          <w:noProof/>
          <w:szCs w:val="24"/>
          <w:lang w:val="en-US"/>
        </w:rPr>
        <w:t>Available from: https://senefro.org/contents/webstructure/INFORME_REER_SEN_2020_WEB_SEN.pdf</w:t>
      </w:r>
    </w:p>
    <w:p w14:paraId="0A198C66"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3. </w:t>
      </w:r>
      <w:r w:rsidRPr="00EC77E4">
        <w:rPr>
          <w:rFonts w:ascii="Calibri Light" w:hAnsi="Calibri Light" w:cs="Calibri Light"/>
          <w:noProof/>
          <w:szCs w:val="24"/>
        </w:rPr>
        <w:tab/>
        <w:t xml:space="preserve">Márquez S, Caro A, Adam D, Olry-de-Labry-Lima A, Navarro J, García L. Eficiencia de la diálisis peritoneal frente a hemodiálisis para el tratamiento de la insuficiencia renal. Informes de evaluación de tecnologías sanitarias AETSA. 2013. </w:t>
      </w:r>
    </w:p>
    <w:p w14:paraId="112BD756"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4. </w:t>
      </w:r>
      <w:r w:rsidRPr="00EC77E4">
        <w:rPr>
          <w:rFonts w:ascii="Calibri Light" w:hAnsi="Calibri Light" w:cs="Calibri Light"/>
          <w:noProof/>
          <w:szCs w:val="24"/>
        </w:rPr>
        <w:tab/>
        <w:t xml:space="preserve">Palanca Sánchez I, Conde Olasagasti J, Elola Somoza J, Bernal Sobrino JL, Paniagua Caparrós JL. Unidad de depuración extrarrenal: estándares y recomendaciones. Ministerio de Sanidad, editor. Madrid: Ministerio de Sanidad, Política Social e Igualdad. Madrid; 2011. </w:t>
      </w:r>
    </w:p>
    <w:p w14:paraId="59F0AD25"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5. </w:t>
      </w:r>
      <w:r w:rsidRPr="00EC77E4">
        <w:rPr>
          <w:rFonts w:ascii="Calibri Light" w:hAnsi="Calibri Light" w:cs="Calibri Light"/>
          <w:noProof/>
          <w:szCs w:val="24"/>
        </w:rPr>
        <w:tab/>
        <w:t xml:space="preserve">Fink JC, Zhan M, Blahut SA, Soucie M, McClellan WM. </w:t>
      </w:r>
      <w:r w:rsidRPr="00BF3A06">
        <w:rPr>
          <w:rFonts w:ascii="Calibri Light" w:hAnsi="Calibri Light" w:cs="Calibri Light"/>
          <w:noProof/>
          <w:szCs w:val="24"/>
          <w:lang w:val="en-US"/>
        </w:rPr>
        <w:t xml:space="preserve">Measuring the efficacy of a quality improvement program in dialysis adequacy with changes in center effects. J Am Soc Nephrol. 2002;13(9):2338–44. </w:t>
      </w:r>
    </w:p>
    <w:p w14:paraId="012F5969"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6. </w:t>
      </w:r>
      <w:r w:rsidRPr="00BF3A06">
        <w:rPr>
          <w:rFonts w:ascii="Calibri Light" w:hAnsi="Calibri Light" w:cs="Calibri Light"/>
          <w:noProof/>
          <w:szCs w:val="24"/>
          <w:lang w:val="en-US"/>
        </w:rPr>
        <w:tab/>
        <w:t xml:space="preserve">Roderick P, Nicholson T, Armitage A, Mehta R, Mullee M, Gerard K, et al. An evaluation of the costs, effectiveness and quality of renal replacement therapy provision in renal satellite units in England and Wales. Health Technol Assess. 2005;9(24):1–178. </w:t>
      </w:r>
    </w:p>
    <w:p w14:paraId="1085B304"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BF3A06">
        <w:rPr>
          <w:rFonts w:ascii="Calibri Light" w:hAnsi="Calibri Light" w:cs="Calibri Light"/>
          <w:noProof/>
          <w:szCs w:val="24"/>
          <w:lang w:val="en-US"/>
        </w:rPr>
        <w:t xml:space="preserve">7. </w:t>
      </w:r>
      <w:r w:rsidRPr="00BF3A06">
        <w:rPr>
          <w:rFonts w:ascii="Calibri Light" w:hAnsi="Calibri Light" w:cs="Calibri Light"/>
          <w:noProof/>
          <w:szCs w:val="24"/>
          <w:lang w:val="en-US"/>
        </w:rPr>
        <w:tab/>
        <w:t xml:space="preserve">Pike E, Hamidi V, Ringerike T, Wisløff T, Desser A, Harboe I, et al. Health Technology Assessment of the Different Dialysis Modalities in Norway. </w:t>
      </w:r>
      <w:r w:rsidRPr="00EC77E4">
        <w:rPr>
          <w:rFonts w:ascii="Calibri Light" w:hAnsi="Calibri Light" w:cs="Calibri Light"/>
          <w:noProof/>
          <w:szCs w:val="24"/>
        </w:rPr>
        <w:t xml:space="preserve">2013. </w:t>
      </w:r>
    </w:p>
    <w:p w14:paraId="743157D3"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8. </w:t>
      </w:r>
      <w:r w:rsidRPr="00EC77E4">
        <w:rPr>
          <w:rFonts w:ascii="Calibri Light" w:hAnsi="Calibri Light" w:cs="Calibri Light"/>
          <w:noProof/>
          <w:szCs w:val="24"/>
        </w:rPr>
        <w:tab/>
        <w:t>Guías SEN. Guías de centros de hemodiálisis [Internet]. Nefrología. 2006. Available from: https://www.senefro.org/modules/webstructure/files/guiacentroshd130606_copy1.pdf?check_idfile=2402</w:t>
      </w:r>
    </w:p>
    <w:p w14:paraId="240327E9"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9. </w:t>
      </w:r>
      <w:r w:rsidRPr="00EC77E4">
        <w:rPr>
          <w:rFonts w:ascii="Calibri Light" w:hAnsi="Calibri Light" w:cs="Calibri Light"/>
          <w:noProof/>
          <w:szCs w:val="24"/>
        </w:rPr>
        <w:tab/>
        <w:t xml:space="preserve">Berdud I, Arenas MD, Bernat A, Ramos R, Blanco A. Anexo a la Guía de Centros de Diálisis: Recomendaciones sobre la relación entre los centros de hemodiálisis extrahospitalarios y sus hospitales de referencia: Opinión del Grupo de Diálisis Extrahospitalaria. Nefrología. 2011;31(6):664–9. </w:t>
      </w:r>
    </w:p>
    <w:p w14:paraId="281EE73E"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10. </w:t>
      </w:r>
      <w:r w:rsidRPr="00EC77E4">
        <w:rPr>
          <w:rFonts w:ascii="Calibri Light" w:hAnsi="Calibri Light" w:cs="Calibri Light"/>
          <w:noProof/>
          <w:szCs w:val="24"/>
        </w:rPr>
        <w:tab/>
        <w:t xml:space="preserve">Parra E, Arenas MD, Alonso M, Martínez MF, Gamen Á, Balda S, et al. Ponderación de resultados para la evaluación global de centros de hemodiálisis. Nefrología. 2012;32(5):659–63. </w:t>
      </w:r>
    </w:p>
    <w:p w14:paraId="449A07F2"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11. </w:t>
      </w:r>
      <w:r w:rsidRPr="00EC77E4">
        <w:rPr>
          <w:rFonts w:ascii="Calibri Light" w:hAnsi="Calibri Light" w:cs="Calibri Light"/>
          <w:noProof/>
          <w:szCs w:val="24"/>
        </w:rPr>
        <w:tab/>
        <w:t xml:space="preserve">Parra E, Arenas MD, Alonso M, Martínez MF, Gamen Á, Aguarón J, et al. </w:t>
      </w:r>
      <w:r w:rsidRPr="00BF3A06">
        <w:rPr>
          <w:rFonts w:ascii="Calibri Light" w:hAnsi="Calibri Light" w:cs="Calibri Light"/>
          <w:noProof/>
          <w:szCs w:val="24"/>
          <w:lang w:val="en-US"/>
        </w:rPr>
        <w:t xml:space="preserve">Assessing value-based health care delivery for haemodialysis. J Eval Clin Pract. </w:t>
      </w:r>
      <w:r w:rsidRPr="00EC77E4">
        <w:rPr>
          <w:rFonts w:ascii="Calibri Light" w:hAnsi="Calibri Light" w:cs="Calibri Light"/>
          <w:noProof/>
          <w:szCs w:val="24"/>
        </w:rPr>
        <w:t xml:space="preserve">2017;23(3):477–85. </w:t>
      </w:r>
    </w:p>
    <w:p w14:paraId="642FA142"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12. </w:t>
      </w:r>
      <w:r w:rsidRPr="00EC77E4">
        <w:rPr>
          <w:rFonts w:ascii="Calibri Light" w:hAnsi="Calibri Light" w:cs="Calibri Light"/>
          <w:noProof/>
          <w:szCs w:val="24"/>
        </w:rPr>
        <w:tab/>
        <w:t>Federación Nacional de Asociaciones para la lucha contra las enfermedades del Riñón. Centros de diálisis [Internet]. [cited 2021 Apr 23]. Available from: https://alcer.org/centro-de-dialisis/</w:t>
      </w:r>
    </w:p>
    <w:p w14:paraId="124A52B9"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13. </w:t>
      </w:r>
      <w:r w:rsidRPr="00EC77E4">
        <w:rPr>
          <w:rFonts w:ascii="Calibri Light" w:hAnsi="Calibri Light" w:cs="Calibri Light"/>
          <w:noProof/>
          <w:szCs w:val="24"/>
        </w:rPr>
        <w:tab/>
        <w:t xml:space="preserve">Largo F. Oferta pública y privada en el tratamiento sustitutivo de la IRC en España. Nefrologia. 1994;14:36–41. </w:t>
      </w:r>
    </w:p>
    <w:p w14:paraId="48542C58"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14. </w:t>
      </w:r>
      <w:r w:rsidRPr="00EC77E4">
        <w:rPr>
          <w:rFonts w:ascii="Calibri Light" w:hAnsi="Calibri Light" w:cs="Calibri Light"/>
          <w:noProof/>
          <w:szCs w:val="24"/>
        </w:rPr>
        <w:tab/>
        <w:t xml:space="preserve">Villa G, Fernandez-Ortiz L, Cuervo J, Rebollo P, Selgas R, Gonzalez T, et al. </w:t>
      </w:r>
      <w:r w:rsidRPr="00BF3A06">
        <w:rPr>
          <w:rFonts w:ascii="Calibri Light" w:hAnsi="Calibri Light" w:cs="Calibri Light"/>
          <w:noProof/>
          <w:szCs w:val="24"/>
          <w:lang w:val="en-US"/>
        </w:rPr>
        <w:t xml:space="preserve">Cost-effectiveness analysis of the Spanish renal replacement therapy program. Perit Dial Int. 2012;32(2):192–9. </w:t>
      </w:r>
    </w:p>
    <w:p w14:paraId="6035FB17"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lastRenderedPageBreak/>
        <w:t xml:space="preserve">15. </w:t>
      </w:r>
      <w:r w:rsidRPr="00BF3A06">
        <w:rPr>
          <w:rFonts w:ascii="Calibri Light" w:hAnsi="Calibri Light" w:cs="Calibri Light"/>
          <w:noProof/>
          <w:szCs w:val="24"/>
          <w:lang w:val="en-US"/>
        </w:rPr>
        <w:tab/>
        <w:t xml:space="preserve">Tricco AC, Antony J, Zarin W, Strifler L, Ghassemi M, Ivory J, et al. A scoping review of rapid review methods. BMC Med. 2015;13(1):224. </w:t>
      </w:r>
    </w:p>
    <w:p w14:paraId="11EE9A5E"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16. </w:t>
      </w:r>
      <w:r w:rsidRPr="00BF3A06">
        <w:rPr>
          <w:rFonts w:ascii="Calibri Light" w:hAnsi="Calibri Light" w:cs="Calibri Light"/>
          <w:noProof/>
          <w:szCs w:val="24"/>
          <w:lang w:val="en-US"/>
        </w:rPr>
        <w:tab/>
        <w:t xml:space="preserve">Tricco AC, Langlois E V, Straus SE. Rapid reviews to strengthen health policy and systems: a practical guide. World Health Organization Geneva; 2017. </w:t>
      </w:r>
    </w:p>
    <w:p w14:paraId="09A4C90A"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17. </w:t>
      </w:r>
      <w:r w:rsidRPr="00BF3A06">
        <w:rPr>
          <w:rFonts w:ascii="Calibri Light" w:hAnsi="Calibri Light" w:cs="Calibri Light"/>
          <w:noProof/>
          <w:szCs w:val="24"/>
          <w:lang w:val="en-US"/>
        </w:rPr>
        <w:tab/>
        <w:t xml:space="preserve">Tricco AC, Lillie E, Zarin W, O’Brien KK, Colquhoun H, Levac D, et al. PRISMA Extension for Scoping Reviews (PRISMA-ScR): Checklist and Explanation. Ann Intern Med. 2018;169(7):467–73. </w:t>
      </w:r>
    </w:p>
    <w:p w14:paraId="11C143A7"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18. </w:t>
      </w:r>
      <w:r w:rsidRPr="00BF3A06">
        <w:rPr>
          <w:rFonts w:ascii="Calibri Light" w:hAnsi="Calibri Light" w:cs="Calibri Light"/>
          <w:noProof/>
          <w:szCs w:val="24"/>
          <w:lang w:val="en-US"/>
        </w:rPr>
        <w:tab/>
        <w:t xml:space="preserve">Lee DKK, Chertow GM, Zenios SA. Reexploring differences among for-profit and nonprofit dialysis providers. Health Serv Res. 2010;45(3):633–46. </w:t>
      </w:r>
    </w:p>
    <w:p w14:paraId="3E4D07EE"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19. </w:t>
      </w:r>
      <w:r w:rsidRPr="00BF3A06">
        <w:rPr>
          <w:rFonts w:ascii="Calibri Light" w:hAnsi="Calibri Light" w:cs="Calibri Light"/>
          <w:noProof/>
          <w:szCs w:val="24"/>
          <w:lang w:val="en-US"/>
        </w:rPr>
        <w:tab/>
        <w:t xml:space="preserve">Dalrymple LS, Johansen KL, Romano PS, Chertow GM, Mu Y, Ishida JH, et al. Comparison of hospitalization rates among for-profit and nonprofit dialysis facilities. Clin J Am Soc Nephrol. 2014;9(1):73–81. </w:t>
      </w:r>
    </w:p>
    <w:p w14:paraId="2C35FA06"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20. </w:t>
      </w:r>
      <w:r w:rsidRPr="00BF3A06">
        <w:rPr>
          <w:rFonts w:ascii="Calibri Light" w:hAnsi="Calibri Light" w:cs="Calibri Light"/>
          <w:noProof/>
          <w:szCs w:val="24"/>
          <w:lang w:val="en-US"/>
        </w:rPr>
        <w:tab/>
        <w:t xml:space="preserve">Brunelli SM, Wilson S, Krishnan M, Nissenson AR. Confounders of mortality and hospitalization rate calculations for profit and nonprofit dialysis facilities: Analytic augmentation. BMC Nephrol. 2014;15(1):1–8. </w:t>
      </w:r>
    </w:p>
    <w:p w14:paraId="2DC57360"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21. </w:t>
      </w:r>
      <w:r w:rsidRPr="00BF3A06">
        <w:rPr>
          <w:rFonts w:ascii="Calibri Light" w:hAnsi="Calibri Light" w:cs="Calibri Light"/>
          <w:noProof/>
          <w:szCs w:val="24"/>
          <w:lang w:val="en-US"/>
        </w:rPr>
        <w:tab/>
        <w:t xml:space="preserve">Fischer MJ, Stroupe KT, Kaufman JS, O’Hare AM, Browning MM, Huo Z, et al. Predialysis nephrology care among older veterans using Department of Veterans Affairs or Medicare-covered services. Am J Manag Care. 2010;16(2):e57-66. </w:t>
      </w:r>
    </w:p>
    <w:p w14:paraId="0AE7F063"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22. </w:t>
      </w:r>
      <w:r w:rsidRPr="00BF3A06">
        <w:rPr>
          <w:rFonts w:ascii="Calibri Light" w:hAnsi="Calibri Light" w:cs="Calibri Light"/>
          <w:noProof/>
          <w:szCs w:val="24"/>
          <w:lang w:val="en-US"/>
        </w:rPr>
        <w:tab/>
        <w:t xml:space="preserve">Hurst FP, Abbott KC, Raj D, Krishnan M, Palant CE, Agodoa LY, et al. Arteriovenous fistulas among incident hemodialysis patients in Department of Defense and Veterans Affairs facilities. J Am Soc Nephrol. 2010;21(9):1571–7. </w:t>
      </w:r>
    </w:p>
    <w:p w14:paraId="7EFDB684"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23. </w:t>
      </w:r>
      <w:r w:rsidRPr="00BF3A06">
        <w:rPr>
          <w:rFonts w:ascii="Calibri Light" w:hAnsi="Calibri Light" w:cs="Calibri Light"/>
          <w:noProof/>
          <w:szCs w:val="24"/>
          <w:lang w:val="en-US"/>
        </w:rPr>
        <w:tab/>
        <w:t xml:space="preserve">Parikh DS, Inrig JK, Kipp A, Szczech LA, McClellan W, Patel UD. Veterans more likely to start hemodialysis with an arteriovenous fistula. Semin Dial. 2011;24(5):570–5. </w:t>
      </w:r>
    </w:p>
    <w:p w14:paraId="664FDAC4"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24. </w:t>
      </w:r>
      <w:r w:rsidRPr="00BF3A06">
        <w:rPr>
          <w:rFonts w:ascii="Calibri Light" w:hAnsi="Calibri Light" w:cs="Calibri Light"/>
          <w:noProof/>
          <w:szCs w:val="24"/>
          <w:lang w:val="en-US"/>
        </w:rPr>
        <w:tab/>
        <w:t xml:space="preserve">Wang V, Maciejewski ML, Patel UD, Stechuchak KM, Hynes DM, Weinberger M. Comparison of outcomes for veterans receiving dialysis care from VA and non-VA providers. BMC Health Serv Res. 2013;13:26. </w:t>
      </w:r>
    </w:p>
    <w:p w14:paraId="208871F0"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25. </w:t>
      </w:r>
      <w:r w:rsidRPr="00BF3A06">
        <w:rPr>
          <w:rFonts w:ascii="Calibri Light" w:hAnsi="Calibri Light" w:cs="Calibri Light"/>
          <w:noProof/>
          <w:szCs w:val="24"/>
          <w:lang w:val="en-US"/>
        </w:rPr>
        <w:tab/>
        <w:t xml:space="preserve">Erickson KF, Zheng Y, Ho V, Winkelmayer WC, Bhattacharya J, Chertow GM. Market Competition and Health Outcomes in Hemodialysis. Health Serv Res. 2018;53(5):3680–703. </w:t>
      </w:r>
    </w:p>
    <w:p w14:paraId="2D87CAC5"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26. </w:t>
      </w:r>
      <w:r w:rsidRPr="00EC77E4">
        <w:rPr>
          <w:rFonts w:ascii="Calibri Light" w:hAnsi="Calibri Light" w:cs="Calibri Light"/>
          <w:noProof/>
          <w:szCs w:val="24"/>
        </w:rPr>
        <w:tab/>
        <w:t xml:space="preserve">Parra Moncasi E, Arenas Jiménez MD, Alonso M, Martínez MF, Gámen Pardo A, Rebollo P, et al. Multicentre study of haemodialysis costs. Nefrologia. 2011;31(3):299–307. </w:t>
      </w:r>
    </w:p>
    <w:p w14:paraId="4D7AC573"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27. </w:t>
      </w:r>
      <w:r w:rsidRPr="00EC77E4">
        <w:rPr>
          <w:rFonts w:ascii="Calibri Light" w:hAnsi="Calibri Light" w:cs="Calibri Light"/>
          <w:noProof/>
          <w:szCs w:val="24"/>
        </w:rPr>
        <w:tab/>
        <w:t xml:space="preserve">Olasagasti JLC, Diaz JEG, Benitez PC, Ruiz MÁM, Partido MPP, Alia IM, et al. </w:t>
      </w:r>
      <w:r w:rsidRPr="00BF3A06">
        <w:rPr>
          <w:rFonts w:ascii="Calibri Light" w:hAnsi="Calibri Light" w:cs="Calibri Light"/>
          <w:noProof/>
          <w:szCs w:val="24"/>
          <w:lang w:val="en-US"/>
        </w:rPr>
        <w:t xml:space="preserve">Cost analysis of integrated renal replacement therapy program in the province of Toledo (2012–2013). </w:t>
      </w:r>
      <w:r w:rsidRPr="00EC77E4">
        <w:rPr>
          <w:rFonts w:ascii="Calibri Light" w:hAnsi="Calibri Light" w:cs="Calibri Light"/>
          <w:noProof/>
          <w:szCs w:val="24"/>
        </w:rPr>
        <w:t xml:space="preserve">Nefrología. 2017;37(3):285–92. </w:t>
      </w:r>
    </w:p>
    <w:p w14:paraId="79F5BD77"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28. </w:t>
      </w:r>
      <w:r w:rsidRPr="00EC77E4">
        <w:rPr>
          <w:rFonts w:ascii="Calibri Light" w:hAnsi="Calibri Light" w:cs="Calibri Light"/>
          <w:noProof/>
          <w:szCs w:val="24"/>
        </w:rPr>
        <w:tab/>
        <w:t>Resolución de 19 de julio de 2013, del Instituto Nacional de Gestión Sanitaria, sobre revisión de precios a aplicar por los centros sanitarios del Instituto Nacional de Gestión Sanitaria en Ceuta y Melilla, por las asistencias. [Internet]. 2013 [cited 2021 Jan 17]. Available from: http://www.boe.es</w:t>
      </w:r>
    </w:p>
    <w:p w14:paraId="637285A0"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29. </w:t>
      </w:r>
      <w:r w:rsidRPr="00EC77E4">
        <w:rPr>
          <w:rFonts w:ascii="Calibri Light" w:hAnsi="Calibri Light" w:cs="Calibri Light"/>
          <w:noProof/>
          <w:szCs w:val="24"/>
        </w:rPr>
        <w:tab/>
        <w:t>Resolución del director general del Servicio de Salud de las Islas Baleares por la que se modifica la Orden de la consejera de Salud y Consumo de 22 de diciembre de 2006 por la que se establecen los precios públicos a aplicar por los centros sanitarios de [Internet]. 2018 [cited 2021 Jan 17]. Available from: http://www.caib.es/eboibfront/</w:t>
      </w:r>
    </w:p>
    <w:p w14:paraId="3B7D2DA8"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30. </w:t>
      </w:r>
      <w:r w:rsidRPr="00EC77E4">
        <w:rPr>
          <w:rFonts w:ascii="Calibri Light" w:hAnsi="Calibri Light" w:cs="Calibri Light"/>
          <w:noProof/>
          <w:szCs w:val="24"/>
        </w:rPr>
        <w:tab/>
        <w:t xml:space="preserve">Resolució SLT/353/2013, de 13 de febrer, sobre la revisió de preus públics corresponents </w:t>
      </w:r>
      <w:r w:rsidRPr="00EC77E4">
        <w:rPr>
          <w:rFonts w:ascii="Calibri Light" w:hAnsi="Calibri Light" w:cs="Calibri Light"/>
          <w:noProof/>
          <w:szCs w:val="24"/>
        </w:rPr>
        <w:lastRenderedPageBreak/>
        <w:t xml:space="preserve">als serveis sanitaris que presta l’Institut Català de la Salut [Internet]. </w:t>
      </w:r>
      <w:r w:rsidRPr="00BF3A06">
        <w:rPr>
          <w:rFonts w:ascii="Calibri Light" w:hAnsi="Calibri Light" w:cs="Calibri Light"/>
          <w:noProof/>
          <w:szCs w:val="24"/>
          <w:lang w:val="en-US"/>
        </w:rPr>
        <w:t>Dogc. 2013 [cited 2021 Jan 17]. p. 1–127. Available from: https://dogc.gencat.cat/es/inici/</w:t>
      </w:r>
    </w:p>
    <w:p w14:paraId="4C4D5A66"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31. </w:t>
      </w:r>
      <w:r w:rsidRPr="00EC77E4">
        <w:rPr>
          <w:rFonts w:ascii="Calibri Light" w:hAnsi="Calibri Light" w:cs="Calibri Light"/>
          <w:noProof/>
          <w:szCs w:val="24"/>
        </w:rPr>
        <w:tab/>
        <w:t xml:space="preserve">Ley 20/2017, de 28 de diciembre, de tasas [Internet]. </w:t>
      </w:r>
      <w:r w:rsidRPr="00BF3A06">
        <w:rPr>
          <w:rFonts w:ascii="Calibri Light" w:hAnsi="Calibri Light" w:cs="Calibri Light"/>
          <w:noProof/>
          <w:szCs w:val="24"/>
          <w:lang w:val="en-US"/>
        </w:rPr>
        <w:t>2020 [cited 2021 Jan 17]. Available from: https://www.boe.es/</w:t>
      </w:r>
    </w:p>
    <w:p w14:paraId="4E91E920"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32. </w:t>
      </w:r>
      <w:r w:rsidRPr="00EC77E4">
        <w:rPr>
          <w:rFonts w:ascii="Calibri Light" w:hAnsi="Calibri Light" w:cs="Calibri Light"/>
          <w:noProof/>
          <w:szCs w:val="24"/>
        </w:rPr>
        <w:tab/>
        <w:t>RESOLUCIÓN de 24 de enero de 2019, de la Vicepresidenta y Consejera, por la que se publican las tarifas actualizadas de las tasas y precios públicos de la Comunidad Autónoma de Extremadura en virtud de lo dispuesto en la Ley de presupuestos generales de l [Internet]. 2019 [cited 2021 Jan 17]. Available from: http://doe.gobex.es/</w:t>
      </w:r>
    </w:p>
    <w:p w14:paraId="4EA943F2"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33. </w:t>
      </w:r>
      <w:r w:rsidRPr="00EC77E4">
        <w:rPr>
          <w:rFonts w:ascii="Calibri Light" w:hAnsi="Calibri Light" w:cs="Calibri Light"/>
          <w:noProof/>
          <w:szCs w:val="24"/>
        </w:rPr>
        <w:tab/>
        <w:t xml:space="preserve">Decreto 56/2014, do 30 de abril, polo que se establecen as tarifas dos servizos sanitarios prestados nos centros dependentes do Servizo Galego de Saúde e nas fundacións públicas sanitarias. </w:t>
      </w:r>
      <w:r w:rsidRPr="00BF3A06">
        <w:rPr>
          <w:rFonts w:ascii="Calibri Light" w:hAnsi="Calibri Light" w:cs="Calibri Light"/>
          <w:noProof/>
          <w:szCs w:val="24"/>
          <w:lang w:val="en-US"/>
        </w:rPr>
        <w:t>[Internet]. 2014 [cited 2021 Jan 17]. Available from: https://www.xunta.gal/diario-oficial-galicia/</w:t>
      </w:r>
    </w:p>
    <w:p w14:paraId="4EA07427"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34. </w:t>
      </w:r>
      <w:r w:rsidRPr="00EC77E4">
        <w:rPr>
          <w:rFonts w:ascii="Calibri Light" w:hAnsi="Calibri Light" w:cs="Calibri Light"/>
          <w:noProof/>
          <w:szCs w:val="24"/>
        </w:rPr>
        <w:tab/>
        <w:t xml:space="preserve">Precios públicos por servicios sanitarios prestados a particulares en los centros del Servicio Riojano de Salud [Internet]. </w:t>
      </w:r>
      <w:r w:rsidRPr="00BF3A06">
        <w:rPr>
          <w:rFonts w:ascii="Calibri Light" w:hAnsi="Calibri Light" w:cs="Calibri Light"/>
          <w:noProof/>
          <w:szCs w:val="24"/>
          <w:lang w:val="en-US"/>
        </w:rPr>
        <w:t>2014 [cited 2021 Jan 17]. p. 24923–55. Available from: https://web.larioja.org/bor-portada</w:t>
      </w:r>
    </w:p>
    <w:p w14:paraId="7C94E2D1"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35. </w:t>
      </w:r>
      <w:r w:rsidRPr="00EC77E4">
        <w:rPr>
          <w:rFonts w:ascii="Calibri Light" w:hAnsi="Calibri Light" w:cs="Calibri Light"/>
          <w:noProof/>
          <w:szCs w:val="24"/>
        </w:rPr>
        <w:tab/>
        <w:t xml:space="preserve">Orden por la que se fijan los precios públicos por la prestación de los servicios y actividades de naturaleza sanitaria de la red de centros de la Comunidad de Madrid. </w:t>
      </w:r>
      <w:r w:rsidRPr="00BF3A06">
        <w:rPr>
          <w:rFonts w:ascii="Calibri Light" w:hAnsi="Calibri Light" w:cs="Calibri Light"/>
          <w:noProof/>
          <w:szCs w:val="24"/>
          <w:lang w:val="en-US"/>
        </w:rPr>
        <w:t>[Internet]. 2015 [cited 2021 Jan 17]. Available from: http://www.madrid.org/ICMdownload/NOUDM.pdf</w:t>
      </w:r>
    </w:p>
    <w:p w14:paraId="76CE6648"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36. </w:t>
      </w:r>
      <w:r w:rsidRPr="00EC77E4">
        <w:rPr>
          <w:rFonts w:ascii="Calibri Light" w:hAnsi="Calibri Light" w:cs="Calibri Light"/>
          <w:noProof/>
          <w:szCs w:val="24"/>
        </w:rPr>
        <w:tab/>
        <w:t xml:space="preserve">Orden de 22 de febrero de 2019 de la Consejería de Hacienda, por la que se publican las tarifas de las tasas y precios públicos aplicables en el año 2019. </w:t>
      </w:r>
      <w:r w:rsidRPr="00BF3A06">
        <w:rPr>
          <w:rFonts w:ascii="Calibri Light" w:hAnsi="Calibri Light" w:cs="Calibri Light"/>
          <w:noProof/>
          <w:szCs w:val="24"/>
          <w:lang w:val="en-US"/>
        </w:rPr>
        <w:t>[Internet]. 2019 [cited 2021 Jan 17]. p. 6371–503. Available from: https://www.borm.es</w:t>
      </w:r>
    </w:p>
    <w:p w14:paraId="6736C9D2"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BF3A06">
        <w:rPr>
          <w:rFonts w:ascii="Calibri Light" w:hAnsi="Calibri Light" w:cs="Calibri Light"/>
          <w:noProof/>
          <w:szCs w:val="24"/>
          <w:lang w:val="en-US"/>
        </w:rPr>
        <w:t xml:space="preserve">37. </w:t>
      </w:r>
      <w:r w:rsidRPr="00BF3A06">
        <w:rPr>
          <w:rFonts w:ascii="Calibri Light" w:hAnsi="Calibri Light" w:cs="Calibri Light"/>
          <w:noProof/>
          <w:szCs w:val="24"/>
          <w:lang w:val="en-US"/>
        </w:rPr>
        <w:tab/>
      </w:r>
      <w:r w:rsidRPr="00EC77E4">
        <w:rPr>
          <w:rFonts w:ascii="Calibri Light" w:hAnsi="Calibri Light" w:cs="Calibri Light"/>
          <w:noProof/>
          <w:szCs w:val="24"/>
        </w:rPr>
        <w:t>Tarifas para facturación de servicios sanitarios y docentes de Osakidetza para el año 2019 [Internet]. 2014 [cited 2021 Jan 17]. Available from: https://www.euskadi.eus/</w:t>
      </w:r>
    </w:p>
    <w:p w14:paraId="3BE96C42"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38. </w:t>
      </w:r>
      <w:r w:rsidRPr="00EC77E4">
        <w:rPr>
          <w:rFonts w:ascii="Calibri Light" w:hAnsi="Calibri Light" w:cs="Calibri Light"/>
          <w:noProof/>
          <w:szCs w:val="24"/>
        </w:rPr>
        <w:tab/>
        <w:t xml:space="preserve">ORDEN de 18 de noviembre de 2015, por la que se modifica la Orden de 14 de octubre de 2005, por la que se fijan los precios públicos de los servicios sanitarios prestados por centros dependientes del Sistema Sanitario Público de Andalucía. </w:t>
      </w:r>
      <w:r w:rsidRPr="00BF3A06">
        <w:rPr>
          <w:rFonts w:ascii="Calibri Light" w:hAnsi="Calibri Light" w:cs="Calibri Light"/>
          <w:noProof/>
          <w:szCs w:val="24"/>
          <w:lang w:val="en-US"/>
        </w:rPr>
        <w:t>BOJA núm.228. [Internet]. Boja. 2015 [cited 2021 Jan 17]. Available from: https://www.juntadeandalucia.es/boja/buscador/</w:t>
      </w:r>
    </w:p>
    <w:p w14:paraId="04EAFA32"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39. </w:t>
      </w:r>
      <w:r w:rsidRPr="00EC77E4">
        <w:rPr>
          <w:rFonts w:ascii="Calibri Light" w:hAnsi="Calibri Light" w:cs="Calibri Light"/>
          <w:noProof/>
          <w:szCs w:val="24"/>
        </w:rPr>
        <w:tab/>
        <w:t>Resolución 4B0/38026/2014, de 19 de febrero, del Instituto Social de las Fuerzas Armadas, por la que se regula la asistencia sanitaria fuera del territorio nacional. [Internet]. Boletín Oficial del Estado. 2014 [cited 2021 Jan 17]. Available from: www.boe.es</w:t>
      </w:r>
    </w:p>
    <w:p w14:paraId="458CF7F3"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40. </w:t>
      </w:r>
      <w:r w:rsidRPr="00EC77E4">
        <w:rPr>
          <w:rFonts w:ascii="Calibri Light" w:hAnsi="Calibri Light" w:cs="Calibri Light"/>
          <w:noProof/>
          <w:szCs w:val="24"/>
        </w:rPr>
        <w:tab/>
        <w:t>Resolución de 18 de diciembre de 2014, de la Mutualidad General de Funcionarios Civiles del Estado, por la que se publica el concierto suscrito con entidades de seguro para el aseguramiento del acceso a la prestación de asistencia sanitaria en territorio [Internet]. Boletín Oficial del Estado. 2019 [cited 2021 Jan 17]. p. 2260–8. Available from: https://www.boe.es/boe/dias/2019/01/12/pdfs/BOE-A-2019-317.pdf</w:t>
      </w:r>
    </w:p>
    <w:p w14:paraId="4C11106D"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41. </w:t>
      </w:r>
      <w:r w:rsidRPr="00EC77E4">
        <w:rPr>
          <w:rFonts w:ascii="Calibri Light" w:hAnsi="Calibri Light" w:cs="Calibri Light"/>
          <w:noProof/>
          <w:szCs w:val="24"/>
        </w:rPr>
        <w:tab/>
        <w:t xml:space="preserve">ORDEN SAN/1221/2017, de 21 de julio, por la que se establecen los precios y tarifas máximas aplicables en la prestación de servicios sanitarios con medios ajenos al Sistema de Salud de Aragón. </w:t>
      </w:r>
      <w:r w:rsidRPr="00BF3A06">
        <w:rPr>
          <w:rFonts w:ascii="Calibri Light" w:hAnsi="Calibri Light" w:cs="Calibri Light"/>
          <w:noProof/>
          <w:szCs w:val="24"/>
          <w:lang w:val="en-US"/>
        </w:rPr>
        <w:t>[Internet]. 2017 [cited 2021 Jan 17]. Available from: http://www.boa.aragon.es</w:t>
      </w:r>
    </w:p>
    <w:p w14:paraId="45AFF5B2"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42. </w:t>
      </w:r>
      <w:r w:rsidRPr="00BF3A06">
        <w:rPr>
          <w:rFonts w:ascii="Calibri Light" w:hAnsi="Calibri Light" w:cs="Calibri Light"/>
          <w:noProof/>
          <w:szCs w:val="24"/>
          <w:lang w:val="en-US"/>
        </w:rPr>
        <w:tab/>
      </w:r>
      <w:r w:rsidRPr="00EC77E4">
        <w:rPr>
          <w:rFonts w:ascii="Calibri Light" w:hAnsi="Calibri Light" w:cs="Calibri Light"/>
          <w:noProof/>
          <w:szCs w:val="24"/>
        </w:rPr>
        <w:t xml:space="preserve">Convenio singular de vinculación a la Red Hospitalaria Pública del Principado de Asturias, como Hospital de Distrito, suscrito entre el Servicio de Salud del Principado de Asturias y </w:t>
      </w:r>
      <w:r w:rsidRPr="00EC77E4">
        <w:rPr>
          <w:rFonts w:ascii="Calibri Light" w:hAnsi="Calibri Light" w:cs="Calibri Light"/>
          <w:noProof/>
          <w:szCs w:val="24"/>
        </w:rPr>
        <w:lastRenderedPageBreak/>
        <w:t xml:space="preserve">la Fundación Hospital de Jove para la prestación de atención sanitaria [Internet]. </w:t>
      </w:r>
      <w:r w:rsidRPr="00BF3A06">
        <w:rPr>
          <w:rFonts w:ascii="Calibri Light" w:hAnsi="Calibri Light" w:cs="Calibri Light"/>
          <w:noProof/>
          <w:szCs w:val="24"/>
          <w:lang w:val="en-US"/>
        </w:rPr>
        <w:t>2019 [cited 2021 Jan 17]. Available from: https://sede.asturias.es/servicios-del-bopa</w:t>
      </w:r>
    </w:p>
    <w:p w14:paraId="0A718E2D"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43. </w:t>
      </w:r>
      <w:r w:rsidRPr="00EC77E4">
        <w:rPr>
          <w:rFonts w:ascii="Calibri Light" w:hAnsi="Calibri Light" w:cs="Calibri Light"/>
          <w:noProof/>
          <w:szCs w:val="24"/>
        </w:rPr>
        <w:tab/>
        <w:t>Resolución de 29 de marzo de 2017, del Director, por la que se modifica la cuantía de los precios públicos de servicios sanitarios previstos en el Decreto 81/2009, de 16 de junio, por el que se establecen los precios públicos de los servicios sanitarios p [Internet]. 2017 [cited 2021 Jan 17]. Available from: http://www.gobiernodecanarias.org/boc/</w:t>
      </w:r>
    </w:p>
    <w:p w14:paraId="41680606"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44. </w:t>
      </w:r>
      <w:r w:rsidRPr="00EC77E4">
        <w:rPr>
          <w:rFonts w:ascii="Calibri Light" w:hAnsi="Calibri Light" w:cs="Calibri Light"/>
          <w:noProof/>
          <w:szCs w:val="24"/>
        </w:rPr>
        <w:tab/>
        <w:t xml:space="preserve">Orden SAN/35/2017, de 15 de diciembre, por la que se fi jan las cuan- tías de los Precios Públicos de los Servicios Sanitarios prestados por el Servicio Cántabro de Salud. </w:t>
      </w:r>
      <w:r w:rsidRPr="00BF3A06">
        <w:rPr>
          <w:rFonts w:ascii="Calibri Light" w:hAnsi="Calibri Light" w:cs="Calibri Light"/>
          <w:noProof/>
          <w:szCs w:val="24"/>
          <w:lang w:val="en-US"/>
        </w:rPr>
        <w:t>[Internet]. [cited 2021 Jan 17]. Available from: https://boc.cantabria.es/boces/</w:t>
      </w:r>
    </w:p>
    <w:p w14:paraId="4EBBFE6D"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45. </w:t>
      </w:r>
      <w:r w:rsidRPr="00EC77E4">
        <w:rPr>
          <w:rFonts w:ascii="Calibri Light" w:hAnsi="Calibri Light" w:cs="Calibri Light"/>
          <w:noProof/>
          <w:szCs w:val="24"/>
        </w:rPr>
        <w:tab/>
        <w:t>Orden de 17/11/2014, de la Consejería de Sanidad y Asuntos Sociales, por la que se establecen los precios públicos de la asistencia sanitaria y de los servicios prestados en la red de centros sanitarios dependientes del Servicio de Salud de Castilla-La Ma [Internet]. 2008 [cited 2021 Jan 17]. Available from: https://docm.castillalamancha.es/</w:t>
      </w:r>
    </w:p>
    <w:p w14:paraId="1D1C8B2B"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46. </w:t>
      </w:r>
      <w:r w:rsidRPr="00EC77E4">
        <w:rPr>
          <w:rFonts w:ascii="Calibri Light" w:hAnsi="Calibri Light" w:cs="Calibri Light"/>
          <w:noProof/>
          <w:szCs w:val="24"/>
        </w:rPr>
        <w:tab/>
        <w:t xml:space="preserve">RESOLUCIÓN de 21 de noviembre de 2011, del Presidente de la Gerencia Regional de Salud, por la que se fijan las tarifas máximas y los porcentajes de revisión de las condiciones económicas aplicables en el año 2011, a la prestación de Servicios de Asistenc [Internet]. </w:t>
      </w:r>
      <w:r w:rsidRPr="00BF3A06">
        <w:rPr>
          <w:rFonts w:ascii="Calibri Light" w:hAnsi="Calibri Light" w:cs="Calibri Light"/>
          <w:noProof/>
          <w:szCs w:val="24"/>
          <w:lang w:val="en-US"/>
        </w:rPr>
        <w:t>2011 [cited 2021 Jan 17]. Available from: https://bocyl.jcyl.es/</w:t>
      </w:r>
    </w:p>
    <w:p w14:paraId="6B13B5DA"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47. </w:t>
      </w:r>
      <w:r w:rsidRPr="00BF3A06">
        <w:rPr>
          <w:rFonts w:ascii="Calibri Light" w:hAnsi="Calibri Light" w:cs="Calibri Light"/>
          <w:noProof/>
          <w:szCs w:val="24"/>
          <w:lang w:val="en-US"/>
        </w:rPr>
        <w:tab/>
        <w:t xml:space="preserve">Monda KL, Joseph PN, Neumann PJ, Bradbury BD, Rubin RJ. Comparative changes in treatment practices and clinical outcomes following implementation of a prospective payment system: the STEPPS study. BMC Nephrol. 2015;16:67. </w:t>
      </w:r>
    </w:p>
    <w:p w14:paraId="6E34661A"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48. </w:t>
      </w:r>
      <w:r w:rsidRPr="00BF3A06">
        <w:rPr>
          <w:rFonts w:ascii="Calibri Light" w:hAnsi="Calibri Light" w:cs="Calibri Light"/>
          <w:noProof/>
          <w:szCs w:val="24"/>
          <w:lang w:val="en-US"/>
        </w:rPr>
        <w:tab/>
        <w:t xml:space="preserve">Hornberger J, Hirth RA. Financial implications of choice of dialysis type of the revised Medicare payment system: an economic analysis. Am J Kidney Dis. 2012;60(2):280–7. </w:t>
      </w:r>
    </w:p>
    <w:p w14:paraId="6B3DE1AA"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49. </w:t>
      </w:r>
      <w:r w:rsidRPr="00BF3A06">
        <w:rPr>
          <w:rFonts w:ascii="Calibri Light" w:hAnsi="Calibri Light" w:cs="Calibri Light"/>
          <w:noProof/>
          <w:szCs w:val="24"/>
          <w:lang w:val="en-US"/>
        </w:rPr>
        <w:tab/>
        <w:t xml:space="preserve">Robinson B, Fuller D, Zinsser D, Albert J, Gillespie B, Tentori F, et al. The Dialysis Outcomes and Practice Patterns Study (DOPPS) Practice Monitor: rationale and methods for an initiative to monitor the new US bundled dialysis payment system. Am J Kidney Dis. 2011;57(6):822–31. </w:t>
      </w:r>
    </w:p>
    <w:p w14:paraId="40071817"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50. </w:t>
      </w:r>
      <w:r w:rsidRPr="00BF3A06">
        <w:rPr>
          <w:rFonts w:ascii="Calibri Light" w:hAnsi="Calibri Light" w:cs="Calibri Light"/>
          <w:noProof/>
          <w:szCs w:val="24"/>
          <w:lang w:val="en-US"/>
        </w:rPr>
        <w:tab/>
        <w:t xml:space="preserve">Trivedi AN, Matula S, Miake-Lye I, Glassman PA, Shekelle P, Asch S. Systematic review: comparison of the quality of medical care in Veterans Affairs and non-Veterans Affairs settings. Med Care. 2011;49(1):76–88. </w:t>
      </w:r>
    </w:p>
    <w:p w14:paraId="6B340265"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BF3A06">
        <w:rPr>
          <w:rFonts w:ascii="Calibri Light" w:hAnsi="Calibri Light" w:cs="Calibri Light"/>
          <w:noProof/>
          <w:szCs w:val="24"/>
          <w:lang w:val="en-US"/>
        </w:rPr>
        <w:t xml:space="preserve">51. </w:t>
      </w:r>
      <w:r w:rsidRPr="00BF3A06">
        <w:rPr>
          <w:rFonts w:ascii="Calibri Light" w:hAnsi="Calibri Light" w:cs="Calibri Light"/>
          <w:noProof/>
          <w:szCs w:val="24"/>
          <w:lang w:val="en-US"/>
        </w:rPr>
        <w:tab/>
        <w:t xml:space="preserve">O’Hanlon C, Huang C, Sloss E, Anhang Price R, Hussey P, Farmer C, et al. Comparing VA and Non-VA Quality of Care: A Systematic Review. </w:t>
      </w:r>
      <w:r w:rsidRPr="00EC77E4">
        <w:rPr>
          <w:rFonts w:ascii="Calibri Light" w:hAnsi="Calibri Light" w:cs="Calibri Light"/>
          <w:noProof/>
          <w:szCs w:val="24"/>
        </w:rPr>
        <w:t xml:space="preserve">J Gen Intern Med. 2017;32(1):105–21. </w:t>
      </w:r>
    </w:p>
    <w:p w14:paraId="454CC6F1"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52. </w:t>
      </w:r>
      <w:r w:rsidRPr="00EC77E4">
        <w:rPr>
          <w:rFonts w:ascii="Calibri Light" w:hAnsi="Calibri Light" w:cs="Calibri Light"/>
          <w:noProof/>
          <w:szCs w:val="24"/>
        </w:rPr>
        <w:tab/>
        <w:t xml:space="preserve">Muñoz Macías C, Torollo Luna I, Sag Legrán MJ, Salas Cardador F, Gómez López VE, Crespo Montero R. Análisis de los eventos adversos en una unidad de diálisis. Enfermería Nefrológica. 2017;20:29. </w:t>
      </w:r>
    </w:p>
    <w:p w14:paraId="2D78D4E8"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53. </w:t>
      </w:r>
      <w:r w:rsidRPr="00EC77E4">
        <w:rPr>
          <w:rFonts w:ascii="Calibri Light" w:hAnsi="Calibri Light" w:cs="Calibri Light"/>
          <w:noProof/>
          <w:szCs w:val="24"/>
        </w:rPr>
        <w:tab/>
        <w:t xml:space="preserve">Arenas Jiménez MD, Ferre G, Álvarez-Ude F. Estrategias para aumentar la seguridad del paciente en hemodiálisis: Aplicación del sistema de análisis modal de fallos y efectos (sistema AMFE). </w:t>
      </w:r>
      <w:r w:rsidRPr="00BF3A06">
        <w:rPr>
          <w:rFonts w:ascii="Calibri Light" w:hAnsi="Calibri Light" w:cs="Calibri Light"/>
          <w:noProof/>
          <w:szCs w:val="24"/>
          <w:lang w:val="en-US"/>
        </w:rPr>
        <w:t xml:space="preserve">Nefrología. 2017;37(6):608–21. </w:t>
      </w:r>
    </w:p>
    <w:p w14:paraId="0F8C9B74"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BF3A06">
        <w:rPr>
          <w:rFonts w:ascii="Calibri Light" w:hAnsi="Calibri Light" w:cs="Calibri Light"/>
          <w:noProof/>
          <w:szCs w:val="24"/>
          <w:lang w:val="en-US"/>
        </w:rPr>
        <w:t xml:space="preserve">54. </w:t>
      </w:r>
      <w:r w:rsidRPr="00BF3A06">
        <w:rPr>
          <w:rFonts w:ascii="Calibri Light" w:hAnsi="Calibri Light" w:cs="Calibri Light"/>
          <w:noProof/>
          <w:szCs w:val="24"/>
          <w:lang w:val="en-US"/>
        </w:rPr>
        <w:tab/>
        <w:t xml:space="preserve">Balhara KS, Kucirka LM, Jaar BG, Segev DL. Disparities in provision of transplant education by profit status of the dialysis center. </w:t>
      </w:r>
      <w:r w:rsidRPr="00EC77E4">
        <w:rPr>
          <w:rFonts w:ascii="Calibri Light" w:hAnsi="Calibri Light" w:cs="Calibri Light"/>
          <w:noProof/>
          <w:szCs w:val="24"/>
        </w:rPr>
        <w:t xml:space="preserve">Am J Transplant. 2012;12(11):3104–10. </w:t>
      </w:r>
    </w:p>
    <w:p w14:paraId="20347C72"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55. </w:t>
      </w:r>
      <w:r w:rsidRPr="00EC77E4">
        <w:rPr>
          <w:rFonts w:ascii="Calibri Light" w:hAnsi="Calibri Light" w:cs="Calibri Light"/>
          <w:noProof/>
          <w:szCs w:val="24"/>
        </w:rPr>
        <w:tab/>
        <w:t xml:space="preserve">Pelayo Alonso R. Auto-manejo de la hemodialisis para la enfermedad renal terminal. Vol. 10, Ene. scieloes; 2016. p. 1–4. </w:t>
      </w:r>
    </w:p>
    <w:p w14:paraId="1896E9F3"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56. </w:t>
      </w:r>
      <w:r w:rsidRPr="00EC77E4">
        <w:rPr>
          <w:rFonts w:ascii="Calibri Light" w:hAnsi="Calibri Light" w:cs="Calibri Light"/>
          <w:noProof/>
          <w:szCs w:val="24"/>
        </w:rPr>
        <w:tab/>
        <w:t xml:space="preserve">García-Vallaure Rivas A, Álvarez-Rodriguez AI, Valdés Arias C, Peñas García C, Miguel Montoya M, Velázquez Sánchez P. La satisfacción de los pacientes en una unidad de </w:t>
      </w:r>
      <w:r w:rsidRPr="00EC77E4">
        <w:rPr>
          <w:rFonts w:ascii="Calibri Light" w:hAnsi="Calibri Light" w:cs="Calibri Light"/>
          <w:noProof/>
          <w:szCs w:val="24"/>
        </w:rPr>
        <w:lastRenderedPageBreak/>
        <w:t xml:space="preserve">diálisis concertada. Diferencias con respecto a una unidad hospitalaria pública [Internet]. [cited 2021 Feb 19]. </w:t>
      </w:r>
      <w:r w:rsidRPr="00BF3A06">
        <w:rPr>
          <w:rFonts w:ascii="Calibri Light" w:hAnsi="Calibri Light" w:cs="Calibri Light"/>
          <w:noProof/>
          <w:szCs w:val="24"/>
          <w:lang w:val="en-US"/>
        </w:rPr>
        <w:t>Available from: https://www.revistaseden.org/files/2195_Páginas de 2009-82.pdf</w:t>
      </w:r>
    </w:p>
    <w:p w14:paraId="7099BC28"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57. </w:t>
      </w:r>
      <w:r w:rsidRPr="00BF3A06">
        <w:rPr>
          <w:rFonts w:ascii="Calibri Light" w:hAnsi="Calibri Light" w:cs="Calibri Light"/>
          <w:noProof/>
          <w:szCs w:val="24"/>
          <w:lang w:val="en-US"/>
        </w:rPr>
        <w:tab/>
      </w:r>
      <w:r w:rsidRPr="00EC77E4">
        <w:rPr>
          <w:rFonts w:ascii="Calibri Light" w:hAnsi="Calibri Light" w:cs="Calibri Light"/>
          <w:noProof/>
          <w:szCs w:val="24"/>
        </w:rPr>
        <w:t xml:space="preserve">Sánchez-Martínez FI, Abellán-Perpiñán JM, Oliva-Moreno J. La privatización de la gestión sanitaria: efecto secundario de la crisis y síntoma de mal gobierno. </w:t>
      </w:r>
      <w:r w:rsidRPr="00BF3A06">
        <w:rPr>
          <w:rFonts w:ascii="Calibri Light" w:hAnsi="Calibri Light" w:cs="Calibri Light"/>
          <w:noProof/>
          <w:szCs w:val="24"/>
          <w:lang w:val="en-US"/>
        </w:rPr>
        <w:t xml:space="preserve">Informe SESPAS 2014. Gac Sanit. 2014;28:75–80. </w:t>
      </w:r>
    </w:p>
    <w:p w14:paraId="54D4432A"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BF3A06">
        <w:rPr>
          <w:rFonts w:ascii="Calibri Light" w:hAnsi="Calibri Light" w:cs="Calibri Light"/>
          <w:noProof/>
          <w:szCs w:val="24"/>
          <w:lang w:val="en-US"/>
        </w:rPr>
        <w:t xml:space="preserve">58. </w:t>
      </w:r>
      <w:r w:rsidRPr="00BF3A06">
        <w:rPr>
          <w:rFonts w:ascii="Calibri Light" w:hAnsi="Calibri Light" w:cs="Calibri Light"/>
          <w:noProof/>
          <w:szCs w:val="24"/>
          <w:lang w:val="en-US"/>
        </w:rPr>
        <w:tab/>
        <w:t xml:space="preserve">Špacírová Z, Epstein D, García-Mochón L, Rovira J, Olry de Labry Lima A, Espín J. A general framework for classifying costing methods for economic evaluation of health care. </w:t>
      </w:r>
      <w:r w:rsidRPr="00EC77E4">
        <w:rPr>
          <w:rFonts w:ascii="Calibri Light" w:hAnsi="Calibri Light" w:cs="Calibri Light"/>
          <w:noProof/>
          <w:szCs w:val="24"/>
        </w:rPr>
        <w:t xml:space="preserve">Eur J Heal Econ. 2020;21(4):529–42. </w:t>
      </w:r>
    </w:p>
    <w:p w14:paraId="6E218D2E"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59. </w:t>
      </w:r>
      <w:r w:rsidRPr="00EC77E4">
        <w:rPr>
          <w:rFonts w:ascii="Calibri Light" w:hAnsi="Calibri Light" w:cs="Calibri Light"/>
          <w:noProof/>
          <w:szCs w:val="24"/>
        </w:rPr>
        <w:tab/>
        <w:t xml:space="preserve">Lamas Barreiro JM, Alonso Suárez M, Saavedra Alonso JA, Gándara Martínez A. Costes y valor añadido de los conciertos de hemodiálisis y diálisis peritoneal. </w:t>
      </w:r>
      <w:r w:rsidRPr="00BF3A06">
        <w:rPr>
          <w:rFonts w:ascii="Calibri Light" w:hAnsi="Calibri Light" w:cs="Calibri Light"/>
          <w:noProof/>
          <w:szCs w:val="24"/>
          <w:lang w:val="en-US"/>
        </w:rPr>
        <w:t xml:space="preserve">Nefrologia. 2011;31(6):656–63. </w:t>
      </w:r>
    </w:p>
    <w:p w14:paraId="1831FF45"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BF3A06">
        <w:rPr>
          <w:rFonts w:ascii="Calibri Light" w:hAnsi="Calibri Light" w:cs="Calibri Light"/>
          <w:noProof/>
          <w:szCs w:val="24"/>
          <w:lang w:val="en-US"/>
        </w:rPr>
        <w:t xml:space="preserve">60. </w:t>
      </w:r>
      <w:r w:rsidRPr="00BF3A06">
        <w:rPr>
          <w:rFonts w:ascii="Calibri Light" w:hAnsi="Calibri Light" w:cs="Calibri Light"/>
          <w:noProof/>
          <w:szCs w:val="24"/>
          <w:lang w:val="en-US"/>
        </w:rPr>
        <w:tab/>
        <w:t xml:space="preserve">Abdul Manaf MR, Surendra NK, Abdul Gafor AH, Seong Hooi L, Bavanandan S. Dialysis Provision and Implications of Health Economics on Peritoneal Dialysis Utilization: A Review from a Malaysian Perspective. </w:t>
      </w:r>
      <w:r w:rsidRPr="00EC77E4">
        <w:rPr>
          <w:rFonts w:ascii="Calibri Light" w:hAnsi="Calibri Light" w:cs="Calibri Light"/>
          <w:noProof/>
          <w:szCs w:val="24"/>
        </w:rPr>
        <w:t xml:space="preserve">Int J Nephrol. 2017;2017:5819629. </w:t>
      </w:r>
    </w:p>
    <w:p w14:paraId="511AC0B9"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EC77E4">
        <w:rPr>
          <w:rFonts w:ascii="Calibri Light" w:hAnsi="Calibri Light" w:cs="Calibri Light"/>
          <w:noProof/>
          <w:szCs w:val="24"/>
        </w:rPr>
        <w:t xml:space="preserve">61. </w:t>
      </w:r>
      <w:r w:rsidRPr="00EC77E4">
        <w:rPr>
          <w:rFonts w:ascii="Calibri Light" w:hAnsi="Calibri Light" w:cs="Calibri Light"/>
          <w:noProof/>
          <w:szCs w:val="24"/>
        </w:rPr>
        <w:tab/>
        <w:t xml:space="preserve">Ortiz A, Sanchez-Niño MD, Crespo-Barrio M, De-Sequera-Ortiz P, Fernández-Giráldez E, García-Maset R, et al. </w:t>
      </w:r>
      <w:r w:rsidRPr="00BF3A06">
        <w:rPr>
          <w:rFonts w:ascii="Calibri Light" w:hAnsi="Calibri Light" w:cs="Calibri Light"/>
          <w:noProof/>
          <w:szCs w:val="24"/>
          <w:lang w:val="en-US"/>
        </w:rPr>
        <w:t xml:space="preserve">The Spanish Society of Nephrology (SENEFRO) commentary to the Spain GBD 2016 report: keeping chronic kidney disease out of sight of health authorities will only magnify the problem. Nefrologia. 2019;39(1):29–34. </w:t>
      </w:r>
    </w:p>
    <w:p w14:paraId="0A605E10" w14:textId="77777777" w:rsidR="00EC77E4" w:rsidRPr="00BF3A06" w:rsidRDefault="00EC77E4" w:rsidP="00EC77E4">
      <w:pPr>
        <w:widowControl w:val="0"/>
        <w:autoSpaceDE w:val="0"/>
        <w:autoSpaceDN w:val="0"/>
        <w:adjustRightInd w:val="0"/>
        <w:spacing w:line="240" w:lineRule="auto"/>
        <w:ind w:left="640" w:hanging="640"/>
        <w:rPr>
          <w:rFonts w:ascii="Calibri Light" w:hAnsi="Calibri Light" w:cs="Calibri Light"/>
          <w:noProof/>
          <w:szCs w:val="24"/>
          <w:lang w:val="en-US"/>
        </w:rPr>
      </w:pPr>
      <w:r w:rsidRPr="00BF3A06">
        <w:rPr>
          <w:rFonts w:ascii="Calibri Light" w:hAnsi="Calibri Light" w:cs="Calibri Light"/>
          <w:noProof/>
          <w:szCs w:val="24"/>
          <w:lang w:val="en-US"/>
        </w:rPr>
        <w:t xml:space="preserve">62. </w:t>
      </w:r>
      <w:r w:rsidRPr="00BF3A06">
        <w:rPr>
          <w:rFonts w:ascii="Calibri Light" w:hAnsi="Calibri Light" w:cs="Calibri Light"/>
          <w:noProof/>
          <w:szCs w:val="24"/>
          <w:lang w:val="en-US"/>
        </w:rPr>
        <w:tab/>
        <w:t xml:space="preserve">Yang F, Liao M, Wang P, Yang Z, Liu Y. The Cost-Effectiveness of Kidney Replacement Therapy Modalities: A Systematic Review of Full Economic Evaluations. Appl Health Econ Health Policy. 2021;19(2):163–80. </w:t>
      </w:r>
    </w:p>
    <w:p w14:paraId="2E055206"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BF3A06">
        <w:rPr>
          <w:rFonts w:ascii="Calibri Light" w:hAnsi="Calibri Light" w:cs="Calibri Light"/>
          <w:noProof/>
          <w:szCs w:val="24"/>
          <w:lang w:val="en-US"/>
        </w:rPr>
        <w:t xml:space="preserve">63. </w:t>
      </w:r>
      <w:r w:rsidRPr="00BF3A06">
        <w:rPr>
          <w:rFonts w:ascii="Calibri Light" w:hAnsi="Calibri Light" w:cs="Calibri Light"/>
          <w:noProof/>
          <w:szCs w:val="24"/>
          <w:lang w:val="en-US"/>
        </w:rPr>
        <w:tab/>
        <w:t xml:space="preserve">Machowska A, Rutherford P. Peritoneal dialysis use within the context of the population and healthcare systems of Europe - differences, trends and future challenges. </w:t>
      </w:r>
      <w:r w:rsidRPr="00EC77E4">
        <w:rPr>
          <w:rFonts w:ascii="Calibri Light" w:hAnsi="Calibri Light" w:cs="Calibri Light"/>
          <w:noProof/>
          <w:szCs w:val="24"/>
        </w:rPr>
        <w:t xml:space="preserve">Int J Artif Organs. 2016;39(5):211–9. </w:t>
      </w:r>
    </w:p>
    <w:p w14:paraId="1D286B3A"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szCs w:val="24"/>
        </w:rPr>
      </w:pPr>
      <w:r w:rsidRPr="00EC77E4">
        <w:rPr>
          <w:rFonts w:ascii="Calibri Light" w:hAnsi="Calibri Light" w:cs="Calibri Light"/>
          <w:noProof/>
          <w:szCs w:val="24"/>
        </w:rPr>
        <w:t xml:space="preserve">64. </w:t>
      </w:r>
      <w:r w:rsidRPr="00EC77E4">
        <w:rPr>
          <w:rFonts w:ascii="Calibri Light" w:hAnsi="Calibri Light" w:cs="Calibri Light"/>
          <w:noProof/>
          <w:szCs w:val="24"/>
        </w:rPr>
        <w:tab/>
        <w:t>Vargas Marcos F. Documento Marco sobre Enfermedad Renal Crónica dentro de la Estrategia de Abordaje a la Cronicidad en el SNS [Internet]. Ministerio De Sanidad Servicios Sociales e Igualdad. 2015. 54 p. Available from: http://www.senefro.org/modules/news/images/enfermedad_renal_cronica_2015.pdf</w:t>
      </w:r>
    </w:p>
    <w:p w14:paraId="32A648A4" w14:textId="77777777" w:rsidR="00EC77E4" w:rsidRPr="00EC77E4" w:rsidRDefault="00EC77E4" w:rsidP="00EC77E4">
      <w:pPr>
        <w:widowControl w:val="0"/>
        <w:autoSpaceDE w:val="0"/>
        <w:autoSpaceDN w:val="0"/>
        <w:adjustRightInd w:val="0"/>
        <w:spacing w:line="240" w:lineRule="auto"/>
        <w:ind w:left="640" w:hanging="640"/>
        <w:rPr>
          <w:rFonts w:ascii="Calibri Light" w:hAnsi="Calibri Light" w:cs="Calibri Light"/>
          <w:noProof/>
        </w:rPr>
      </w:pPr>
      <w:r w:rsidRPr="00EC77E4">
        <w:rPr>
          <w:rFonts w:ascii="Calibri Light" w:hAnsi="Calibri Light" w:cs="Calibri Light"/>
          <w:noProof/>
          <w:szCs w:val="24"/>
        </w:rPr>
        <w:t xml:space="preserve">65. </w:t>
      </w:r>
      <w:r w:rsidRPr="00EC77E4">
        <w:rPr>
          <w:rFonts w:ascii="Calibri Light" w:hAnsi="Calibri Light" w:cs="Calibri Light"/>
          <w:noProof/>
          <w:szCs w:val="24"/>
        </w:rPr>
        <w:tab/>
        <w:t xml:space="preserve">Tebé Condomí C, Arcos E, Comas J, Espallargues M, Pons JMV, Díaz JM, et al. Atlas de variaciones sistemáticas en el tratamiento sustitutivo renal en Cataluña (2002–2012). Nefrología. 2017;37(2):164–71. </w:t>
      </w:r>
    </w:p>
    <w:p w14:paraId="02854A4D" w14:textId="203F12C8" w:rsidR="005C531B" w:rsidRPr="00DE534A" w:rsidRDefault="00C9016B" w:rsidP="00F276F8">
      <w:pPr>
        <w:widowControl w:val="0"/>
        <w:autoSpaceDE w:val="0"/>
        <w:autoSpaceDN w:val="0"/>
        <w:adjustRightInd w:val="0"/>
        <w:spacing w:line="240" w:lineRule="auto"/>
        <w:ind w:left="640" w:hanging="640"/>
        <w:rPr>
          <w:rFonts w:asciiTheme="majorHAnsi" w:hAnsiTheme="majorHAnsi" w:cstheme="majorHAnsi"/>
          <w:lang w:val="en-US"/>
        </w:rPr>
      </w:pPr>
      <w:r w:rsidRPr="0025653C">
        <w:rPr>
          <w:rFonts w:asciiTheme="majorHAnsi" w:hAnsiTheme="majorHAnsi" w:cstheme="majorHAnsi"/>
          <w:lang w:val="es-ES_tradnl"/>
        </w:rPr>
        <w:fldChar w:fldCharType="end"/>
      </w:r>
      <w:r w:rsidR="005C531B" w:rsidRPr="00DE534A">
        <w:rPr>
          <w:rFonts w:asciiTheme="majorHAnsi" w:hAnsiTheme="majorHAnsi" w:cstheme="majorHAnsi"/>
          <w:lang w:val="en-US"/>
        </w:rPr>
        <w:br w:type="page"/>
      </w:r>
    </w:p>
    <w:p w14:paraId="45CC3877" w14:textId="58BF0B51" w:rsidR="000F3FEF" w:rsidRPr="0072361E" w:rsidRDefault="000F3FEF">
      <w:pPr>
        <w:rPr>
          <w:rFonts w:asciiTheme="majorHAnsi" w:hAnsiTheme="majorHAnsi" w:cstheme="majorHAnsi"/>
          <w:lang w:val="en-US"/>
        </w:rPr>
      </w:pPr>
      <w:r w:rsidRPr="0072361E">
        <w:rPr>
          <w:rFonts w:asciiTheme="majorHAnsi" w:hAnsiTheme="majorHAnsi" w:cstheme="majorHAnsi"/>
          <w:lang w:val="en-US"/>
        </w:rPr>
        <w:lastRenderedPageBreak/>
        <w:t>Figura 1. Diagrama de flujo</w:t>
      </w:r>
    </w:p>
    <w:p w14:paraId="6099A6C9" w14:textId="4A0B8F8E" w:rsidR="000F3FEF" w:rsidRDefault="00C9644E">
      <w:pPr>
        <w:rPr>
          <w:rFonts w:asciiTheme="majorHAnsi" w:hAnsiTheme="majorHAnsi" w:cstheme="majorHAnsi"/>
        </w:rPr>
      </w:pPr>
      <w:r>
        <w:rPr>
          <w:rFonts w:asciiTheme="majorHAnsi" w:hAnsiTheme="majorHAnsi" w:cstheme="majorHAnsi"/>
          <w:noProof/>
          <w:lang w:eastAsia="es-ES"/>
        </w:rPr>
        <w:drawing>
          <wp:inline distT="0" distB="0" distL="0" distR="0" wp14:anchorId="60736479" wp14:editId="0128CCA7">
            <wp:extent cx="5400040" cy="405003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wDiagram.jpg"/>
                    <pic:cNvPicPr/>
                  </pic:nvPicPr>
                  <pic:blipFill>
                    <a:blip r:embed="rId7">
                      <a:extLst>
                        <a:ext uri="{28A0092B-C50C-407E-A947-70E740481C1C}">
                          <a14:useLocalDpi xmlns:a14="http://schemas.microsoft.com/office/drawing/2010/main" val="0"/>
                        </a:ext>
                      </a:extLst>
                    </a:blip>
                    <a:stretch>
                      <a:fillRect/>
                    </a:stretch>
                  </pic:blipFill>
                  <pic:spPr>
                    <a:xfrm>
                      <a:off x="0" y="0"/>
                      <a:ext cx="5400040" cy="4050030"/>
                    </a:xfrm>
                    <a:prstGeom prst="rect">
                      <a:avLst/>
                    </a:prstGeom>
                  </pic:spPr>
                </pic:pic>
              </a:graphicData>
            </a:graphic>
          </wp:inline>
        </w:drawing>
      </w:r>
    </w:p>
    <w:p w14:paraId="738D8B79" w14:textId="46106815" w:rsidR="00CC5116" w:rsidRDefault="00CC5116">
      <w:pPr>
        <w:rPr>
          <w:rFonts w:asciiTheme="majorHAnsi" w:hAnsiTheme="majorHAnsi" w:cstheme="majorHAnsi"/>
        </w:rPr>
      </w:pPr>
      <w:r>
        <w:rPr>
          <w:rFonts w:asciiTheme="majorHAnsi" w:hAnsiTheme="majorHAnsi" w:cstheme="majorHAnsi"/>
        </w:rPr>
        <w:t>ref: Referencias</w:t>
      </w:r>
    </w:p>
    <w:p w14:paraId="4C44A0E4" w14:textId="46F577BC" w:rsidR="00062BE9" w:rsidRDefault="00062BE9" w:rsidP="00062BE9">
      <w:pPr>
        <w:rPr>
          <w:rFonts w:asciiTheme="majorHAnsi" w:hAnsiTheme="majorHAnsi" w:cstheme="majorHAnsi"/>
        </w:rPr>
        <w:sectPr w:rsidR="00062BE9">
          <w:pgSz w:w="11906" w:h="16838"/>
          <w:pgMar w:top="1417" w:right="1701" w:bottom="1417" w:left="1701" w:header="708" w:footer="708" w:gutter="0"/>
          <w:cols w:space="708"/>
          <w:docGrid w:linePitch="360"/>
        </w:sectPr>
      </w:pPr>
      <w:r>
        <w:rPr>
          <w:rFonts w:asciiTheme="majorHAnsi" w:hAnsiTheme="majorHAnsi" w:cstheme="majorHAnsi"/>
        </w:rPr>
        <w:br w:type="page"/>
      </w:r>
    </w:p>
    <w:p w14:paraId="4742140B" w14:textId="77777777" w:rsidR="000E7A28" w:rsidRDefault="000E7A28" w:rsidP="00062BE9">
      <w:pPr>
        <w:spacing w:after="0" w:line="240" w:lineRule="auto"/>
        <w:rPr>
          <w:rFonts w:asciiTheme="majorHAnsi" w:hAnsiTheme="majorHAnsi" w:cstheme="majorHAnsi"/>
        </w:rPr>
      </w:pPr>
    </w:p>
    <w:p w14:paraId="7FDD2557" w14:textId="5F046922" w:rsidR="00062BE9" w:rsidRDefault="00062BE9" w:rsidP="00062BE9">
      <w:pPr>
        <w:spacing w:after="0" w:line="240" w:lineRule="auto"/>
        <w:rPr>
          <w:rFonts w:asciiTheme="majorHAnsi" w:hAnsiTheme="majorHAnsi" w:cstheme="majorHAnsi"/>
        </w:rPr>
      </w:pPr>
      <w:r>
        <w:rPr>
          <w:rFonts w:asciiTheme="majorHAnsi" w:hAnsiTheme="majorHAnsi" w:cstheme="majorHAnsi"/>
        </w:rPr>
        <w:t>Tabla 1. Características de los estudios incluidos.</w:t>
      </w:r>
    </w:p>
    <w:tbl>
      <w:tblPr>
        <w:tblStyle w:val="Tablaconcuadrcula"/>
        <w:tblW w:w="5047" w:type="pct"/>
        <w:tblInd w:w="-147" w:type="dxa"/>
        <w:tblLayout w:type="fixed"/>
        <w:tblLook w:val="04A0" w:firstRow="1" w:lastRow="0" w:firstColumn="1" w:lastColumn="0" w:noHBand="0" w:noVBand="1"/>
      </w:tblPr>
      <w:tblGrid>
        <w:gridCol w:w="1136"/>
        <w:gridCol w:w="2832"/>
        <w:gridCol w:w="3540"/>
        <w:gridCol w:w="8365"/>
      </w:tblGrid>
      <w:tr w:rsidR="00062BE9" w:rsidRPr="00CA6EFD" w14:paraId="0A2325C1" w14:textId="77777777" w:rsidTr="00F276F8">
        <w:tc>
          <w:tcPr>
            <w:tcW w:w="358" w:type="pct"/>
            <w:shd w:val="clear" w:color="auto" w:fill="1F4E79" w:themeFill="accent1" w:themeFillShade="80"/>
          </w:tcPr>
          <w:p w14:paraId="61EE64A1" w14:textId="77777777" w:rsidR="00062BE9" w:rsidRPr="00CA6EFD" w:rsidRDefault="00062BE9" w:rsidP="006331A0">
            <w:pPr>
              <w:jc w:val="center"/>
              <w:rPr>
                <w:rFonts w:asciiTheme="majorHAnsi" w:hAnsiTheme="majorHAnsi" w:cstheme="majorHAnsi"/>
                <w:color w:val="FFFFFF" w:themeColor="background1"/>
              </w:rPr>
            </w:pPr>
            <w:r w:rsidRPr="00CA6EFD">
              <w:rPr>
                <w:rFonts w:asciiTheme="majorHAnsi" w:hAnsiTheme="majorHAnsi" w:cstheme="majorHAnsi"/>
                <w:color w:val="FFFFFF" w:themeColor="background1"/>
              </w:rPr>
              <w:t>Autor</w:t>
            </w:r>
          </w:p>
        </w:tc>
        <w:tc>
          <w:tcPr>
            <w:tcW w:w="892" w:type="pct"/>
            <w:shd w:val="clear" w:color="auto" w:fill="1F4E79" w:themeFill="accent1" w:themeFillShade="80"/>
          </w:tcPr>
          <w:p w14:paraId="11974F3B" w14:textId="77777777" w:rsidR="00062BE9" w:rsidRPr="00CA6EFD" w:rsidRDefault="00062BE9" w:rsidP="006331A0">
            <w:pPr>
              <w:jc w:val="center"/>
              <w:rPr>
                <w:rFonts w:asciiTheme="majorHAnsi" w:hAnsiTheme="majorHAnsi" w:cstheme="majorHAnsi"/>
                <w:color w:val="FFFFFF" w:themeColor="background1"/>
              </w:rPr>
            </w:pPr>
            <w:r w:rsidRPr="00CA6EFD">
              <w:rPr>
                <w:rFonts w:asciiTheme="majorHAnsi" w:hAnsiTheme="majorHAnsi" w:cstheme="majorHAnsi"/>
                <w:color w:val="FFFFFF" w:themeColor="background1"/>
              </w:rPr>
              <w:t>Objetivo</w:t>
            </w:r>
          </w:p>
        </w:tc>
        <w:tc>
          <w:tcPr>
            <w:tcW w:w="1115" w:type="pct"/>
            <w:shd w:val="clear" w:color="auto" w:fill="1F4E79" w:themeFill="accent1" w:themeFillShade="80"/>
          </w:tcPr>
          <w:p w14:paraId="74C73CA2" w14:textId="77777777" w:rsidR="00062BE9" w:rsidRPr="00CA6EFD" w:rsidRDefault="00062BE9" w:rsidP="006331A0">
            <w:pPr>
              <w:jc w:val="center"/>
              <w:rPr>
                <w:rFonts w:asciiTheme="majorHAnsi" w:hAnsiTheme="majorHAnsi" w:cstheme="majorHAnsi"/>
                <w:color w:val="FFFFFF" w:themeColor="background1"/>
              </w:rPr>
            </w:pPr>
            <w:r>
              <w:rPr>
                <w:rFonts w:asciiTheme="majorHAnsi" w:hAnsiTheme="majorHAnsi" w:cstheme="majorHAnsi"/>
                <w:color w:val="FFFFFF" w:themeColor="background1"/>
              </w:rPr>
              <w:t xml:space="preserve">Metodología </w:t>
            </w:r>
          </w:p>
        </w:tc>
        <w:tc>
          <w:tcPr>
            <w:tcW w:w="2635" w:type="pct"/>
            <w:shd w:val="clear" w:color="auto" w:fill="1F4E79" w:themeFill="accent1" w:themeFillShade="80"/>
          </w:tcPr>
          <w:p w14:paraId="1A6E0784" w14:textId="77777777" w:rsidR="00062BE9" w:rsidRPr="00CA6EFD" w:rsidRDefault="00062BE9" w:rsidP="006331A0">
            <w:pPr>
              <w:jc w:val="center"/>
              <w:rPr>
                <w:rFonts w:asciiTheme="majorHAnsi" w:hAnsiTheme="majorHAnsi" w:cstheme="majorHAnsi"/>
                <w:color w:val="FFFFFF" w:themeColor="background1"/>
              </w:rPr>
            </w:pPr>
            <w:r w:rsidRPr="00CA6EFD">
              <w:rPr>
                <w:rFonts w:asciiTheme="majorHAnsi" w:hAnsiTheme="majorHAnsi" w:cstheme="majorHAnsi"/>
                <w:color w:val="FFFFFF" w:themeColor="background1"/>
              </w:rPr>
              <w:t>Resultados</w:t>
            </w:r>
          </w:p>
        </w:tc>
      </w:tr>
      <w:tr w:rsidR="00062BE9" w:rsidRPr="00D64382" w14:paraId="7DF82BEA" w14:textId="77777777" w:rsidTr="00F276F8">
        <w:tc>
          <w:tcPr>
            <w:tcW w:w="358" w:type="pct"/>
          </w:tcPr>
          <w:p w14:paraId="016C0594" w14:textId="004F6804" w:rsidR="00062BE9" w:rsidRDefault="00062BE9" w:rsidP="00453869">
            <w:pPr>
              <w:jc w:val="both"/>
              <w:rPr>
                <w:rFonts w:asciiTheme="majorHAnsi" w:hAnsiTheme="majorHAnsi" w:cstheme="majorHAnsi"/>
              </w:rPr>
            </w:pPr>
            <w:r>
              <w:rPr>
                <w:rFonts w:asciiTheme="majorHAnsi" w:hAnsiTheme="majorHAnsi" w:cstheme="majorHAnsi"/>
              </w:rPr>
              <w:t>Lee (2010)</w:t>
            </w:r>
            <w:r w:rsidR="008A6D89">
              <w:rPr>
                <w:rFonts w:asciiTheme="majorHAnsi" w:hAnsiTheme="majorHAnsi" w:cstheme="majorHAnsi"/>
              </w:rPr>
              <w:fldChar w:fldCharType="begin" w:fldLock="1"/>
            </w:r>
            <w:r w:rsidR="00B57DD4">
              <w:rPr>
                <w:rFonts w:asciiTheme="majorHAnsi" w:hAnsiTheme="majorHAnsi" w:cstheme="majorHAnsi"/>
              </w:rPr>
              <w:instrText>ADDIN CSL_CITATION {"citationItems":[{"id":"ITEM-1","itemData":{"DOI":"10.1111/j.1475-6773.2010.01103.x","ISSN":"1475-6773 (Electronic)","PMID":"20403066","abstract":"OBJECTIVE: To determine whether profit status is associated with differences in hospital days per patient, an outcome that may also be influenced by provider financial goals. DATA SOURCES: United States Renal Data System Standard Analysis Files and Centers for Medicare and Medicaid Services cost reports. DESIGN: We compared the number of hospital days per patient per year across for-profit and nonprofit dialysis facilities during 2003. To address possible referral bias in the assignment of patients to dialysis facilities, we used an instrumental variable regression method and adjusted for selected patient-specific factors, facility characteristics such as size and chain affiliation, as well as metrics of market competition. DATA EXTRACTION METHODS: All patients who received in-center hemodialysis at any time in 2003 and for whom Medicare was the primary payer were included (N=170,130; roughly two-thirds of the U.S. hemodialysis population). Patients dialyzed at hospital-based facilities and patients with no dialysis facilities within 30 miles of their residence were excluded. RESULTS: Overall, adjusted hospital days per patient were 17+/-5 percent lower in nonprofit facilities. The difference between nonprofit and for-profit facilities persisted with the correction for referral bias. There was no association between hospital days per patient per year and chain affiliation, but larger facilities had inferior outcomes (facilities with 73 or more patients had a 14+/-1.7 percent increase in hospital days relative to facilities with 35 or fewer patients). Differences in outcomes among for-profit and nonprofit facilities translated to 1,600 patient-years in hospital that could be averted each year if the hospital utilization rates in for-profit facilities were to decrease to the level of their nonprofit counterparts. CONCLUSIONS: Hospital days per patient-year were statistically and clinically significantly lower among nonprofit dialysis providers. These findings suggest that the indirect incentives in Medicare's current payment system may provide insufficient incentive for for-profit providers to achieve optimal patient outcomes.","author":[{"dropping-particle":"","family":"Lee","given":"Donald K K","non-dropping-particle":"","parse-names":false,"suffix":""},{"dropping-particle":"","family":"Chertow","given":"Glenn M","non-dropping-particle":"","parse-names":false,"suffix":""},{"dropping-particle":"","family":"Zenios","given":"Stefanos A","non-dropping-particle":"","parse-names":false,"suffix":""}],"container-title":"Health services research","id":"ITEM-1","issue":"3","issued":{"date-parts":[["2010"]]},"language":"eng","page":"633-646","publisher-place":"United States","title":"Reexploring differences among for-profit and nonprofit dialysis providers.","type":"article-journal","volume":"45"},"uris":["http://www.mendeley.com/documents/?uuid=122a06c5-9a8a-4b41-9dd6-bbb981ba20a6"]}],"mendeley":{"formattedCitation":"&lt;sup&gt;18&lt;/sup&gt;","plainTextFormattedCitation":"18","previouslyFormattedCitation":"&lt;sup&gt;18&lt;/sup&gt;"},"properties":{"noteIndex":0},"schema":"https://github.com/citation-style-language/schema/raw/master/csl-citation.json"}</w:instrText>
            </w:r>
            <w:r w:rsidR="008A6D89">
              <w:rPr>
                <w:rFonts w:asciiTheme="majorHAnsi" w:hAnsiTheme="majorHAnsi" w:cstheme="majorHAnsi"/>
              </w:rPr>
              <w:fldChar w:fldCharType="separate"/>
            </w:r>
            <w:r w:rsidR="00453869" w:rsidRPr="00453869">
              <w:rPr>
                <w:rFonts w:asciiTheme="majorHAnsi" w:hAnsiTheme="majorHAnsi" w:cstheme="majorHAnsi"/>
                <w:noProof/>
                <w:vertAlign w:val="superscript"/>
              </w:rPr>
              <w:t>18</w:t>
            </w:r>
            <w:r w:rsidR="008A6D89">
              <w:rPr>
                <w:rFonts w:asciiTheme="majorHAnsi" w:hAnsiTheme="majorHAnsi" w:cstheme="majorHAnsi"/>
              </w:rPr>
              <w:fldChar w:fldCharType="end"/>
            </w:r>
          </w:p>
        </w:tc>
        <w:tc>
          <w:tcPr>
            <w:tcW w:w="892" w:type="pct"/>
          </w:tcPr>
          <w:p w14:paraId="281EB58A" w14:textId="77777777" w:rsidR="00062BE9" w:rsidRDefault="00062BE9" w:rsidP="006331A0">
            <w:pPr>
              <w:jc w:val="both"/>
              <w:rPr>
                <w:rFonts w:asciiTheme="majorHAnsi" w:hAnsiTheme="majorHAnsi" w:cstheme="majorHAnsi"/>
              </w:rPr>
            </w:pPr>
            <w:r>
              <w:rPr>
                <w:rFonts w:asciiTheme="majorHAnsi" w:hAnsiTheme="majorHAnsi" w:cstheme="majorHAnsi"/>
              </w:rPr>
              <w:t>D</w:t>
            </w:r>
            <w:r w:rsidRPr="00701283">
              <w:rPr>
                <w:rFonts w:asciiTheme="majorHAnsi" w:hAnsiTheme="majorHAnsi" w:cstheme="majorHAnsi"/>
              </w:rPr>
              <w:t xml:space="preserve">eterminar </w:t>
            </w:r>
            <w:r>
              <w:rPr>
                <w:rFonts w:asciiTheme="majorHAnsi" w:hAnsiTheme="majorHAnsi" w:cstheme="majorHAnsi"/>
              </w:rPr>
              <w:t>la asociación entre la finalidad del ánimo de lucro con</w:t>
            </w:r>
            <w:r w:rsidRPr="00701283">
              <w:rPr>
                <w:rFonts w:asciiTheme="majorHAnsi" w:hAnsiTheme="majorHAnsi" w:cstheme="majorHAnsi"/>
              </w:rPr>
              <w:t xml:space="preserve"> los días de hospitalización.</w:t>
            </w:r>
          </w:p>
        </w:tc>
        <w:tc>
          <w:tcPr>
            <w:tcW w:w="1115" w:type="pct"/>
          </w:tcPr>
          <w:p w14:paraId="3D274082" w14:textId="2ACCAFF2" w:rsidR="00062BE9" w:rsidRPr="00492C1A" w:rsidRDefault="00062BE9" w:rsidP="001045F6">
            <w:pPr>
              <w:jc w:val="both"/>
              <w:rPr>
                <w:rFonts w:asciiTheme="majorHAnsi" w:hAnsiTheme="majorHAnsi" w:cstheme="majorHAnsi"/>
              </w:rPr>
            </w:pPr>
            <w:r>
              <w:rPr>
                <w:rFonts w:asciiTheme="majorHAnsi" w:hAnsiTheme="majorHAnsi" w:cstheme="majorHAnsi"/>
              </w:rPr>
              <w:t xml:space="preserve">Pacientes incluidos en el registro </w:t>
            </w:r>
            <w:r w:rsidRPr="00492C1A">
              <w:rPr>
                <w:rFonts w:asciiTheme="majorHAnsi" w:hAnsiTheme="majorHAnsi" w:cstheme="majorHAnsi"/>
              </w:rPr>
              <w:t xml:space="preserve">USRDS </w:t>
            </w:r>
            <w:r>
              <w:rPr>
                <w:rFonts w:asciiTheme="majorHAnsi" w:hAnsiTheme="majorHAnsi" w:cstheme="majorHAnsi"/>
              </w:rPr>
              <w:t xml:space="preserve">en diálisis </w:t>
            </w:r>
            <w:r w:rsidRPr="00492C1A">
              <w:rPr>
                <w:rFonts w:asciiTheme="majorHAnsi" w:hAnsiTheme="majorHAnsi" w:cstheme="majorHAnsi"/>
              </w:rPr>
              <w:t xml:space="preserve">antes </w:t>
            </w:r>
            <w:r>
              <w:rPr>
                <w:rFonts w:asciiTheme="majorHAnsi" w:hAnsiTheme="majorHAnsi" w:cstheme="majorHAnsi"/>
              </w:rPr>
              <w:t>del</w:t>
            </w:r>
            <w:r w:rsidRPr="00492C1A">
              <w:rPr>
                <w:rFonts w:asciiTheme="majorHAnsi" w:hAnsiTheme="majorHAnsi" w:cstheme="majorHAnsi"/>
              </w:rPr>
              <w:t xml:space="preserve"> 1 de enero de 2003, </w:t>
            </w:r>
            <w:r>
              <w:rPr>
                <w:rFonts w:asciiTheme="majorHAnsi" w:hAnsiTheme="majorHAnsi" w:cstheme="majorHAnsi"/>
              </w:rPr>
              <w:t>sin</w:t>
            </w:r>
            <w:r w:rsidRPr="00492C1A">
              <w:rPr>
                <w:rFonts w:asciiTheme="majorHAnsi" w:hAnsiTheme="majorHAnsi" w:cstheme="majorHAnsi"/>
              </w:rPr>
              <w:t xml:space="preserve"> trasplante previos y </w:t>
            </w:r>
            <w:r>
              <w:rPr>
                <w:rFonts w:asciiTheme="majorHAnsi" w:hAnsiTheme="majorHAnsi" w:cstheme="majorHAnsi"/>
              </w:rPr>
              <w:t xml:space="preserve">asegurados por </w:t>
            </w:r>
            <w:r w:rsidRPr="00492C1A">
              <w:rPr>
                <w:rFonts w:asciiTheme="majorHAnsi" w:hAnsiTheme="majorHAnsi" w:cstheme="majorHAnsi"/>
              </w:rPr>
              <w:t>Medicare</w:t>
            </w:r>
            <w:r>
              <w:rPr>
                <w:rFonts w:asciiTheme="majorHAnsi" w:hAnsiTheme="majorHAnsi" w:cstheme="majorHAnsi"/>
              </w:rPr>
              <w:t xml:space="preserve">. </w:t>
            </w:r>
          </w:p>
        </w:tc>
        <w:tc>
          <w:tcPr>
            <w:tcW w:w="2635" w:type="pct"/>
          </w:tcPr>
          <w:p w14:paraId="25E2843F" w14:textId="77777777" w:rsidR="00062BE9" w:rsidRPr="00492C1A" w:rsidRDefault="00062BE9" w:rsidP="006331A0">
            <w:pPr>
              <w:jc w:val="both"/>
              <w:rPr>
                <w:rFonts w:asciiTheme="majorHAnsi" w:hAnsiTheme="majorHAnsi" w:cstheme="majorHAnsi"/>
              </w:rPr>
            </w:pPr>
            <w:r>
              <w:rPr>
                <w:rFonts w:asciiTheme="majorHAnsi" w:hAnsiTheme="majorHAnsi" w:cstheme="majorHAnsi"/>
              </w:rPr>
              <w:t xml:space="preserve">Incluye </w:t>
            </w:r>
            <w:r w:rsidRPr="00492C1A">
              <w:rPr>
                <w:rFonts w:asciiTheme="majorHAnsi" w:hAnsiTheme="majorHAnsi" w:cstheme="majorHAnsi"/>
              </w:rPr>
              <w:t>170</w:t>
            </w:r>
            <w:r>
              <w:rPr>
                <w:rFonts w:asciiTheme="majorHAnsi" w:hAnsiTheme="majorHAnsi" w:cstheme="majorHAnsi"/>
              </w:rPr>
              <w:t>.</w:t>
            </w:r>
            <w:r w:rsidRPr="00492C1A">
              <w:rPr>
                <w:rFonts w:asciiTheme="majorHAnsi" w:hAnsiTheme="majorHAnsi" w:cstheme="majorHAnsi"/>
              </w:rPr>
              <w:t>130</w:t>
            </w:r>
            <w:r>
              <w:rPr>
                <w:rFonts w:asciiTheme="majorHAnsi" w:hAnsiTheme="majorHAnsi" w:cstheme="majorHAnsi"/>
              </w:rPr>
              <w:t xml:space="preserve"> pacientes en </w:t>
            </w:r>
            <w:r w:rsidRPr="00F54963">
              <w:rPr>
                <w:rFonts w:asciiTheme="majorHAnsi" w:hAnsiTheme="majorHAnsi" w:cstheme="majorHAnsi"/>
              </w:rPr>
              <w:t>3443 instalaciones</w:t>
            </w:r>
            <w:r>
              <w:rPr>
                <w:rFonts w:asciiTheme="majorHAnsi" w:hAnsiTheme="majorHAnsi" w:cstheme="majorHAnsi"/>
              </w:rPr>
              <w:t xml:space="preserve">, estando el </w:t>
            </w:r>
            <w:r w:rsidRPr="009C3FD2">
              <w:rPr>
                <w:rFonts w:asciiTheme="majorHAnsi" w:hAnsiTheme="majorHAnsi" w:cstheme="majorHAnsi"/>
              </w:rPr>
              <w:t>9%</w:t>
            </w:r>
            <w:r>
              <w:rPr>
                <w:rFonts w:asciiTheme="majorHAnsi" w:hAnsiTheme="majorHAnsi" w:cstheme="majorHAnsi"/>
              </w:rPr>
              <w:t xml:space="preserve"> en instalaciones sin ánimo de lucro. </w:t>
            </w:r>
            <w:r w:rsidRPr="00830D92">
              <w:rPr>
                <w:rFonts w:asciiTheme="majorHAnsi" w:hAnsiTheme="majorHAnsi" w:cstheme="majorHAnsi"/>
              </w:rPr>
              <w:t>Los pacientes dializa</w:t>
            </w:r>
            <w:r>
              <w:rPr>
                <w:rFonts w:asciiTheme="majorHAnsi" w:hAnsiTheme="majorHAnsi" w:cstheme="majorHAnsi"/>
              </w:rPr>
              <w:t xml:space="preserve">dos </w:t>
            </w:r>
            <w:r w:rsidRPr="00830D92">
              <w:rPr>
                <w:rFonts w:asciiTheme="majorHAnsi" w:hAnsiTheme="majorHAnsi" w:cstheme="majorHAnsi"/>
              </w:rPr>
              <w:t xml:space="preserve">en establecimientos con fines de lucro </w:t>
            </w:r>
            <w:r>
              <w:rPr>
                <w:rFonts w:asciiTheme="majorHAnsi" w:hAnsiTheme="majorHAnsi" w:cstheme="majorHAnsi"/>
              </w:rPr>
              <w:t xml:space="preserve">estuvieron </w:t>
            </w:r>
            <w:r w:rsidRPr="00830D92">
              <w:rPr>
                <w:rFonts w:asciiTheme="majorHAnsi" w:hAnsiTheme="majorHAnsi" w:cstheme="majorHAnsi"/>
              </w:rPr>
              <w:t xml:space="preserve">17,5% más de días </w:t>
            </w:r>
            <w:r>
              <w:rPr>
                <w:rFonts w:asciiTheme="majorHAnsi" w:hAnsiTheme="majorHAnsi" w:cstheme="majorHAnsi"/>
              </w:rPr>
              <w:t xml:space="preserve">hospitalizados </w:t>
            </w:r>
            <w:r w:rsidRPr="00830D92">
              <w:rPr>
                <w:rFonts w:asciiTheme="majorHAnsi" w:hAnsiTheme="majorHAnsi" w:cstheme="majorHAnsi"/>
              </w:rPr>
              <w:t>(p</w:t>
            </w:r>
            <w:r>
              <w:rPr>
                <w:rFonts w:asciiTheme="majorHAnsi" w:hAnsiTheme="majorHAnsi" w:cstheme="majorHAnsi"/>
              </w:rPr>
              <w:t>&lt;0</w:t>
            </w:r>
            <w:r w:rsidRPr="00830D92">
              <w:rPr>
                <w:rFonts w:asciiTheme="majorHAnsi" w:hAnsiTheme="majorHAnsi" w:cstheme="majorHAnsi"/>
              </w:rPr>
              <w:t>.0001)</w:t>
            </w:r>
            <w:r>
              <w:rPr>
                <w:rFonts w:asciiTheme="majorHAnsi" w:hAnsiTheme="majorHAnsi" w:cstheme="majorHAnsi"/>
              </w:rPr>
              <w:t>, esta diferencia se mantuvo en el modelo ajusto</w:t>
            </w:r>
            <w:r w:rsidRPr="00830D92">
              <w:rPr>
                <w:rFonts w:asciiTheme="majorHAnsi" w:hAnsiTheme="majorHAnsi" w:cstheme="majorHAnsi"/>
              </w:rPr>
              <w:t>.</w:t>
            </w:r>
          </w:p>
        </w:tc>
      </w:tr>
      <w:tr w:rsidR="00062BE9" w:rsidRPr="00E05A93" w14:paraId="2DB355F6" w14:textId="77777777" w:rsidTr="00F276F8">
        <w:tc>
          <w:tcPr>
            <w:tcW w:w="358" w:type="pct"/>
          </w:tcPr>
          <w:p w14:paraId="34B9B7B4" w14:textId="4557DC4B" w:rsidR="00062BE9" w:rsidRDefault="00062BE9" w:rsidP="00453869">
            <w:pPr>
              <w:jc w:val="both"/>
              <w:rPr>
                <w:rFonts w:asciiTheme="majorHAnsi" w:hAnsiTheme="majorHAnsi" w:cstheme="majorHAnsi"/>
              </w:rPr>
            </w:pPr>
            <w:r w:rsidRPr="000010AC">
              <w:rPr>
                <w:rFonts w:asciiTheme="majorHAnsi" w:hAnsiTheme="majorHAnsi" w:cstheme="majorHAnsi"/>
              </w:rPr>
              <w:t>Brunelli</w:t>
            </w:r>
            <w:r>
              <w:rPr>
                <w:rFonts w:asciiTheme="majorHAnsi" w:hAnsiTheme="majorHAnsi" w:cstheme="majorHAnsi"/>
              </w:rPr>
              <w:t xml:space="preserve"> (201</w:t>
            </w:r>
            <w:r w:rsidR="0081096F">
              <w:rPr>
                <w:rFonts w:asciiTheme="majorHAnsi" w:hAnsiTheme="majorHAnsi" w:cstheme="majorHAnsi"/>
              </w:rPr>
              <w:t>4</w:t>
            </w:r>
            <w:r>
              <w:rPr>
                <w:rFonts w:asciiTheme="majorHAnsi" w:hAnsiTheme="majorHAnsi" w:cstheme="majorHAnsi"/>
              </w:rPr>
              <w:t>)</w:t>
            </w:r>
            <w:r w:rsidR="008A6D89">
              <w:rPr>
                <w:rFonts w:asciiTheme="majorHAnsi" w:hAnsiTheme="majorHAnsi" w:cstheme="majorHAnsi"/>
              </w:rPr>
              <w:fldChar w:fldCharType="begin" w:fldLock="1"/>
            </w:r>
            <w:r w:rsidR="00B57DD4">
              <w:rPr>
                <w:rFonts w:asciiTheme="majorHAnsi" w:hAnsiTheme="majorHAnsi" w:cstheme="majorHAnsi"/>
              </w:rPr>
              <w:instrText>ADDIN CSL_CITATION {"citationItems":[{"id":"ITEM-1","itemData":{"DOI":"10.1186/1471-2369-15-121","ISSN":"14712369","abstract":"Background: Patient outcomes have been compared on the basis of the profit status of the dialysis provider (for-profit [FP] and not-for-profit [NFP]). In its annual report, United States Renal Data System (USRDS) provides dialysis provider level death and hospitalization rates adjusted by age, race, sex, and dialysis vintage; however, recent analyses have suggested that other variables impact these outcomes. Our current analysis of hospitalization and mortality rates of hemodialysis patients included adjustments for those used by the USRDS plus other potential confounders: facility geography (end-stage renal disease network), length of facility ownership, vascular access at first dialysis session, and pre-dialysis nephrology care. Methods. We performed a provider level, retrospective analysis of 2010 hospitalization and mortality rates among US hemodialysis patients exclusively using USRDS sources. Crude and adjusted incidence rate ratios (IRRs) were calculated using the 4 standard USRDS patient factors plus the 4 potential confounders noted above. Results: The analysis included 366,011 and 34,029 patients treated at FP and NFP facilities, respectively. There were statistical differences between the cohorts in geography, facility length of ownership, vascular access, and pre-dialysis nephrology care (p &lt; 0.001), as well as age (p &lt; 0.01), race (p &lt; 0.001), and vintage (p &lt; 0.001), but not sex (p = 0.12). When using standard USRDS adjustments, hospitalization and mortality rates for FP and NFP facilities were most disparate, favoring the NFP facilities. Rates were most similar between providers when adjustments were made for each of the 8 factors. With the FP IRR as the referent (1.0), the hospitalization IRR for NFP facilities was 1.00 (95% confidence interval [CI] 0.97-1.02; p = 0.69), while the NFP mortality IRR was 1.01 (95% CI 0.97-1.05; p = 0.64). Conclusions: These data suggest there is no difference in mortality and hospitalization rates between FP and NFP dialysis clinics when appropriate statistical adjustments are made. © 2014 Brunelli et al.; licensee BioMed Central Ltd.","author":[{"dropping-particle":"","family":"Brunelli","given":"Steven M.","non-dropping-particle":"","parse-names":false,"suffix":""},{"dropping-particle":"","family":"Wilson","given":"Steven","non-dropping-particle":"","parse-names":false,"suffix":""},{"dropping-particle":"","family":"Krishnan","given":"Mahesh","non-dropping-particle":"","parse-names":false,"suffix":""},{"dropping-particle":"","family":"Nissenson","given":"Allen R.","non-dropping-particle":"","parse-names":false,"suffix":""}],"container-title":"BMC Nephrology","id":"ITEM-1","issue":"1","issued":{"date-parts":[["2014"]]},"page":"1-8","title":"Confounders of mortality and hospitalization rate calculations for profit and nonprofit dialysis facilities: Analytic augmentation","type":"article-journal","volume":"15"},"uris":["http://www.mendeley.com/documents/?uuid=d5bee7b0-742f-486e-82e6-0da5951a823d"]}],"mendeley":{"formattedCitation":"&lt;sup&gt;20&lt;/sup&gt;","plainTextFormattedCitation":"20","previouslyFormattedCitation":"&lt;sup&gt;20&lt;/sup&gt;"},"properties":{"noteIndex":0},"schema":"https://github.com/citation-style-language/schema/raw/master/csl-citation.json"}</w:instrText>
            </w:r>
            <w:r w:rsidR="008A6D89">
              <w:rPr>
                <w:rFonts w:asciiTheme="majorHAnsi" w:hAnsiTheme="majorHAnsi" w:cstheme="majorHAnsi"/>
              </w:rPr>
              <w:fldChar w:fldCharType="separate"/>
            </w:r>
            <w:r w:rsidR="00453869" w:rsidRPr="00453869">
              <w:rPr>
                <w:rFonts w:asciiTheme="majorHAnsi" w:hAnsiTheme="majorHAnsi" w:cstheme="majorHAnsi"/>
                <w:noProof/>
                <w:vertAlign w:val="superscript"/>
              </w:rPr>
              <w:t>20</w:t>
            </w:r>
            <w:r w:rsidR="008A6D89">
              <w:rPr>
                <w:rFonts w:asciiTheme="majorHAnsi" w:hAnsiTheme="majorHAnsi" w:cstheme="majorHAnsi"/>
              </w:rPr>
              <w:fldChar w:fldCharType="end"/>
            </w:r>
          </w:p>
        </w:tc>
        <w:tc>
          <w:tcPr>
            <w:tcW w:w="892" w:type="pct"/>
          </w:tcPr>
          <w:p w14:paraId="53C94C6E" w14:textId="77777777" w:rsidR="00062BE9" w:rsidRDefault="00062BE9" w:rsidP="006331A0">
            <w:pPr>
              <w:jc w:val="both"/>
              <w:rPr>
                <w:rFonts w:asciiTheme="majorHAnsi" w:hAnsiTheme="majorHAnsi" w:cstheme="majorHAnsi"/>
              </w:rPr>
            </w:pPr>
            <w:r>
              <w:rPr>
                <w:rFonts w:asciiTheme="majorHAnsi" w:hAnsiTheme="majorHAnsi" w:cstheme="majorHAnsi"/>
              </w:rPr>
              <w:t>E</w:t>
            </w:r>
            <w:r w:rsidRPr="003C130D">
              <w:rPr>
                <w:rFonts w:asciiTheme="majorHAnsi" w:hAnsiTheme="majorHAnsi" w:cstheme="majorHAnsi"/>
              </w:rPr>
              <w:t>stimar la asociaci</w:t>
            </w:r>
            <w:r>
              <w:rPr>
                <w:rFonts w:asciiTheme="majorHAnsi" w:hAnsiTheme="majorHAnsi" w:cstheme="majorHAnsi"/>
              </w:rPr>
              <w:t xml:space="preserve">ón entre el ánimo de lucro </w:t>
            </w:r>
            <w:r w:rsidRPr="003C130D">
              <w:rPr>
                <w:rFonts w:asciiTheme="majorHAnsi" w:hAnsiTheme="majorHAnsi" w:cstheme="majorHAnsi"/>
              </w:rPr>
              <w:t>con la mortalidad y hospitalización ajustadas</w:t>
            </w:r>
          </w:p>
        </w:tc>
        <w:tc>
          <w:tcPr>
            <w:tcW w:w="1115" w:type="pct"/>
          </w:tcPr>
          <w:p w14:paraId="6C860235" w14:textId="32C4D014" w:rsidR="00062BE9" w:rsidRDefault="00062BE9" w:rsidP="0081096F">
            <w:pPr>
              <w:jc w:val="both"/>
              <w:rPr>
                <w:rFonts w:asciiTheme="majorHAnsi" w:hAnsiTheme="majorHAnsi" w:cstheme="majorHAnsi"/>
              </w:rPr>
            </w:pPr>
            <w:r>
              <w:rPr>
                <w:rFonts w:asciiTheme="majorHAnsi" w:hAnsiTheme="majorHAnsi" w:cstheme="majorHAnsi"/>
              </w:rPr>
              <w:t xml:space="preserve">Aquellos incluidos en el registro </w:t>
            </w:r>
            <w:r w:rsidRPr="00492C1A">
              <w:rPr>
                <w:rFonts w:asciiTheme="majorHAnsi" w:hAnsiTheme="majorHAnsi" w:cstheme="majorHAnsi"/>
              </w:rPr>
              <w:t>USRDS</w:t>
            </w:r>
            <w:r>
              <w:rPr>
                <w:rFonts w:asciiTheme="majorHAnsi" w:hAnsiTheme="majorHAnsi" w:cstheme="majorHAnsi"/>
              </w:rPr>
              <w:t xml:space="preserve"> en diálisis durante el 2010</w:t>
            </w:r>
            <w:r w:rsidRPr="00492C1A">
              <w:rPr>
                <w:rFonts w:asciiTheme="majorHAnsi" w:hAnsiTheme="majorHAnsi" w:cstheme="majorHAnsi"/>
              </w:rPr>
              <w:t xml:space="preserve">, </w:t>
            </w:r>
            <w:r>
              <w:rPr>
                <w:rFonts w:asciiTheme="majorHAnsi" w:hAnsiTheme="majorHAnsi" w:cstheme="majorHAnsi"/>
              </w:rPr>
              <w:t>sin</w:t>
            </w:r>
            <w:r w:rsidRPr="00492C1A">
              <w:rPr>
                <w:rFonts w:asciiTheme="majorHAnsi" w:hAnsiTheme="majorHAnsi" w:cstheme="majorHAnsi"/>
              </w:rPr>
              <w:t xml:space="preserve"> trasplante previos y </w:t>
            </w:r>
            <w:r>
              <w:rPr>
                <w:rFonts w:asciiTheme="majorHAnsi" w:hAnsiTheme="majorHAnsi" w:cstheme="majorHAnsi"/>
              </w:rPr>
              <w:t xml:space="preserve">asegurados por </w:t>
            </w:r>
            <w:r w:rsidRPr="00492C1A">
              <w:rPr>
                <w:rFonts w:asciiTheme="majorHAnsi" w:hAnsiTheme="majorHAnsi" w:cstheme="majorHAnsi"/>
              </w:rPr>
              <w:t>Medicare</w:t>
            </w:r>
            <w:r>
              <w:rPr>
                <w:rFonts w:asciiTheme="majorHAnsi" w:hAnsiTheme="majorHAnsi" w:cstheme="majorHAnsi"/>
              </w:rPr>
              <w:t>.</w:t>
            </w:r>
          </w:p>
        </w:tc>
        <w:tc>
          <w:tcPr>
            <w:tcW w:w="2635" w:type="pct"/>
          </w:tcPr>
          <w:p w14:paraId="6C0F9AD2" w14:textId="78777479" w:rsidR="00062BE9" w:rsidRPr="008D3BB2" w:rsidRDefault="00062BE9" w:rsidP="008D3BB2">
            <w:pPr>
              <w:jc w:val="both"/>
              <w:rPr>
                <w:rFonts w:asciiTheme="majorHAnsi" w:hAnsiTheme="majorHAnsi" w:cstheme="majorHAnsi"/>
              </w:rPr>
            </w:pPr>
            <w:r w:rsidRPr="000010AC">
              <w:rPr>
                <w:rFonts w:asciiTheme="majorHAnsi" w:hAnsiTheme="majorHAnsi" w:cstheme="majorHAnsi"/>
              </w:rPr>
              <w:t xml:space="preserve">Se incluyeron 366.011 y 34.029 pacientes tratados en centros </w:t>
            </w:r>
            <w:r>
              <w:rPr>
                <w:rFonts w:asciiTheme="majorHAnsi" w:hAnsiTheme="majorHAnsi" w:cstheme="majorHAnsi"/>
              </w:rPr>
              <w:t>con y sin ánimo de lucro</w:t>
            </w:r>
            <w:r w:rsidRPr="000010AC">
              <w:rPr>
                <w:rFonts w:asciiTheme="majorHAnsi" w:hAnsiTheme="majorHAnsi" w:cstheme="majorHAnsi"/>
              </w:rPr>
              <w:t>, respectiv</w:t>
            </w:r>
            <w:r>
              <w:rPr>
                <w:rFonts w:asciiTheme="majorHAnsi" w:hAnsiTheme="majorHAnsi" w:cstheme="majorHAnsi"/>
              </w:rPr>
              <w:t>amente</w:t>
            </w:r>
            <w:r w:rsidRPr="000010AC">
              <w:rPr>
                <w:rFonts w:asciiTheme="majorHAnsi" w:hAnsiTheme="majorHAnsi" w:cstheme="majorHAnsi"/>
              </w:rPr>
              <w:t>.</w:t>
            </w:r>
            <w:r>
              <w:rPr>
                <w:rFonts w:asciiTheme="majorHAnsi" w:hAnsiTheme="majorHAnsi" w:cstheme="majorHAnsi"/>
              </w:rPr>
              <w:t xml:space="preserve"> </w:t>
            </w:r>
            <w:r w:rsidRPr="005B63D1">
              <w:rPr>
                <w:rFonts w:asciiTheme="majorHAnsi" w:hAnsiTheme="majorHAnsi" w:cstheme="majorHAnsi"/>
              </w:rPr>
              <w:t xml:space="preserve">La tasa </w:t>
            </w:r>
            <w:r>
              <w:rPr>
                <w:rFonts w:asciiTheme="majorHAnsi" w:hAnsiTheme="majorHAnsi" w:cstheme="majorHAnsi"/>
              </w:rPr>
              <w:t>cruda</w:t>
            </w:r>
            <w:r w:rsidRPr="005B63D1">
              <w:rPr>
                <w:rFonts w:asciiTheme="majorHAnsi" w:hAnsiTheme="majorHAnsi" w:cstheme="majorHAnsi"/>
              </w:rPr>
              <w:t xml:space="preserve"> de hospitalización fue mayor en la población </w:t>
            </w:r>
            <w:r w:rsidR="00C74013">
              <w:rPr>
                <w:rFonts w:asciiTheme="majorHAnsi" w:hAnsiTheme="majorHAnsi" w:cstheme="majorHAnsi"/>
              </w:rPr>
              <w:t>e</w:t>
            </w:r>
            <w:r w:rsidRPr="005B63D1">
              <w:rPr>
                <w:rFonts w:asciiTheme="majorHAnsi" w:hAnsiTheme="majorHAnsi" w:cstheme="majorHAnsi"/>
              </w:rPr>
              <w:t xml:space="preserve">n </w:t>
            </w:r>
            <w:r w:rsidR="00C74013">
              <w:rPr>
                <w:rFonts w:asciiTheme="majorHAnsi" w:hAnsiTheme="majorHAnsi" w:cstheme="majorHAnsi"/>
              </w:rPr>
              <w:t>centro lucrativos</w:t>
            </w:r>
            <w:r w:rsidRPr="005B63D1">
              <w:rPr>
                <w:rFonts w:asciiTheme="majorHAnsi" w:hAnsiTheme="majorHAnsi" w:cstheme="majorHAnsi"/>
              </w:rPr>
              <w:t xml:space="preserve"> (1,66 hospitalizaciones</w:t>
            </w:r>
            <w:r>
              <w:rPr>
                <w:rFonts w:asciiTheme="majorHAnsi" w:hAnsiTheme="majorHAnsi" w:cstheme="majorHAnsi"/>
              </w:rPr>
              <w:t>/</w:t>
            </w:r>
            <w:r w:rsidRPr="005B63D1">
              <w:rPr>
                <w:rFonts w:asciiTheme="majorHAnsi" w:hAnsiTheme="majorHAnsi" w:cstheme="majorHAnsi"/>
              </w:rPr>
              <w:t xml:space="preserve">paciente-año) que en </w:t>
            </w:r>
            <w:r w:rsidR="00C74013">
              <w:rPr>
                <w:rFonts w:asciiTheme="majorHAnsi" w:hAnsiTheme="majorHAnsi" w:cstheme="majorHAnsi"/>
              </w:rPr>
              <w:t xml:space="preserve">aquellos no lucrativos </w:t>
            </w:r>
            <w:r w:rsidRPr="005B63D1">
              <w:rPr>
                <w:rFonts w:asciiTheme="majorHAnsi" w:hAnsiTheme="majorHAnsi" w:cstheme="majorHAnsi"/>
              </w:rPr>
              <w:t xml:space="preserve">(1,59 hospitalizaciones por paciente-año), </w:t>
            </w:r>
            <w:r w:rsidR="008D3BB2">
              <w:rPr>
                <w:rFonts w:asciiTheme="majorHAnsi" w:hAnsiTheme="majorHAnsi" w:cstheme="majorHAnsi"/>
              </w:rPr>
              <w:t>no siendo significativas en el modelo multivariante (p=0,69)</w:t>
            </w:r>
            <w:r w:rsidRPr="005B63D1">
              <w:rPr>
                <w:rFonts w:asciiTheme="majorHAnsi" w:hAnsiTheme="majorHAnsi" w:cstheme="majorHAnsi"/>
              </w:rPr>
              <w:t>.</w:t>
            </w:r>
            <w:r w:rsidR="008D3BB2">
              <w:rPr>
                <w:rFonts w:asciiTheme="majorHAnsi" w:hAnsiTheme="majorHAnsi" w:cstheme="majorHAnsi"/>
              </w:rPr>
              <w:t xml:space="preserve"> La tasa de mortalidad fue de</w:t>
            </w:r>
            <w:r w:rsidR="008D3BB2">
              <w:t xml:space="preserve"> </w:t>
            </w:r>
            <w:r w:rsidR="008D3BB2" w:rsidRPr="008D3BB2">
              <w:rPr>
                <w:rFonts w:asciiTheme="majorHAnsi" w:hAnsiTheme="majorHAnsi" w:cstheme="majorHAnsi"/>
              </w:rPr>
              <w:t>23</w:t>
            </w:r>
            <w:r w:rsidR="008D3BB2">
              <w:rPr>
                <w:rFonts w:asciiTheme="majorHAnsi" w:hAnsiTheme="majorHAnsi" w:cstheme="majorHAnsi"/>
              </w:rPr>
              <w:t>,</w:t>
            </w:r>
            <w:r w:rsidR="008D3BB2" w:rsidRPr="008D3BB2">
              <w:rPr>
                <w:rFonts w:asciiTheme="majorHAnsi" w:hAnsiTheme="majorHAnsi" w:cstheme="majorHAnsi"/>
              </w:rPr>
              <w:t>1</w:t>
            </w:r>
            <w:r w:rsidR="008D3BB2">
              <w:rPr>
                <w:rFonts w:asciiTheme="majorHAnsi" w:hAnsiTheme="majorHAnsi" w:cstheme="majorHAnsi"/>
              </w:rPr>
              <w:t xml:space="preserve"> y 22,0 para centros con y sin ánimo de lucro respectivamente, no siendo esta diferencia significativa (p=0.64). </w:t>
            </w:r>
            <w:r w:rsidR="008D3BB2" w:rsidRPr="008D3BB2">
              <w:rPr>
                <w:rFonts w:asciiTheme="majorHAnsi" w:hAnsiTheme="majorHAnsi" w:cstheme="majorHAnsi"/>
              </w:rPr>
              <w:t xml:space="preserve"> </w:t>
            </w:r>
          </w:p>
        </w:tc>
      </w:tr>
      <w:tr w:rsidR="00062BE9" w:rsidRPr="009C3FD2" w14:paraId="577B4ECE" w14:textId="77777777" w:rsidTr="00F276F8">
        <w:tc>
          <w:tcPr>
            <w:tcW w:w="358" w:type="pct"/>
          </w:tcPr>
          <w:p w14:paraId="53F598F4" w14:textId="5A9D3867" w:rsidR="00062BE9" w:rsidRPr="00492C1A" w:rsidRDefault="00062BE9" w:rsidP="00453869">
            <w:pPr>
              <w:jc w:val="both"/>
              <w:rPr>
                <w:rFonts w:asciiTheme="majorHAnsi" w:hAnsiTheme="majorHAnsi" w:cstheme="majorHAnsi"/>
              </w:rPr>
            </w:pPr>
            <w:r w:rsidRPr="000010AC">
              <w:rPr>
                <w:rFonts w:asciiTheme="majorHAnsi" w:hAnsiTheme="majorHAnsi" w:cstheme="majorHAnsi"/>
              </w:rPr>
              <w:t>Dalrymple</w:t>
            </w:r>
            <w:r>
              <w:rPr>
                <w:rFonts w:asciiTheme="majorHAnsi" w:hAnsiTheme="majorHAnsi" w:cstheme="majorHAnsi"/>
              </w:rPr>
              <w:t xml:space="preserve"> (2014)</w:t>
            </w:r>
            <w:r w:rsidR="008A6D89">
              <w:rPr>
                <w:rFonts w:asciiTheme="majorHAnsi" w:hAnsiTheme="majorHAnsi" w:cstheme="majorHAnsi"/>
              </w:rPr>
              <w:fldChar w:fldCharType="begin" w:fldLock="1"/>
            </w:r>
            <w:r w:rsidR="00B57DD4">
              <w:rPr>
                <w:rFonts w:asciiTheme="majorHAnsi" w:hAnsiTheme="majorHAnsi" w:cstheme="majorHAnsi"/>
              </w:rPr>
              <w:instrText>ADDIN CSL_CITATION {"citationItems":[{"id":"ITEM-1","itemData":{"DOI":"10.2215/CJN.04200413","ISSN":"15559041","abstract":"Background and objectives The vast majority of US dialysis facilities are for-profit and profit status has been associated with processes of care and outcomes in patients on dialysis. This study examined whether dialysis facility profit status was associated with the rate of hospitalization in patients starting dialysis. Design, setting, participants, &amp; methods This was a retrospective cohort study of Medicare beneficiaries starting dialysis between 2005 and 2008 using data from the US Renal Data System. All-cause hospitalization was examined and compared between for-profit and nonprofit dialysis facilities through 2009 using Poisson regression. Companion analyses of cause-specific hospitalization that are likely to be influenced by dialysis facility practices including hospitalizations for heart failure and volume overload, access complications, or hyperkalemia were conducted. Results The cohort included 150,642 patients. Of these, 12,985 (9%) were receiving care in nonprofit dialysis facilities. In adjusted models, patients receiving hemodialysis in for-profit facilities had a 15% (95% confidence interval [95% CI], 13% to 18%) higher relative rate of hospitalization compared with those in nonprofit facilities. Among patients receiving peritoneal dialysis, the rate of hospitalization in for-profit versus nonprofit facilities was not significantly different (relative rate, 1.07; 95% CI, 0.97 to 1.17). Patients on hemodialysis receiving care in for-profit dialysis facilities had a 37% (95% CI, 31% to 44%) higher rate of hospitalization for heart failure or volume overload and a 15% (95% CI, 11% to 20%) higher rate of hospitalization for vascular access complications. Conclusions Hospitalization rates were significantly higher for patients receiving hemodialysis in for-profit compared with nonprofit dialysis facilities. © 2014 by the American Society of Nephrology.","author":[{"dropping-particle":"","family":"Dalrymple","given":"Lorien S.","non-dropping-particle":"","parse-names":false,"suffix":""},{"dropping-particle":"","family":"Johansen","given":"Kirsten L.","non-dropping-particle":"","parse-names":false,"suffix":""},{"dropping-particle":"","family":"Romano","given":"Patrick S.","non-dropping-particle":"","parse-names":false,"suffix":""},{"dropping-particle":"","family":"Chertow","given":"Glenn M.","non-dropping-particle":"","parse-names":false,"suffix":""},{"dropping-particle":"","family":"Mu","given":"Yi","non-dropping-particle":"","parse-names":false,"suffix":""},{"dropping-particle":"","family":"Ishida","given":"Julie H.","non-dropping-particle":"","parse-names":false,"suffix":""},{"dropping-particle":"","family":"Grimes","given":"Barbara","non-dropping-particle":"","parse-names":false,"suffix":""},{"dropping-particle":"","family":"Kaysen","given":"George A.","non-dropping-particle":"","parse-names":false,"suffix":""},{"dropping-particle":"V.","family":"Nguyen","given":"Danh","non-dropping-particle":"","parse-names":false,"suffix":""}],"container-title":"Clinical Journal of the American Society of Nephrology","id":"ITEM-1","issue":"1","issued":{"date-parts":[["2014"]]},"page":"73-81","title":"Comparison of hospitalization rates among for-profit and nonprofit dialysis facilities","type":"article-journal","volume":"9"},"uris":["http://www.mendeley.com/documents/?uuid=364ad048-9874-4493-ad83-a9af7516591a"]}],"mendeley":{"formattedCitation":"&lt;sup&gt;19&lt;/sup&gt;","plainTextFormattedCitation":"19","previouslyFormattedCitation":"&lt;sup&gt;19&lt;/sup&gt;"},"properties":{"noteIndex":0},"schema":"https://github.com/citation-style-language/schema/raw/master/csl-citation.json"}</w:instrText>
            </w:r>
            <w:r w:rsidR="008A6D89">
              <w:rPr>
                <w:rFonts w:asciiTheme="majorHAnsi" w:hAnsiTheme="majorHAnsi" w:cstheme="majorHAnsi"/>
              </w:rPr>
              <w:fldChar w:fldCharType="separate"/>
            </w:r>
            <w:r w:rsidR="00453869" w:rsidRPr="00453869">
              <w:rPr>
                <w:rFonts w:asciiTheme="majorHAnsi" w:hAnsiTheme="majorHAnsi" w:cstheme="majorHAnsi"/>
                <w:noProof/>
                <w:vertAlign w:val="superscript"/>
              </w:rPr>
              <w:t>19</w:t>
            </w:r>
            <w:r w:rsidR="008A6D89">
              <w:rPr>
                <w:rFonts w:asciiTheme="majorHAnsi" w:hAnsiTheme="majorHAnsi" w:cstheme="majorHAnsi"/>
              </w:rPr>
              <w:fldChar w:fldCharType="end"/>
            </w:r>
          </w:p>
        </w:tc>
        <w:tc>
          <w:tcPr>
            <w:tcW w:w="892" w:type="pct"/>
          </w:tcPr>
          <w:p w14:paraId="0FF9B9A3" w14:textId="77777777" w:rsidR="00062BE9" w:rsidRPr="00492C1A" w:rsidRDefault="00062BE9" w:rsidP="006331A0">
            <w:pPr>
              <w:jc w:val="both"/>
              <w:rPr>
                <w:rFonts w:asciiTheme="majorHAnsi" w:hAnsiTheme="majorHAnsi" w:cstheme="majorHAnsi"/>
              </w:rPr>
            </w:pPr>
            <w:r>
              <w:rPr>
                <w:rFonts w:asciiTheme="majorHAnsi" w:hAnsiTheme="majorHAnsi" w:cstheme="majorHAnsi"/>
              </w:rPr>
              <w:t xml:space="preserve">Estudiar la relación entre el ánimo de lucro </w:t>
            </w:r>
            <w:r w:rsidRPr="000010AC">
              <w:rPr>
                <w:rFonts w:asciiTheme="majorHAnsi" w:hAnsiTheme="majorHAnsi" w:cstheme="majorHAnsi"/>
              </w:rPr>
              <w:t xml:space="preserve">del centro de diálisis </w:t>
            </w:r>
            <w:r>
              <w:rPr>
                <w:rFonts w:asciiTheme="majorHAnsi" w:hAnsiTheme="majorHAnsi" w:cstheme="majorHAnsi"/>
              </w:rPr>
              <w:t>y la tasa de hospitalización.</w:t>
            </w:r>
          </w:p>
        </w:tc>
        <w:tc>
          <w:tcPr>
            <w:tcW w:w="1115" w:type="pct"/>
          </w:tcPr>
          <w:p w14:paraId="7A535264" w14:textId="77777777" w:rsidR="00062BE9" w:rsidRPr="00492C1A" w:rsidRDefault="00062BE9" w:rsidP="006331A0">
            <w:pPr>
              <w:jc w:val="both"/>
              <w:rPr>
                <w:rFonts w:asciiTheme="majorHAnsi" w:hAnsiTheme="majorHAnsi" w:cstheme="majorHAnsi"/>
              </w:rPr>
            </w:pPr>
            <w:r>
              <w:rPr>
                <w:rFonts w:asciiTheme="majorHAnsi" w:hAnsiTheme="majorHAnsi" w:cstheme="majorHAnsi"/>
              </w:rPr>
              <w:t xml:space="preserve">Pacientes incluidos en el registro </w:t>
            </w:r>
            <w:r w:rsidRPr="00492C1A">
              <w:rPr>
                <w:rFonts w:asciiTheme="majorHAnsi" w:hAnsiTheme="majorHAnsi" w:cstheme="majorHAnsi"/>
              </w:rPr>
              <w:t>USRDS</w:t>
            </w:r>
            <w:r>
              <w:rPr>
                <w:rFonts w:asciiTheme="majorHAnsi" w:hAnsiTheme="majorHAnsi" w:cstheme="majorHAnsi"/>
              </w:rPr>
              <w:t xml:space="preserve"> en diálisis entre 2005-2008</w:t>
            </w:r>
            <w:r w:rsidRPr="00492C1A">
              <w:rPr>
                <w:rFonts w:asciiTheme="majorHAnsi" w:hAnsiTheme="majorHAnsi" w:cstheme="majorHAnsi"/>
              </w:rPr>
              <w:t xml:space="preserve"> </w:t>
            </w:r>
            <w:r>
              <w:rPr>
                <w:rFonts w:asciiTheme="majorHAnsi" w:hAnsiTheme="majorHAnsi" w:cstheme="majorHAnsi"/>
              </w:rPr>
              <w:t xml:space="preserve">asegurados por </w:t>
            </w:r>
            <w:r w:rsidRPr="00492C1A">
              <w:rPr>
                <w:rFonts w:asciiTheme="majorHAnsi" w:hAnsiTheme="majorHAnsi" w:cstheme="majorHAnsi"/>
              </w:rPr>
              <w:t>Medicare</w:t>
            </w:r>
            <w:r>
              <w:rPr>
                <w:rFonts w:asciiTheme="majorHAnsi" w:hAnsiTheme="majorHAnsi" w:cstheme="majorHAnsi"/>
              </w:rPr>
              <w:t>.</w:t>
            </w:r>
            <w:r w:rsidRPr="00492C1A">
              <w:rPr>
                <w:rFonts w:asciiTheme="majorHAnsi" w:hAnsiTheme="majorHAnsi" w:cstheme="majorHAnsi"/>
              </w:rPr>
              <w:t xml:space="preserve"> </w:t>
            </w:r>
            <w:r>
              <w:rPr>
                <w:rFonts w:asciiTheme="majorHAnsi" w:hAnsiTheme="majorHAnsi" w:cstheme="majorHAnsi"/>
              </w:rPr>
              <w:t>Se excluyeron aquellos trasplantados o recuperaron función renal .</w:t>
            </w:r>
          </w:p>
        </w:tc>
        <w:tc>
          <w:tcPr>
            <w:tcW w:w="2635" w:type="pct"/>
          </w:tcPr>
          <w:p w14:paraId="698CBEA9" w14:textId="77777777" w:rsidR="00062BE9" w:rsidRPr="009C3FD2" w:rsidRDefault="00062BE9" w:rsidP="006331A0">
            <w:pPr>
              <w:jc w:val="both"/>
              <w:rPr>
                <w:rFonts w:asciiTheme="majorHAnsi" w:hAnsiTheme="majorHAnsi" w:cstheme="majorHAnsi"/>
              </w:rPr>
            </w:pPr>
            <w:r w:rsidRPr="009C3FD2">
              <w:rPr>
                <w:rFonts w:asciiTheme="majorHAnsi" w:hAnsiTheme="majorHAnsi" w:cstheme="majorHAnsi"/>
              </w:rPr>
              <w:t>La cohort</w:t>
            </w:r>
            <w:r>
              <w:rPr>
                <w:rFonts w:asciiTheme="majorHAnsi" w:hAnsiTheme="majorHAnsi" w:cstheme="majorHAnsi"/>
              </w:rPr>
              <w:t>e</w:t>
            </w:r>
            <w:r w:rsidRPr="009C3FD2">
              <w:rPr>
                <w:rFonts w:asciiTheme="majorHAnsi" w:hAnsiTheme="majorHAnsi" w:cstheme="majorHAnsi"/>
              </w:rPr>
              <w:t xml:space="preserve"> incluy</w:t>
            </w:r>
            <w:r>
              <w:rPr>
                <w:rFonts w:asciiTheme="majorHAnsi" w:hAnsiTheme="majorHAnsi" w:cstheme="majorHAnsi"/>
              </w:rPr>
              <w:t>ó</w:t>
            </w:r>
            <w:r w:rsidRPr="009C3FD2">
              <w:rPr>
                <w:rFonts w:asciiTheme="majorHAnsi" w:hAnsiTheme="majorHAnsi" w:cstheme="majorHAnsi"/>
              </w:rPr>
              <w:t xml:space="preserve"> 150.642 pacientes, de ellos 12.985 (9%) recibían </w:t>
            </w:r>
            <w:r>
              <w:rPr>
                <w:rFonts w:asciiTheme="majorHAnsi" w:hAnsiTheme="majorHAnsi" w:cstheme="majorHAnsi"/>
              </w:rPr>
              <w:t xml:space="preserve">sus cuidados en instalaciones sin ánimo de lucro. </w:t>
            </w:r>
            <w:r w:rsidRPr="0010570E">
              <w:rPr>
                <w:rFonts w:asciiTheme="majorHAnsi" w:hAnsiTheme="majorHAnsi" w:cstheme="majorHAnsi"/>
              </w:rPr>
              <w:t>Las tasas de hospitalización fueron significativamente más altas para los pacientes que recibieron hemodiálisis con fines de lucro 15% (</w:t>
            </w:r>
            <w:r>
              <w:rPr>
                <w:rFonts w:asciiTheme="majorHAnsi" w:hAnsiTheme="majorHAnsi" w:cstheme="majorHAnsi"/>
              </w:rPr>
              <w:t>IC</w:t>
            </w:r>
            <w:r w:rsidRPr="0010570E">
              <w:rPr>
                <w:rFonts w:asciiTheme="majorHAnsi" w:hAnsiTheme="majorHAnsi" w:cstheme="majorHAnsi"/>
              </w:rPr>
              <w:t>95%</w:t>
            </w:r>
            <w:r>
              <w:rPr>
                <w:rFonts w:asciiTheme="majorHAnsi" w:hAnsiTheme="majorHAnsi" w:cstheme="majorHAnsi"/>
              </w:rPr>
              <w:t>:</w:t>
            </w:r>
            <w:r w:rsidRPr="0010570E">
              <w:rPr>
                <w:rFonts w:asciiTheme="majorHAnsi" w:hAnsiTheme="majorHAnsi" w:cstheme="majorHAnsi"/>
              </w:rPr>
              <w:t xml:space="preserve"> 13%</w:t>
            </w:r>
            <w:r>
              <w:rPr>
                <w:rFonts w:asciiTheme="majorHAnsi" w:hAnsiTheme="majorHAnsi" w:cstheme="majorHAnsi"/>
              </w:rPr>
              <w:t>-</w:t>
            </w:r>
            <w:r w:rsidRPr="0010570E">
              <w:rPr>
                <w:rFonts w:asciiTheme="majorHAnsi" w:hAnsiTheme="majorHAnsi" w:cstheme="majorHAnsi"/>
              </w:rPr>
              <w:t>18%) en comparación con los centros de diálisis sin fines de lucro</w:t>
            </w:r>
            <w:r>
              <w:rPr>
                <w:rFonts w:asciiTheme="majorHAnsi" w:hAnsiTheme="majorHAnsi" w:cstheme="majorHAnsi"/>
              </w:rPr>
              <w:t xml:space="preserve"> </w:t>
            </w:r>
            <w:r w:rsidRPr="0010570E">
              <w:rPr>
                <w:rFonts w:asciiTheme="majorHAnsi" w:hAnsiTheme="majorHAnsi" w:cstheme="majorHAnsi"/>
              </w:rPr>
              <w:t>.</w:t>
            </w:r>
          </w:p>
        </w:tc>
      </w:tr>
      <w:tr w:rsidR="00062BE9" w:rsidRPr="00FF47F5" w14:paraId="75D2A11E" w14:textId="77777777" w:rsidTr="00F276F8">
        <w:tc>
          <w:tcPr>
            <w:tcW w:w="358" w:type="pct"/>
          </w:tcPr>
          <w:p w14:paraId="308B26E1" w14:textId="209A30C0" w:rsidR="00062BE9" w:rsidRPr="009C3FD2" w:rsidRDefault="00062BE9" w:rsidP="00453869">
            <w:pPr>
              <w:jc w:val="both"/>
              <w:rPr>
                <w:rFonts w:asciiTheme="majorHAnsi" w:hAnsiTheme="majorHAnsi" w:cstheme="majorHAnsi"/>
              </w:rPr>
            </w:pPr>
            <w:r w:rsidRPr="00472322">
              <w:rPr>
                <w:rFonts w:ascii="Calibri Light" w:hAnsi="Calibri Light" w:cs="Calibri Light"/>
                <w:noProof/>
                <w:szCs w:val="24"/>
              </w:rPr>
              <w:t>Fischer (2010)</w:t>
            </w:r>
            <w:r w:rsidR="00324BBE">
              <w:rPr>
                <w:rFonts w:ascii="Calibri Light" w:hAnsi="Calibri Light" w:cs="Calibri Light"/>
                <w:noProof/>
                <w:szCs w:val="24"/>
                <w:lang w:val="fr-FR"/>
              </w:rPr>
              <w:fldChar w:fldCharType="begin" w:fldLock="1"/>
            </w:r>
            <w:r w:rsidR="00B57DD4" w:rsidRPr="00472322">
              <w:rPr>
                <w:rFonts w:ascii="Calibri Light" w:hAnsi="Calibri Light" w:cs="Calibri Light"/>
                <w:noProof/>
                <w:szCs w:val="24"/>
              </w:rPr>
              <w:instrText>ADDIN CSL_CITATION {"citationItems":[{"id":"ITEM-1","itemData":{"ISSN":"1936-2692 (Electronic)","PMID":"20148611","abstract":"OBJECTIVE: To examine the effect of exclusive and dual use of Department of Veterans Affairs (VA) and Medicare healthcare systems on outpatient predialysis nephrology care. STUDY DESIGN: Retrospective cohort study. METHODS: Receipt, timeliness, and intensity of predialysis nephrology care were evaluated among 8033 veterans who initiated dialysis in 2000 and 2001 and were eligible for both VA and Medicare coverage in the 12 months preceding dialysis initiation. Propensity scores were incorporated into analyses to minimize potential selection bias from nonrandom veteran allocation to healthcare systems. RESULTS: Among the cohort, 17.4% were users of VA services only (VA-only users), 38.5% were users of Medicare-covered services only (Medicare-only users</w:instrText>
            </w:r>
            <w:r w:rsidR="00B57DD4">
              <w:rPr>
                <w:rFonts w:ascii="Calibri Light" w:hAnsi="Calibri Light" w:cs="Calibri Light"/>
                <w:noProof/>
                <w:szCs w:val="24"/>
                <w:lang w:val="fr-FR"/>
              </w:rPr>
              <w:instrText>), and 44.1% were users of both VA and Medicare-covered services (dual users). Sixty-six percent of VA-only and dual users and 58.1% of Medicare-only users received predialysis nephrology care. Compared with Medicare-only users, dual users were more likely (risk ratio [RR], 1.12; 95% confidence interval [CI], 1.07-1.17) and VA-only users were as likely (RR, 0.98; 95% CI, 0.88-1.08) to have received predialysis nephrology care. Compared with Medicare-only use, VA-only use (RR, 0.63; 95% CI, 0.50-0.81) and dual use (RR, 0.78; 95% CI, 0.70-0.88) were associated with a lower likelihood of late nephrology care (&lt;3 months before dialysis initiation). CONCLUSIONS: More than one-third of older veterans initiating dialysis do not receive nephrology care beforehand. Dual use of VA and Medicare-covered services was associated with greater receipt and favorable timeliness of predialysis nephrology care, while use of only Medicare-covered services was associated with late predialysis nephrology care. Further studies to identify reasons for system-level variations in access to predialysis nephrology care may assist in identifying opportunities for improvement.","author":[{"dropping-particle":"","family":"Fi</w:instrText>
            </w:r>
            <w:r w:rsidR="00B57DD4" w:rsidRPr="00472322">
              <w:rPr>
                <w:rFonts w:ascii="Calibri Light" w:hAnsi="Calibri Light" w:cs="Calibri Light"/>
                <w:noProof/>
                <w:szCs w:val="24"/>
              </w:rPr>
              <w:instrText>scher","given":"Michael J","non-dropping-particle":"","parse-names":false,"suffix":""},{"dropping-particle":"","family":"Stroupe","given":"Kevin T","non-dropping-particle":"","parse-names":false,"suffix":""},{"dropping-particle":"","family":"Kaufman","given":"James S","non-dropping-particle":"","parse-names":false,"suffix":""},{"dropping-particle":"","family":"O'Hare","given":"Ann M","non-dropping-particle":"","parse-names":false,"suffix":""},{"dropping-particle":"","family":"Browning","given":"Margaret M","non-dropping-particle":"","parse-names":false,"suffix":""},{"dropping-particle":"","family":"Huo","given":"Zhiping","non-dropping-particle":"","parse-names":false,"suffix":""},{"dropping-particle":"","family":"Hynes","given":"Denise M","non-dropping-particle":"","parse-names":false,"suffix":""}],"container-title":"The American journal of managed care","id":"ITEM-1","issue":"2","issued":{"date-parts":[["2010"]]},"language":"eng","page":"e57-66","publisher-place":"United States","title":"Predialysis nephrology care among older veterans using Department of Veterans Affairs or Medicare-covered services.","type":"article-journal","volume":"16"},"uris":["http://www.mendeley.com/documents/?uuid=6559140d-ee04-4c07-a423-2d5331ec0aea"]}],"mendeley":{"formattedCitation":"&lt;sup&gt;21&lt;/sup&gt;","plainTextFormattedCitation":"21","previouslyFormattedCitation":"&lt;sup&gt;21&lt;/sup&gt;"},"properties":{"noteIndex":0},"schema":"https://github.com/citation-style-language/schema/raw/master/csl-citation.json"}</w:instrText>
            </w:r>
            <w:r w:rsidR="00324BBE">
              <w:rPr>
                <w:rFonts w:ascii="Calibri Light" w:hAnsi="Calibri Light" w:cs="Calibri Light"/>
                <w:noProof/>
                <w:szCs w:val="24"/>
                <w:lang w:val="fr-FR"/>
              </w:rPr>
              <w:fldChar w:fldCharType="separate"/>
            </w:r>
            <w:r w:rsidR="00453869" w:rsidRPr="00472322">
              <w:rPr>
                <w:rFonts w:ascii="Calibri Light" w:hAnsi="Calibri Light" w:cs="Calibri Light"/>
                <w:noProof/>
                <w:szCs w:val="24"/>
                <w:vertAlign w:val="superscript"/>
              </w:rPr>
              <w:t>21</w:t>
            </w:r>
            <w:r w:rsidR="00324BBE">
              <w:rPr>
                <w:rFonts w:ascii="Calibri Light" w:hAnsi="Calibri Light" w:cs="Calibri Light"/>
                <w:noProof/>
                <w:szCs w:val="24"/>
                <w:lang w:val="fr-FR"/>
              </w:rPr>
              <w:fldChar w:fldCharType="end"/>
            </w:r>
          </w:p>
        </w:tc>
        <w:tc>
          <w:tcPr>
            <w:tcW w:w="892" w:type="pct"/>
          </w:tcPr>
          <w:p w14:paraId="655F4ABF" w14:textId="77777777" w:rsidR="00062BE9" w:rsidRPr="009C3FD2" w:rsidRDefault="00062BE9" w:rsidP="006331A0">
            <w:pPr>
              <w:jc w:val="both"/>
              <w:rPr>
                <w:rFonts w:asciiTheme="majorHAnsi" w:hAnsiTheme="majorHAnsi" w:cstheme="majorHAnsi"/>
              </w:rPr>
            </w:pPr>
            <w:r>
              <w:rPr>
                <w:rFonts w:asciiTheme="majorHAnsi" w:hAnsiTheme="majorHAnsi" w:cstheme="majorHAnsi"/>
              </w:rPr>
              <w:t>E</w:t>
            </w:r>
            <w:r w:rsidRPr="00231F59">
              <w:rPr>
                <w:rFonts w:asciiTheme="majorHAnsi" w:hAnsiTheme="majorHAnsi" w:cstheme="majorHAnsi"/>
              </w:rPr>
              <w:t xml:space="preserve">xaminar el efecto del uso exclusivo </w:t>
            </w:r>
            <w:r>
              <w:rPr>
                <w:rFonts w:asciiTheme="majorHAnsi" w:hAnsiTheme="majorHAnsi" w:cstheme="majorHAnsi"/>
              </w:rPr>
              <w:t>de servicios de predialisis o no en pacientes ambulatorios.</w:t>
            </w:r>
          </w:p>
        </w:tc>
        <w:tc>
          <w:tcPr>
            <w:tcW w:w="1115" w:type="pct"/>
          </w:tcPr>
          <w:p w14:paraId="13C36665" w14:textId="77777777" w:rsidR="00062BE9" w:rsidRPr="009C3FD2" w:rsidRDefault="00062BE9" w:rsidP="006331A0">
            <w:pPr>
              <w:jc w:val="both"/>
              <w:rPr>
                <w:rFonts w:asciiTheme="majorHAnsi" w:hAnsiTheme="majorHAnsi" w:cstheme="majorHAnsi"/>
              </w:rPr>
            </w:pPr>
            <w:r>
              <w:rPr>
                <w:rFonts w:asciiTheme="majorHAnsi" w:hAnsiTheme="majorHAnsi" w:cstheme="majorHAnsi"/>
              </w:rPr>
              <w:t xml:space="preserve">Cohorte retrospectiva con sujetos </w:t>
            </w:r>
            <w:r w:rsidRPr="005E29BF">
              <w:rPr>
                <w:rFonts w:asciiTheme="majorHAnsi" w:hAnsiTheme="majorHAnsi" w:cstheme="majorHAnsi"/>
              </w:rPr>
              <w:t xml:space="preserve">que iniciaron la diálisis en 2000 y 2001 y fueron elegibles para la cobertura de </w:t>
            </w:r>
            <w:r>
              <w:rPr>
                <w:rFonts w:asciiTheme="majorHAnsi" w:hAnsiTheme="majorHAnsi" w:cstheme="majorHAnsi"/>
              </w:rPr>
              <w:t>veteranos (</w:t>
            </w:r>
            <w:r w:rsidRPr="005E29BF">
              <w:rPr>
                <w:rFonts w:asciiTheme="majorHAnsi" w:hAnsiTheme="majorHAnsi" w:cstheme="majorHAnsi"/>
              </w:rPr>
              <w:t>VA</w:t>
            </w:r>
            <w:r>
              <w:rPr>
                <w:rFonts w:asciiTheme="majorHAnsi" w:hAnsiTheme="majorHAnsi" w:cstheme="majorHAnsi"/>
              </w:rPr>
              <w:t>)</w:t>
            </w:r>
            <w:r w:rsidRPr="005E29BF">
              <w:rPr>
                <w:rFonts w:asciiTheme="majorHAnsi" w:hAnsiTheme="majorHAnsi" w:cstheme="majorHAnsi"/>
              </w:rPr>
              <w:t xml:space="preserve"> y Medicare en los 12 meses anteriores al inicio de la diálisis.</w:t>
            </w:r>
          </w:p>
        </w:tc>
        <w:tc>
          <w:tcPr>
            <w:tcW w:w="2635" w:type="pct"/>
          </w:tcPr>
          <w:p w14:paraId="4A3BDE79" w14:textId="77777777" w:rsidR="00062BE9" w:rsidRPr="00DF5D34" w:rsidRDefault="00062BE9" w:rsidP="006331A0">
            <w:pPr>
              <w:jc w:val="both"/>
              <w:rPr>
                <w:rFonts w:asciiTheme="majorHAnsi" w:hAnsiTheme="majorHAnsi" w:cstheme="majorHAnsi"/>
              </w:rPr>
            </w:pPr>
            <w:r w:rsidRPr="00F276F8">
              <w:rPr>
                <w:rFonts w:asciiTheme="majorHAnsi" w:hAnsiTheme="majorHAnsi" w:cstheme="majorHAnsi"/>
              </w:rPr>
              <w:t>Un total de 1.395 recibieron únicamente servicios de VA, mientras que 3.093 usaron los de Medicare y 3.545 utilizaban ambos. Aquellos que usaban ambos servicios mostraron una mayor probabilidad de recibir cuidados de prediálisis (RR: 1,12; IC95%: 1,07-1,17), no existiendo diferencias con los usuarios de ambos servicios (RR: 0,98; IC95%: 0.88-1.08). Igualmente, aquellos de VA (RR, 0,63; IC95%: 0,50-0,81) y de uso doble (RR, 0,78; IC95%: 0,70-0,88) se asociaron con una menor probabilidad de atención nefrológica tardía (&lt;3 meses antes del inicio de la diálisis), comparado con los usuarios únicos de Medicare.</w:t>
            </w:r>
          </w:p>
        </w:tc>
      </w:tr>
      <w:tr w:rsidR="00062BE9" w:rsidRPr="00FF47F5" w14:paraId="22BF8B05" w14:textId="77777777" w:rsidTr="00F276F8">
        <w:tc>
          <w:tcPr>
            <w:tcW w:w="358" w:type="pct"/>
          </w:tcPr>
          <w:p w14:paraId="2C7C01F2" w14:textId="6C94BFD0" w:rsidR="00062BE9" w:rsidRPr="00FF47F5" w:rsidRDefault="00062BE9" w:rsidP="00453869">
            <w:pPr>
              <w:jc w:val="both"/>
              <w:rPr>
                <w:rFonts w:asciiTheme="majorHAnsi" w:hAnsiTheme="majorHAnsi" w:cstheme="majorHAnsi"/>
              </w:rPr>
            </w:pPr>
            <w:r>
              <w:rPr>
                <w:rFonts w:asciiTheme="majorHAnsi" w:hAnsiTheme="majorHAnsi" w:cstheme="majorHAnsi"/>
              </w:rPr>
              <w:t>Hurst (2010)</w:t>
            </w:r>
            <w:r w:rsidR="00324BBE">
              <w:rPr>
                <w:rFonts w:asciiTheme="majorHAnsi" w:hAnsiTheme="majorHAnsi" w:cstheme="majorHAnsi"/>
              </w:rPr>
              <w:fldChar w:fldCharType="begin" w:fldLock="1"/>
            </w:r>
            <w:r w:rsidR="00B57DD4">
              <w:rPr>
                <w:rFonts w:asciiTheme="majorHAnsi" w:hAnsiTheme="majorHAnsi" w:cstheme="majorHAnsi"/>
              </w:rPr>
              <w:instrText>ADDIN CSL_CITATION {"citationItems":[{"id":"ITEM-1","itemData":{"DOI":"10.1681/ASN.2010010025","ISSN":"1533-3450 (Electronic)","PMID":"20705713","abstract":"A higher proportion of patients initiate hemodialysis (HD) with an arteriovenous fistula (AVF) in countries with universal health care systems compared with the United States. Because federally sponsored national health care organizations in the United States, such as the Department of Veterans Affairs (DVA) and the Department of Defense (DoD), are similar to a universal health care model, we studied AVF use within these organizations. We used the US Renal Data System database to perform a cross-sectional analysis of patients who initiated HD between 2005 and 2006. Patients who received predialysis nephrology care had 10-fold greater odds of initiating dialysis with an AVF (adjusted odds ratio [aOR] 10.3; 95% confidence interval [CI] 9.6 to 11.1). DVA/DoD insurance also independently associated with initiating HD with an AVF (aOR 1.4; 95% CI 1.2 to 1.5). Fewer patients initiated HD at a DoD facility, but these patients were also approximately twice as likely to use an AVF (aOR 2.3; 95% CI 1.2 to 4.6). In conclusion, patients in DVA/DoD systems are significantly more likely to use an AVF at initiation of HD than patients with other insurance types, including Medicare. Further study of these federal systems may identify practices that could improve processes of care across health care systems to increase the number of patients who initiate HD with an AVF.","author":[{"dropping-particle":"","family":"Hurst","given":"Frank P","non-dropping-particle":"","parse-names":false,"suffix":""},{"dropping-particle":"","family":"Abbott","given":"Kevin C","non-dropping-particle":"","parse-names":false,"suffix":""},{"dropping-particle":"","family":"Raj","given":"Dominic","non-dropping-particle":"","parse-names":false,"suffix":""},{"dropping-particle":"","family":"Krishnan","given":"Mahesh","non-dropping-particle":"","parse-names":false,"suffix":""},{"dropping-particle":"","family":"Palant","given":"Carlos E","non-dropping-particle":"","parse-names":false,"suffix":""},{"dropping-particle":"","family":"Agodoa","given":"Lawrence Y","non-dropping-particle":"","parse-names":false,"suffix":""},{"dropping-particle":"","family":"Jindal","given":"Rahul M","non-dropping-particle":"","parse-names":false,"suffix":""}],"container-title":"Journal of the American Society of Nephrology : JASN","id":"ITEM-1","issue":"9","issued":{"date-parts":[["2010"]]},"language":"eng","page":"1571-1577","publisher-place":"United States","title":"Arteriovenous fistulas among incident hemodialysis patients in Department of Defense and Veterans Affairs facilities.","type":"article-journal","volume":"21"},"uris":["http://www.mendeley.com/documents/?uuid=ea6db942-8837-4169-be48-7657ae501d94"]}],"mendeley":{"formattedCitation":"&lt;sup&gt;22&lt;/sup&gt;","plainTextFormattedCitation":"22","previouslyFormattedCitation":"&lt;sup&gt;22&lt;/sup&gt;"},"properties":{"noteIndex":0},"schema":"https://github.com/citation-style-language/schema/raw/master/csl-citation.json"}</w:instrText>
            </w:r>
            <w:r w:rsidR="00324BBE">
              <w:rPr>
                <w:rFonts w:asciiTheme="majorHAnsi" w:hAnsiTheme="majorHAnsi" w:cstheme="majorHAnsi"/>
              </w:rPr>
              <w:fldChar w:fldCharType="separate"/>
            </w:r>
            <w:r w:rsidR="00453869" w:rsidRPr="00453869">
              <w:rPr>
                <w:rFonts w:asciiTheme="majorHAnsi" w:hAnsiTheme="majorHAnsi" w:cstheme="majorHAnsi"/>
                <w:noProof/>
                <w:vertAlign w:val="superscript"/>
              </w:rPr>
              <w:t>22</w:t>
            </w:r>
            <w:r w:rsidR="00324BBE">
              <w:rPr>
                <w:rFonts w:asciiTheme="majorHAnsi" w:hAnsiTheme="majorHAnsi" w:cstheme="majorHAnsi"/>
              </w:rPr>
              <w:fldChar w:fldCharType="end"/>
            </w:r>
          </w:p>
        </w:tc>
        <w:tc>
          <w:tcPr>
            <w:tcW w:w="892" w:type="pct"/>
          </w:tcPr>
          <w:p w14:paraId="2C63791B" w14:textId="77777777" w:rsidR="00062BE9" w:rsidRPr="00D24292" w:rsidRDefault="00062BE9" w:rsidP="006331A0">
            <w:pPr>
              <w:jc w:val="both"/>
              <w:rPr>
                <w:rFonts w:asciiTheme="majorHAnsi" w:hAnsiTheme="majorHAnsi" w:cstheme="majorHAnsi"/>
              </w:rPr>
            </w:pPr>
            <w:r>
              <w:rPr>
                <w:rFonts w:asciiTheme="majorHAnsi" w:hAnsiTheme="majorHAnsi" w:cstheme="majorHAnsi"/>
              </w:rPr>
              <w:t>E</w:t>
            </w:r>
            <w:r w:rsidRPr="00D24292">
              <w:rPr>
                <w:rFonts w:asciiTheme="majorHAnsi" w:hAnsiTheme="majorHAnsi" w:cstheme="majorHAnsi"/>
              </w:rPr>
              <w:t xml:space="preserve">valuar el uso de </w:t>
            </w:r>
            <w:r>
              <w:rPr>
                <w:rFonts w:asciiTheme="majorHAnsi" w:hAnsiTheme="majorHAnsi" w:cstheme="majorHAnsi"/>
              </w:rPr>
              <w:t xml:space="preserve">Fístula arteriovenosa </w:t>
            </w:r>
            <w:r w:rsidRPr="00D24292">
              <w:rPr>
                <w:rFonts w:asciiTheme="majorHAnsi" w:hAnsiTheme="majorHAnsi" w:cstheme="majorHAnsi"/>
              </w:rPr>
              <w:t xml:space="preserve">en organizaciones nacionales </w:t>
            </w:r>
            <w:r>
              <w:rPr>
                <w:rFonts w:asciiTheme="majorHAnsi" w:hAnsiTheme="majorHAnsi" w:cstheme="majorHAnsi"/>
              </w:rPr>
              <w:t>frente a</w:t>
            </w:r>
            <w:r w:rsidRPr="00D24292">
              <w:rPr>
                <w:rFonts w:asciiTheme="majorHAnsi" w:hAnsiTheme="majorHAnsi" w:cstheme="majorHAnsi"/>
              </w:rPr>
              <w:t xml:space="preserve"> los </w:t>
            </w:r>
            <w:r>
              <w:rPr>
                <w:rFonts w:asciiTheme="majorHAnsi" w:hAnsiTheme="majorHAnsi" w:cstheme="majorHAnsi"/>
              </w:rPr>
              <w:t>VA</w:t>
            </w:r>
            <w:r w:rsidRPr="00D24292">
              <w:rPr>
                <w:rFonts w:asciiTheme="majorHAnsi" w:hAnsiTheme="majorHAnsi" w:cstheme="majorHAnsi"/>
              </w:rPr>
              <w:t xml:space="preserve"> y e</w:t>
            </w:r>
            <w:r>
              <w:rPr>
                <w:rFonts w:asciiTheme="majorHAnsi" w:hAnsiTheme="majorHAnsi" w:cstheme="majorHAnsi"/>
              </w:rPr>
              <w:t>l DoD.</w:t>
            </w:r>
          </w:p>
        </w:tc>
        <w:tc>
          <w:tcPr>
            <w:tcW w:w="1115" w:type="pct"/>
          </w:tcPr>
          <w:p w14:paraId="7F29D2A0" w14:textId="77777777" w:rsidR="00062BE9" w:rsidRPr="00D24292" w:rsidRDefault="00062BE9" w:rsidP="006331A0">
            <w:pPr>
              <w:jc w:val="both"/>
              <w:rPr>
                <w:rFonts w:asciiTheme="majorHAnsi" w:hAnsiTheme="majorHAnsi" w:cstheme="majorHAnsi"/>
              </w:rPr>
            </w:pPr>
            <w:r w:rsidRPr="00D24292">
              <w:rPr>
                <w:rFonts w:asciiTheme="majorHAnsi" w:hAnsiTheme="majorHAnsi" w:cstheme="majorHAnsi"/>
              </w:rPr>
              <w:t>Estudio transversal con pacientes que iniciaron diálisis entre 2005 y 2</w:t>
            </w:r>
            <w:r>
              <w:rPr>
                <w:rFonts w:asciiTheme="majorHAnsi" w:hAnsiTheme="majorHAnsi" w:cstheme="majorHAnsi"/>
              </w:rPr>
              <w:t>006 e incluidos en la USRDS.</w:t>
            </w:r>
          </w:p>
          <w:p w14:paraId="028251D2" w14:textId="77777777" w:rsidR="00062BE9" w:rsidRPr="00D24292" w:rsidRDefault="00062BE9" w:rsidP="006331A0">
            <w:pPr>
              <w:jc w:val="both"/>
              <w:rPr>
                <w:rFonts w:asciiTheme="majorHAnsi" w:hAnsiTheme="majorHAnsi" w:cstheme="majorHAnsi"/>
              </w:rPr>
            </w:pPr>
          </w:p>
        </w:tc>
        <w:tc>
          <w:tcPr>
            <w:tcW w:w="2635" w:type="pct"/>
          </w:tcPr>
          <w:p w14:paraId="5C8984FB" w14:textId="0C021892" w:rsidR="00062BE9" w:rsidRPr="00FF47F5" w:rsidRDefault="00062BE9" w:rsidP="009B01CF">
            <w:pPr>
              <w:jc w:val="both"/>
              <w:rPr>
                <w:rFonts w:asciiTheme="majorHAnsi" w:hAnsiTheme="majorHAnsi" w:cstheme="majorHAnsi"/>
              </w:rPr>
            </w:pPr>
            <w:r w:rsidRPr="004F2456">
              <w:rPr>
                <w:rFonts w:asciiTheme="majorHAnsi" w:hAnsiTheme="majorHAnsi" w:cstheme="majorHAnsi"/>
              </w:rPr>
              <w:t>Un total de 129,525 pacientes que tenían Centros de Servicios de Medicare y Medicaid (CMS) disponibles</w:t>
            </w:r>
            <w:r>
              <w:rPr>
                <w:rFonts w:asciiTheme="majorHAnsi" w:hAnsiTheme="majorHAnsi" w:cstheme="majorHAnsi"/>
              </w:rPr>
              <w:t xml:space="preserve">, de ellos </w:t>
            </w:r>
            <w:r w:rsidRPr="007F59A9">
              <w:rPr>
                <w:rFonts w:asciiTheme="majorHAnsi" w:hAnsiTheme="majorHAnsi" w:cstheme="majorHAnsi"/>
              </w:rPr>
              <w:t>17</w:t>
            </w:r>
            <w:r>
              <w:rPr>
                <w:rFonts w:asciiTheme="majorHAnsi" w:hAnsiTheme="majorHAnsi" w:cstheme="majorHAnsi"/>
              </w:rPr>
              <w:t>.</w:t>
            </w:r>
            <w:r w:rsidRPr="007F59A9">
              <w:rPr>
                <w:rFonts w:asciiTheme="majorHAnsi" w:hAnsiTheme="majorHAnsi" w:cstheme="majorHAnsi"/>
              </w:rPr>
              <w:t>110 (13</w:t>
            </w:r>
            <w:r>
              <w:rPr>
                <w:rFonts w:asciiTheme="majorHAnsi" w:hAnsiTheme="majorHAnsi" w:cstheme="majorHAnsi"/>
              </w:rPr>
              <w:t>,</w:t>
            </w:r>
            <w:r w:rsidRPr="007F59A9">
              <w:rPr>
                <w:rFonts w:asciiTheme="majorHAnsi" w:hAnsiTheme="majorHAnsi" w:cstheme="majorHAnsi"/>
              </w:rPr>
              <w:t>2%) ini</w:t>
            </w:r>
            <w:r>
              <w:rPr>
                <w:rFonts w:asciiTheme="majorHAnsi" w:hAnsiTheme="majorHAnsi" w:cstheme="majorHAnsi"/>
              </w:rPr>
              <w:t>c</w:t>
            </w:r>
            <w:r w:rsidRPr="007F59A9">
              <w:rPr>
                <w:rFonts w:asciiTheme="majorHAnsi" w:hAnsiTheme="majorHAnsi" w:cstheme="majorHAnsi"/>
              </w:rPr>
              <w:t>ia</w:t>
            </w:r>
            <w:r>
              <w:rPr>
                <w:rFonts w:asciiTheme="majorHAnsi" w:hAnsiTheme="majorHAnsi" w:cstheme="majorHAnsi"/>
              </w:rPr>
              <w:t xml:space="preserve">ron </w:t>
            </w:r>
            <w:r w:rsidR="009B01CF">
              <w:rPr>
                <w:rFonts w:asciiTheme="majorHAnsi" w:hAnsiTheme="majorHAnsi" w:cstheme="majorHAnsi"/>
              </w:rPr>
              <w:t>HD</w:t>
            </w:r>
            <w:r>
              <w:rPr>
                <w:rFonts w:asciiTheme="majorHAnsi" w:hAnsiTheme="majorHAnsi" w:cstheme="majorHAnsi"/>
              </w:rPr>
              <w:t xml:space="preserve"> con FAV</w:t>
            </w:r>
            <w:r w:rsidRPr="007F59A9">
              <w:rPr>
                <w:rFonts w:asciiTheme="majorHAnsi" w:hAnsiTheme="majorHAnsi" w:cstheme="majorHAnsi"/>
              </w:rPr>
              <w:t>.</w:t>
            </w:r>
            <w:r>
              <w:rPr>
                <w:rFonts w:asciiTheme="majorHAnsi" w:hAnsiTheme="majorHAnsi" w:cstheme="majorHAnsi"/>
              </w:rPr>
              <w:t xml:space="preserve"> En cuanto a la atención el </w:t>
            </w:r>
            <w:r w:rsidRPr="007F59A9">
              <w:rPr>
                <w:rFonts w:asciiTheme="majorHAnsi" w:hAnsiTheme="majorHAnsi" w:cstheme="majorHAnsi"/>
              </w:rPr>
              <w:t>27,2%</w:t>
            </w:r>
            <w:r>
              <w:rPr>
                <w:rFonts w:asciiTheme="majorHAnsi" w:hAnsiTheme="majorHAnsi" w:cstheme="majorHAnsi"/>
              </w:rPr>
              <w:t xml:space="preserve"> fue atendido en DoD, </w:t>
            </w:r>
            <w:r w:rsidRPr="007F59A9">
              <w:rPr>
                <w:rFonts w:asciiTheme="majorHAnsi" w:hAnsiTheme="majorHAnsi" w:cstheme="majorHAnsi"/>
              </w:rPr>
              <w:t>18,5%</w:t>
            </w:r>
            <w:r>
              <w:rPr>
                <w:rFonts w:asciiTheme="majorHAnsi" w:hAnsiTheme="majorHAnsi" w:cstheme="majorHAnsi"/>
              </w:rPr>
              <w:t xml:space="preserve"> </w:t>
            </w:r>
            <w:r w:rsidRPr="007F59A9">
              <w:rPr>
                <w:rFonts w:asciiTheme="majorHAnsi" w:hAnsiTheme="majorHAnsi" w:cstheme="majorHAnsi"/>
              </w:rPr>
              <w:t>grupo de empleadores</w:t>
            </w:r>
            <w:r>
              <w:rPr>
                <w:rFonts w:asciiTheme="majorHAnsi" w:hAnsiTheme="majorHAnsi" w:cstheme="majorHAnsi"/>
              </w:rPr>
              <w:t xml:space="preserve">, </w:t>
            </w:r>
            <w:r w:rsidRPr="007F59A9">
              <w:rPr>
                <w:rFonts w:asciiTheme="majorHAnsi" w:hAnsiTheme="majorHAnsi" w:cstheme="majorHAnsi"/>
              </w:rPr>
              <w:t>16,7%</w:t>
            </w:r>
            <w:r>
              <w:rPr>
                <w:rFonts w:asciiTheme="majorHAnsi" w:hAnsiTheme="majorHAnsi" w:cstheme="majorHAnsi"/>
              </w:rPr>
              <w:t xml:space="preserve"> </w:t>
            </w:r>
            <w:r w:rsidRPr="007F59A9">
              <w:rPr>
                <w:rFonts w:asciiTheme="majorHAnsi" w:hAnsiTheme="majorHAnsi" w:cstheme="majorHAnsi"/>
              </w:rPr>
              <w:t>otros seguros</w:t>
            </w:r>
            <w:r>
              <w:rPr>
                <w:rFonts w:asciiTheme="majorHAnsi" w:hAnsiTheme="majorHAnsi" w:cstheme="majorHAnsi"/>
              </w:rPr>
              <w:t xml:space="preserve">, </w:t>
            </w:r>
            <w:r w:rsidRPr="007F59A9">
              <w:rPr>
                <w:rFonts w:asciiTheme="majorHAnsi" w:hAnsiTheme="majorHAnsi" w:cstheme="majorHAnsi"/>
              </w:rPr>
              <w:t>15,6%</w:t>
            </w:r>
            <w:r>
              <w:rPr>
                <w:rFonts w:asciiTheme="majorHAnsi" w:hAnsiTheme="majorHAnsi" w:cstheme="majorHAnsi"/>
              </w:rPr>
              <w:t xml:space="preserve"> </w:t>
            </w:r>
            <w:r w:rsidRPr="007F59A9">
              <w:rPr>
                <w:rFonts w:asciiTheme="majorHAnsi" w:hAnsiTheme="majorHAnsi" w:cstheme="majorHAnsi"/>
              </w:rPr>
              <w:t>Medicare</w:t>
            </w:r>
            <w:r>
              <w:rPr>
                <w:rFonts w:asciiTheme="majorHAnsi" w:hAnsiTheme="majorHAnsi" w:cstheme="majorHAnsi"/>
              </w:rPr>
              <w:t xml:space="preserve">, </w:t>
            </w:r>
            <w:r w:rsidRPr="007F59A9">
              <w:rPr>
                <w:rFonts w:asciiTheme="majorHAnsi" w:hAnsiTheme="majorHAnsi" w:cstheme="majorHAnsi"/>
              </w:rPr>
              <w:t>13,0%</w:t>
            </w:r>
            <w:r>
              <w:rPr>
                <w:rFonts w:asciiTheme="majorHAnsi" w:hAnsiTheme="majorHAnsi" w:cstheme="majorHAnsi"/>
              </w:rPr>
              <w:t xml:space="preserve"> </w:t>
            </w:r>
            <w:r w:rsidRPr="007F59A9">
              <w:rPr>
                <w:rFonts w:asciiTheme="majorHAnsi" w:hAnsiTheme="majorHAnsi" w:cstheme="majorHAnsi"/>
              </w:rPr>
              <w:t>Medicaid</w:t>
            </w:r>
            <w:r>
              <w:rPr>
                <w:rFonts w:asciiTheme="majorHAnsi" w:hAnsiTheme="majorHAnsi" w:cstheme="majorHAnsi"/>
              </w:rPr>
              <w:t xml:space="preserve"> y sin seguro</w:t>
            </w:r>
            <w:r w:rsidRPr="007F59A9">
              <w:rPr>
                <w:rFonts w:asciiTheme="majorHAnsi" w:hAnsiTheme="majorHAnsi" w:cstheme="majorHAnsi"/>
              </w:rPr>
              <w:t xml:space="preserve"> 8,2%.</w:t>
            </w:r>
            <w:r>
              <w:rPr>
                <w:rFonts w:asciiTheme="majorHAnsi" w:hAnsiTheme="majorHAnsi" w:cstheme="majorHAnsi"/>
              </w:rPr>
              <w:t xml:space="preserve"> Aquellos DoD </w:t>
            </w:r>
            <w:r w:rsidRPr="007F59A9">
              <w:rPr>
                <w:rFonts w:asciiTheme="majorHAnsi" w:hAnsiTheme="majorHAnsi" w:cstheme="majorHAnsi"/>
              </w:rPr>
              <w:t>inicia</w:t>
            </w:r>
            <w:r>
              <w:rPr>
                <w:rFonts w:asciiTheme="majorHAnsi" w:hAnsiTheme="majorHAnsi" w:cstheme="majorHAnsi"/>
              </w:rPr>
              <w:t xml:space="preserve">ron con mayor probabilidad con </w:t>
            </w:r>
            <w:r w:rsidRPr="007F59A9">
              <w:rPr>
                <w:rFonts w:asciiTheme="majorHAnsi" w:hAnsiTheme="majorHAnsi" w:cstheme="majorHAnsi"/>
              </w:rPr>
              <w:t>FAV (OR 1,82; IC95%: 1,67</w:t>
            </w:r>
            <w:r>
              <w:rPr>
                <w:rFonts w:asciiTheme="majorHAnsi" w:hAnsiTheme="majorHAnsi" w:cstheme="majorHAnsi"/>
              </w:rPr>
              <w:t>-</w:t>
            </w:r>
            <w:r w:rsidRPr="007F59A9">
              <w:rPr>
                <w:rFonts w:asciiTheme="majorHAnsi" w:hAnsiTheme="majorHAnsi" w:cstheme="majorHAnsi"/>
              </w:rPr>
              <w:t>1,98) y meno</w:t>
            </w:r>
            <w:r>
              <w:rPr>
                <w:rFonts w:asciiTheme="majorHAnsi" w:hAnsiTheme="majorHAnsi" w:cstheme="majorHAnsi"/>
              </w:rPr>
              <w:t>s</w:t>
            </w:r>
            <w:r w:rsidRPr="007F59A9">
              <w:rPr>
                <w:rFonts w:asciiTheme="majorHAnsi" w:hAnsiTheme="majorHAnsi" w:cstheme="majorHAnsi"/>
              </w:rPr>
              <w:t xml:space="preserve"> con catéter (73,1 </w:t>
            </w:r>
            <w:r>
              <w:rPr>
                <w:rFonts w:asciiTheme="majorHAnsi" w:hAnsiTheme="majorHAnsi" w:cstheme="majorHAnsi"/>
              </w:rPr>
              <w:t>vs</w:t>
            </w:r>
            <w:r w:rsidRPr="007F59A9">
              <w:rPr>
                <w:rFonts w:asciiTheme="majorHAnsi" w:hAnsiTheme="majorHAnsi" w:cstheme="majorHAnsi"/>
              </w:rPr>
              <w:t xml:space="preserve"> 80,6%; OR 0,65</w:t>
            </w:r>
            <w:r>
              <w:rPr>
                <w:rFonts w:asciiTheme="majorHAnsi" w:hAnsiTheme="majorHAnsi" w:cstheme="majorHAnsi"/>
              </w:rPr>
              <w:t>;</w:t>
            </w:r>
            <w:r w:rsidRPr="007F59A9">
              <w:rPr>
                <w:rFonts w:asciiTheme="majorHAnsi" w:hAnsiTheme="majorHAnsi" w:cstheme="majorHAnsi"/>
              </w:rPr>
              <w:t xml:space="preserve"> IC95%: 0,60</w:t>
            </w:r>
            <w:r>
              <w:rPr>
                <w:rFonts w:asciiTheme="majorHAnsi" w:hAnsiTheme="majorHAnsi" w:cstheme="majorHAnsi"/>
              </w:rPr>
              <w:t>-</w:t>
            </w:r>
            <w:r w:rsidRPr="007F59A9">
              <w:rPr>
                <w:rFonts w:asciiTheme="majorHAnsi" w:hAnsiTheme="majorHAnsi" w:cstheme="majorHAnsi"/>
              </w:rPr>
              <w:t>0,71)</w:t>
            </w:r>
            <w:r>
              <w:rPr>
                <w:rFonts w:asciiTheme="majorHAnsi" w:hAnsiTheme="majorHAnsi" w:cstheme="majorHAnsi"/>
              </w:rPr>
              <w:t xml:space="preserve"> comparados con el resto.</w:t>
            </w:r>
          </w:p>
        </w:tc>
      </w:tr>
      <w:tr w:rsidR="00062BE9" w:rsidRPr="00FF47F5" w14:paraId="14B250E5" w14:textId="77777777" w:rsidTr="00F276F8">
        <w:tc>
          <w:tcPr>
            <w:tcW w:w="358" w:type="pct"/>
          </w:tcPr>
          <w:p w14:paraId="294516A2" w14:textId="2992F0E3" w:rsidR="00062BE9" w:rsidRDefault="00062BE9" w:rsidP="00453869">
            <w:pPr>
              <w:jc w:val="both"/>
              <w:rPr>
                <w:rFonts w:asciiTheme="majorHAnsi" w:hAnsiTheme="majorHAnsi" w:cstheme="majorHAnsi"/>
              </w:rPr>
            </w:pPr>
            <w:r>
              <w:rPr>
                <w:rFonts w:asciiTheme="majorHAnsi" w:hAnsiTheme="majorHAnsi" w:cstheme="majorHAnsi"/>
              </w:rPr>
              <w:t xml:space="preserve">Parikh, </w:t>
            </w:r>
            <w:r w:rsidR="00324BBE">
              <w:rPr>
                <w:rFonts w:asciiTheme="majorHAnsi" w:hAnsiTheme="majorHAnsi" w:cstheme="majorHAnsi"/>
              </w:rPr>
              <w:t>(</w:t>
            </w:r>
            <w:r>
              <w:rPr>
                <w:rFonts w:asciiTheme="majorHAnsi" w:hAnsiTheme="majorHAnsi" w:cstheme="majorHAnsi"/>
              </w:rPr>
              <w:t>201</w:t>
            </w:r>
            <w:r w:rsidR="00324BBE">
              <w:rPr>
                <w:rFonts w:asciiTheme="majorHAnsi" w:hAnsiTheme="majorHAnsi" w:cstheme="majorHAnsi"/>
              </w:rPr>
              <w:t>1)</w:t>
            </w:r>
            <w:r w:rsidR="00324BBE">
              <w:rPr>
                <w:rFonts w:asciiTheme="majorHAnsi" w:hAnsiTheme="majorHAnsi" w:cstheme="majorHAnsi"/>
              </w:rPr>
              <w:fldChar w:fldCharType="begin" w:fldLock="1"/>
            </w:r>
            <w:r w:rsidR="00B57DD4">
              <w:rPr>
                <w:rFonts w:asciiTheme="majorHAnsi" w:hAnsiTheme="majorHAnsi" w:cstheme="majorHAnsi"/>
              </w:rPr>
              <w:instrText>ADDIN CSL_CITATION {"citationItems":[{"id":"ITEM-1","itemData":{"DOI":"10.1111/j.1525-139X.2011.00920.x","ISSN":"1525-139X (Electronic)","PMID":"21913987","abstract":"Hemodialysis via arteriovenous fistulas (AVFs) is associated with reduced morbidity and mortality when compared to alternative vascular accesses, yet few patients in the United States start dialysis with AVFs. Recent studies have demonstrated higher quality of care for many conditions in Veterans Affairs' Medical Centers (VAMC); however, differences in quality of vascular access care are unknown. We used patient-level data (6/05-5/06) from Medicare claims (n = 25,912) to compare the proportions of AVF among incident patients at VAMC-affiliated (n = 20) and unaffiliated dialysis (n = 1631) facilities. Multivariate logistic regression was used to determine whether associations of access type with facility type were independent. Compared to non-VAMC patients, a larger proportion of VAMC patients started dialysis with AVFs (20.9% versus 11.6% in non-VAMC patients; OR 1.99, [95% CI 1.55-2.56]). Although attenuated, this finding persisted in models adjusted for demographics (OR 1.65 [95% CI 1.28-2.13]) and demographics with comorbidities (OR 1.70 [95% CI 1.31-2.20]). However, after accounting for pre end-stage renal disease (ESRD) care, similar proportions of VAMC and non-VAMC patients started hemodialysis with an AVF (OR 1.28 [95% CI 0.98-1.66]). In conclusion, patients receiving care at VAMC-associated facilities were more likely to start hemodialysis with AVFs, perhaps because of better pre-ESRD care. Nonetheless, AVF rates remain suboptimal, indicating a need for ongoing vascular access evaluation and improvement.","author":[{"dropping-particle":"","family":"Parikh","given":"Dipen S","non-dropping-particle":"","parse-names":false,"suffix":""},{"dropping-particle":"","family":"Inrig","given":"Jula K","non-dropping-particle":"","parse-names":false,"suffix":""},{"dropping-particle":"","family":"Kipp","given":"Adam","non-dropping-particle":"","parse-names":false,"suffix":""},{"dropping-particle":"","family":"Szczech","given":"Lynda A","non-dropping-particle":"","parse-names":false,"suffix":""},{"dropping-particle":"","family":"McClellan","given":"William","non-dropping-particle":"","parse-names":false,"suffix":""},{"dropping-particle":"","family":"Patel","given":"Uptal D","non-dropping-particle":"","parse-names":false,"suffix":""}],"container-title":"Seminars in dialysis","id":"ITEM-1","issue":"5","issued":{"date-parts":[["2011"]]},"language":"eng","page":"570-575","publisher-place":"United States","title":"Veterans more likely to start hemodialysis with an arteriovenous fistula.","type":"article-journal","volume":"24"},"uris":["http://www.mendeley.com/documents/?uuid=4a4df73f-5776-4aeb-9d86-1af709c864e7"]}],"mendeley":{"formattedCitation":"&lt;sup&gt;23&lt;/sup&gt;","plainTextFormattedCitation":"23","previouslyFormattedCitation":"&lt;sup&gt;23&lt;/sup&gt;"},"properties":{"noteIndex":0},"schema":"https://github.com/citation-style-language/schema/raw/master/csl-citation.json"}</w:instrText>
            </w:r>
            <w:r w:rsidR="00324BBE">
              <w:rPr>
                <w:rFonts w:asciiTheme="majorHAnsi" w:hAnsiTheme="majorHAnsi" w:cstheme="majorHAnsi"/>
              </w:rPr>
              <w:fldChar w:fldCharType="separate"/>
            </w:r>
            <w:r w:rsidR="00453869" w:rsidRPr="00453869">
              <w:rPr>
                <w:rFonts w:asciiTheme="majorHAnsi" w:hAnsiTheme="majorHAnsi" w:cstheme="majorHAnsi"/>
                <w:noProof/>
                <w:vertAlign w:val="superscript"/>
              </w:rPr>
              <w:t>23</w:t>
            </w:r>
            <w:r w:rsidR="00324BBE">
              <w:rPr>
                <w:rFonts w:asciiTheme="majorHAnsi" w:hAnsiTheme="majorHAnsi" w:cstheme="majorHAnsi"/>
              </w:rPr>
              <w:fldChar w:fldCharType="end"/>
            </w:r>
          </w:p>
        </w:tc>
        <w:tc>
          <w:tcPr>
            <w:tcW w:w="892" w:type="pct"/>
          </w:tcPr>
          <w:p w14:paraId="5A821A32" w14:textId="77777777" w:rsidR="00062BE9" w:rsidRDefault="00062BE9" w:rsidP="006331A0">
            <w:pPr>
              <w:jc w:val="both"/>
              <w:rPr>
                <w:rFonts w:asciiTheme="majorHAnsi" w:hAnsiTheme="majorHAnsi" w:cstheme="majorHAnsi"/>
              </w:rPr>
            </w:pPr>
            <w:r>
              <w:rPr>
                <w:rFonts w:asciiTheme="majorHAnsi" w:hAnsiTheme="majorHAnsi" w:cstheme="majorHAnsi"/>
              </w:rPr>
              <w:t xml:space="preserve">Determinar </w:t>
            </w:r>
            <w:r w:rsidRPr="00414EC3">
              <w:rPr>
                <w:rFonts w:asciiTheme="majorHAnsi" w:hAnsiTheme="majorHAnsi" w:cstheme="majorHAnsi"/>
              </w:rPr>
              <w:t xml:space="preserve">diferencias </w:t>
            </w:r>
            <w:r>
              <w:rPr>
                <w:rFonts w:asciiTheme="majorHAnsi" w:hAnsiTheme="majorHAnsi" w:cstheme="majorHAnsi"/>
              </w:rPr>
              <w:t xml:space="preserve">de </w:t>
            </w:r>
            <w:r w:rsidRPr="00414EC3">
              <w:rPr>
                <w:rFonts w:asciiTheme="majorHAnsi" w:hAnsiTheme="majorHAnsi" w:cstheme="majorHAnsi"/>
              </w:rPr>
              <w:t xml:space="preserve">tipos de acceso vascular entre los pacientes </w:t>
            </w:r>
            <w:r>
              <w:rPr>
                <w:rFonts w:asciiTheme="majorHAnsi" w:hAnsiTheme="majorHAnsi" w:cstheme="majorHAnsi"/>
              </w:rPr>
              <w:t>según</w:t>
            </w:r>
            <w:r w:rsidRPr="00414EC3">
              <w:rPr>
                <w:rFonts w:asciiTheme="majorHAnsi" w:hAnsiTheme="majorHAnsi" w:cstheme="majorHAnsi"/>
              </w:rPr>
              <w:t xml:space="preserve"> los </w:t>
            </w:r>
            <w:r w:rsidRPr="00414EC3">
              <w:rPr>
                <w:rFonts w:asciiTheme="majorHAnsi" w:hAnsiTheme="majorHAnsi" w:cstheme="majorHAnsi"/>
              </w:rPr>
              <w:lastRenderedPageBreak/>
              <w:t>diferentes sistemas de atención médica VA</w:t>
            </w:r>
            <w:r>
              <w:rPr>
                <w:rFonts w:asciiTheme="majorHAnsi" w:hAnsiTheme="majorHAnsi" w:cstheme="majorHAnsi"/>
              </w:rPr>
              <w:t>.</w:t>
            </w:r>
          </w:p>
        </w:tc>
        <w:tc>
          <w:tcPr>
            <w:tcW w:w="1115" w:type="pct"/>
          </w:tcPr>
          <w:p w14:paraId="4C33C5BB" w14:textId="07AFB6E3" w:rsidR="00062BE9" w:rsidRPr="00D24292" w:rsidRDefault="00062BE9" w:rsidP="00C74013">
            <w:pPr>
              <w:jc w:val="both"/>
              <w:rPr>
                <w:rFonts w:asciiTheme="majorHAnsi" w:hAnsiTheme="majorHAnsi" w:cstheme="majorHAnsi"/>
              </w:rPr>
            </w:pPr>
            <w:r w:rsidRPr="00D24292">
              <w:rPr>
                <w:rFonts w:asciiTheme="majorHAnsi" w:hAnsiTheme="majorHAnsi" w:cstheme="majorHAnsi"/>
              </w:rPr>
              <w:lastRenderedPageBreak/>
              <w:t>Estudio transversal con pacientes que iniciaron diálisis</w:t>
            </w:r>
            <w:r w:rsidRPr="00414EC3">
              <w:rPr>
                <w:rFonts w:asciiTheme="majorHAnsi" w:hAnsiTheme="majorHAnsi" w:cstheme="majorHAnsi"/>
              </w:rPr>
              <w:t xml:space="preserve"> entre el 1 de junio de 2005 y el 31 de mayo de 2006</w:t>
            </w:r>
            <w:r w:rsidR="001F7F70">
              <w:rPr>
                <w:rFonts w:asciiTheme="majorHAnsi" w:hAnsiTheme="majorHAnsi" w:cstheme="majorHAnsi"/>
              </w:rPr>
              <w:t xml:space="preserve"> </w:t>
            </w:r>
            <w:r w:rsidR="001F7F70" w:rsidRPr="005E29BF">
              <w:rPr>
                <w:rFonts w:asciiTheme="majorHAnsi" w:hAnsiTheme="majorHAnsi" w:cstheme="majorHAnsi"/>
              </w:rPr>
              <w:t>200</w:t>
            </w:r>
            <w:r w:rsidR="001F7F70">
              <w:rPr>
                <w:rFonts w:asciiTheme="majorHAnsi" w:hAnsiTheme="majorHAnsi" w:cstheme="majorHAnsi"/>
              </w:rPr>
              <w:t xml:space="preserve">8 </w:t>
            </w:r>
            <w:r w:rsidR="001F7F70" w:rsidRPr="00C74013">
              <w:rPr>
                <w:rFonts w:asciiTheme="majorHAnsi" w:hAnsiTheme="majorHAnsi" w:cstheme="majorHAnsi"/>
              </w:rPr>
              <w:t>incluidos en el registro USRDS</w:t>
            </w:r>
          </w:p>
        </w:tc>
        <w:tc>
          <w:tcPr>
            <w:tcW w:w="2635" w:type="pct"/>
          </w:tcPr>
          <w:p w14:paraId="79358167" w14:textId="1E1CF781" w:rsidR="00062BE9" w:rsidRPr="004F2456" w:rsidRDefault="00062BE9" w:rsidP="006331A0">
            <w:pPr>
              <w:jc w:val="both"/>
              <w:rPr>
                <w:rFonts w:asciiTheme="majorHAnsi" w:hAnsiTheme="majorHAnsi" w:cstheme="majorHAnsi"/>
              </w:rPr>
            </w:pPr>
            <w:r>
              <w:rPr>
                <w:rFonts w:asciiTheme="majorHAnsi" w:hAnsiTheme="majorHAnsi" w:cstheme="majorHAnsi"/>
              </w:rPr>
              <w:t xml:space="preserve">Se incluyeron </w:t>
            </w:r>
            <w:r w:rsidRPr="00414EC3">
              <w:rPr>
                <w:rFonts w:asciiTheme="majorHAnsi" w:hAnsiTheme="majorHAnsi" w:cstheme="majorHAnsi"/>
              </w:rPr>
              <w:t>378 pacientes de 20 centros VA y 25</w:t>
            </w:r>
            <w:r>
              <w:rPr>
                <w:rFonts w:asciiTheme="majorHAnsi" w:hAnsiTheme="majorHAnsi" w:cstheme="majorHAnsi"/>
              </w:rPr>
              <w:t>.</w:t>
            </w:r>
            <w:r w:rsidRPr="00414EC3">
              <w:rPr>
                <w:rFonts w:asciiTheme="majorHAnsi" w:hAnsiTheme="majorHAnsi" w:cstheme="majorHAnsi"/>
              </w:rPr>
              <w:t>534 de 1</w:t>
            </w:r>
            <w:r>
              <w:rPr>
                <w:rFonts w:asciiTheme="majorHAnsi" w:hAnsiTheme="majorHAnsi" w:cstheme="majorHAnsi"/>
              </w:rPr>
              <w:t>.</w:t>
            </w:r>
            <w:r w:rsidRPr="00414EC3">
              <w:rPr>
                <w:rFonts w:asciiTheme="majorHAnsi" w:hAnsiTheme="majorHAnsi" w:cstheme="majorHAnsi"/>
              </w:rPr>
              <w:t>631 centros no</w:t>
            </w:r>
            <w:r>
              <w:rPr>
                <w:rFonts w:asciiTheme="majorHAnsi" w:hAnsiTheme="majorHAnsi" w:cstheme="majorHAnsi"/>
              </w:rPr>
              <w:t>-</w:t>
            </w:r>
            <w:r w:rsidRPr="00414EC3">
              <w:rPr>
                <w:rFonts w:asciiTheme="majorHAnsi" w:hAnsiTheme="majorHAnsi" w:cstheme="majorHAnsi"/>
              </w:rPr>
              <w:t>VA</w:t>
            </w:r>
            <w:r>
              <w:rPr>
                <w:rFonts w:asciiTheme="majorHAnsi" w:hAnsiTheme="majorHAnsi" w:cstheme="majorHAnsi"/>
              </w:rPr>
              <w:t xml:space="preserve">. Los análisis mostraron que </w:t>
            </w:r>
            <w:r w:rsidRPr="00566EAA">
              <w:rPr>
                <w:rFonts w:asciiTheme="majorHAnsi" w:hAnsiTheme="majorHAnsi" w:cstheme="majorHAnsi"/>
              </w:rPr>
              <w:t>una mayor proporción de pacientes</w:t>
            </w:r>
            <w:r w:rsidR="009B01CF">
              <w:rPr>
                <w:rFonts w:asciiTheme="majorHAnsi" w:hAnsiTheme="majorHAnsi" w:cstheme="majorHAnsi"/>
              </w:rPr>
              <w:t xml:space="preserve"> en</w:t>
            </w:r>
            <w:r w:rsidRPr="00566EAA">
              <w:rPr>
                <w:rFonts w:asciiTheme="majorHAnsi" w:hAnsiTheme="majorHAnsi" w:cstheme="majorHAnsi"/>
              </w:rPr>
              <w:t xml:space="preserve"> VA iniciaron diálisis con FAV (20,9% vs 11,6%</w:t>
            </w:r>
            <w:r>
              <w:rPr>
                <w:rFonts w:asciiTheme="majorHAnsi" w:hAnsiTheme="majorHAnsi" w:cstheme="majorHAnsi"/>
              </w:rPr>
              <w:t xml:space="preserve">; </w:t>
            </w:r>
            <w:r w:rsidRPr="00566EAA">
              <w:rPr>
                <w:rFonts w:asciiTheme="majorHAnsi" w:hAnsiTheme="majorHAnsi" w:cstheme="majorHAnsi"/>
              </w:rPr>
              <w:t>OR 1,70</w:t>
            </w:r>
            <w:r>
              <w:rPr>
                <w:rFonts w:asciiTheme="majorHAnsi" w:hAnsiTheme="majorHAnsi" w:cstheme="majorHAnsi"/>
              </w:rPr>
              <w:t>;</w:t>
            </w:r>
            <w:r w:rsidRPr="00566EAA">
              <w:rPr>
                <w:rFonts w:asciiTheme="majorHAnsi" w:hAnsiTheme="majorHAnsi" w:cstheme="majorHAnsi"/>
              </w:rPr>
              <w:t xml:space="preserve"> IC95% 1,31–2,20).</w:t>
            </w:r>
            <w:r>
              <w:rPr>
                <w:rFonts w:asciiTheme="majorHAnsi" w:hAnsiTheme="majorHAnsi" w:cstheme="majorHAnsi"/>
              </w:rPr>
              <w:t xml:space="preserve"> Esta diferencia significativa desapareció al ajustar por las variables prediálisis </w:t>
            </w:r>
            <w:r w:rsidRPr="00566EAA">
              <w:rPr>
                <w:rFonts w:asciiTheme="majorHAnsi" w:hAnsiTheme="majorHAnsi" w:cstheme="majorHAnsi"/>
              </w:rPr>
              <w:t>(OR 1.28</w:t>
            </w:r>
            <w:r>
              <w:rPr>
                <w:rFonts w:asciiTheme="majorHAnsi" w:hAnsiTheme="majorHAnsi" w:cstheme="majorHAnsi"/>
              </w:rPr>
              <w:t>; IC</w:t>
            </w:r>
            <w:r w:rsidRPr="00566EAA">
              <w:rPr>
                <w:rFonts w:asciiTheme="majorHAnsi" w:hAnsiTheme="majorHAnsi" w:cstheme="majorHAnsi"/>
              </w:rPr>
              <w:t>95% 0</w:t>
            </w:r>
            <w:r>
              <w:rPr>
                <w:rFonts w:asciiTheme="majorHAnsi" w:hAnsiTheme="majorHAnsi" w:cstheme="majorHAnsi"/>
              </w:rPr>
              <w:t>,</w:t>
            </w:r>
            <w:r w:rsidRPr="00566EAA">
              <w:rPr>
                <w:rFonts w:asciiTheme="majorHAnsi" w:hAnsiTheme="majorHAnsi" w:cstheme="majorHAnsi"/>
              </w:rPr>
              <w:t>98</w:t>
            </w:r>
            <w:r>
              <w:rPr>
                <w:rFonts w:asciiTheme="majorHAnsi" w:hAnsiTheme="majorHAnsi" w:cstheme="majorHAnsi"/>
              </w:rPr>
              <w:t>-</w:t>
            </w:r>
            <w:r w:rsidRPr="00566EAA">
              <w:rPr>
                <w:rFonts w:asciiTheme="majorHAnsi" w:hAnsiTheme="majorHAnsi" w:cstheme="majorHAnsi"/>
              </w:rPr>
              <w:t>1</w:t>
            </w:r>
            <w:r>
              <w:rPr>
                <w:rFonts w:asciiTheme="majorHAnsi" w:hAnsiTheme="majorHAnsi" w:cstheme="majorHAnsi"/>
              </w:rPr>
              <w:t>,</w:t>
            </w:r>
            <w:r w:rsidRPr="00566EAA">
              <w:rPr>
                <w:rFonts w:asciiTheme="majorHAnsi" w:hAnsiTheme="majorHAnsi" w:cstheme="majorHAnsi"/>
              </w:rPr>
              <w:t>66</w:t>
            </w:r>
            <w:r>
              <w:rPr>
                <w:rFonts w:asciiTheme="majorHAnsi" w:hAnsiTheme="majorHAnsi" w:cstheme="majorHAnsi"/>
              </w:rPr>
              <w:t>).</w:t>
            </w:r>
          </w:p>
        </w:tc>
      </w:tr>
      <w:tr w:rsidR="00062BE9" w:rsidRPr="00884428" w14:paraId="689CE04A" w14:textId="77777777" w:rsidTr="00F276F8">
        <w:tc>
          <w:tcPr>
            <w:tcW w:w="358" w:type="pct"/>
          </w:tcPr>
          <w:p w14:paraId="79B77C93" w14:textId="69EA6643" w:rsidR="00062BE9" w:rsidRDefault="00062BE9" w:rsidP="00453869">
            <w:pPr>
              <w:jc w:val="both"/>
              <w:rPr>
                <w:rFonts w:asciiTheme="majorHAnsi" w:hAnsiTheme="majorHAnsi" w:cstheme="majorHAnsi"/>
              </w:rPr>
            </w:pPr>
            <w:r>
              <w:rPr>
                <w:rFonts w:asciiTheme="majorHAnsi" w:hAnsiTheme="majorHAnsi" w:cstheme="majorHAnsi"/>
              </w:rPr>
              <w:t xml:space="preserve">Wang, </w:t>
            </w:r>
            <w:r w:rsidR="00324BBE">
              <w:rPr>
                <w:rFonts w:asciiTheme="majorHAnsi" w:hAnsiTheme="majorHAnsi" w:cstheme="majorHAnsi"/>
              </w:rPr>
              <w:t>(</w:t>
            </w:r>
            <w:r>
              <w:rPr>
                <w:rFonts w:asciiTheme="majorHAnsi" w:hAnsiTheme="majorHAnsi" w:cstheme="majorHAnsi"/>
              </w:rPr>
              <w:t>2013</w:t>
            </w:r>
            <w:r w:rsidR="00324BBE">
              <w:rPr>
                <w:rFonts w:asciiTheme="majorHAnsi" w:hAnsiTheme="majorHAnsi" w:cstheme="majorHAnsi"/>
              </w:rPr>
              <w:t>)</w:t>
            </w:r>
            <w:r w:rsidR="00324BBE">
              <w:rPr>
                <w:rFonts w:asciiTheme="majorHAnsi" w:hAnsiTheme="majorHAnsi" w:cstheme="majorHAnsi"/>
              </w:rPr>
              <w:fldChar w:fldCharType="begin" w:fldLock="1"/>
            </w:r>
            <w:r w:rsidR="00B57DD4">
              <w:rPr>
                <w:rFonts w:asciiTheme="majorHAnsi" w:hAnsiTheme="majorHAnsi" w:cstheme="majorHAnsi"/>
              </w:rPr>
              <w:instrText>ADDIN CSL_CITATION {"citationItems":[{"id":"ITEM-1","itemData":{"DOI":"10.1186/1472-6963-13-26","ISSN":"14726963","abstract":"Demand for dialysis treatment exceeds its supply within the Veterans Health Administration (VA), requiring VA to outsource dialysis care by purchasing private sector dialysis for veterans on a fee-for-service basis. It is unclear whether outcomes are similar for veterans receiving dialysis from VA versus non-VA providers. We assessed the extent of chronic dialysis treatment utilization and differences in all-cause hospitalizations and mortality between veterans receiving dialysis from VA versus VA-outsourced providers. We constructed a retrospective cohort of veterans in 2 VA regions who received chronic dialysis treatment financed by VA between January 2007 and December 2008. From VA administrative data, we identified veterans who received outpatient dialysis in (1) VA, (2) VA-outsourced settings, or (3) both (\"dual\") settings. In adjusted analyses, we used two-part and logistic regression to examine associations between dialysis setting and all-cause hospitalization and mortality one-year from veterans' baseline dialysis date. Of 1,388 veterans, 27% received dialysis exclusively in VA, 47% in VA-outsourced settings, and 25% in dual settings. Overall, half (48%) were hospitalized and 12% died. In adjusted analysis, veterans in VA-outsourced settings incurred fewer hospitalizations and shorter hospital stays than users of VA due to favorable selection. Dual-system dialysis patients had lower one-year mortality than veterans receiving VA dialysis. VA expenditures for \"buying\" outsourced dialysis are high and increasing relative to \"making\" dialysis treatment within its own system. Outcomes comparisons inform future make-or-buy decisions and suggest the need for VA to consider veterans' access to care, long-term VA savings, and optimal patient outcomes in its placement decisions for dialysis services.","author":[{"dropping-particle":"","family":"Wang","given":"Virginia","non-dropping-particle":"","parse-names":false,"suffix":""},{"dropping-particle":"","family":"Maciejewski","given":"Matthew L.","non-dropping-particle":"","parse-names":false,"suffix":""},{"dropping-particle":"","family":"Patel","given":"Uptal D.","non-dropping-particle":"","parse-names":false,"suffix":""},{"dropping-particle":"","family":"Stechuchak","given":"Karen M.","non-dropping-particle":"","parse-names":false,"suffix":""},{"dropping-particle":"","family":"Hynes","given":"Denise M.","non-dropping-particle":"","parse-names":false,"suffix":""},{"dropping-particle":"","family":"Weinberger","given":"Morris","non-dropping-particle":"","parse-names":false,"suffix":""}],"container-title":"BMC health services research","id":"ITEM-1","issued":{"date-parts":[["2013"]]},"page":"26","title":"Comparison of outcomes for veterans receiving dialysis care from VA and non-VA providers.","type":"article-journal","volume":"13"},"uris":["http://www.mendeley.com/documents/?uuid=c5f9beb5-4ba3-4097-b87b-cfe5ebe4ddcd"]}],"mendeley":{"formattedCitation":"&lt;sup&gt;24&lt;/sup&gt;","plainTextFormattedCitation":"24","previouslyFormattedCitation":"&lt;sup&gt;24&lt;/sup&gt;"},"properties":{"noteIndex":0},"schema":"https://github.com/citation-style-language/schema/raw/master/csl-citation.json"}</w:instrText>
            </w:r>
            <w:r w:rsidR="00324BBE">
              <w:rPr>
                <w:rFonts w:asciiTheme="majorHAnsi" w:hAnsiTheme="majorHAnsi" w:cstheme="majorHAnsi"/>
              </w:rPr>
              <w:fldChar w:fldCharType="separate"/>
            </w:r>
            <w:r w:rsidR="00453869" w:rsidRPr="00453869">
              <w:rPr>
                <w:rFonts w:asciiTheme="majorHAnsi" w:hAnsiTheme="majorHAnsi" w:cstheme="majorHAnsi"/>
                <w:noProof/>
                <w:vertAlign w:val="superscript"/>
              </w:rPr>
              <w:t>24</w:t>
            </w:r>
            <w:r w:rsidR="00324BBE">
              <w:rPr>
                <w:rFonts w:asciiTheme="majorHAnsi" w:hAnsiTheme="majorHAnsi" w:cstheme="majorHAnsi"/>
              </w:rPr>
              <w:fldChar w:fldCharType="end"/>
            </w:r>
          </w:p>
        </w:tc>
        <w:tc>
          <w:tcPr>
            <w:tcW w:w="892" w:type="pct"/>
          </w:tcPr>
          <w:p w14:paraId="0F330812" w14:textId="77777777" w:rsidR="00062BE9" w:rsidRDefault="00062BE9" w:rsidP="006331A0">
            <w:pPr>
              <w:jc w:val="both"/>
              <w:rPr>
                <w:rFonts w:asciiTheme="majorHAnsi" w:hAnsiTheme="majorHAnsi" w:cstheme="majorHAnsi"/>
              </w:rPr>
            </w:pPr>
            <w:r>
              <w:rPr>
                <w:rFonts w:asciiTheme="majorHAnsi" w:hAnsiTheme="majorHAnsi" w:cstheme="majorHAnsi"/>
              </w:rPr>
              <w:t>E</w:t>
            </w:r>
            <w:r w:rsidRPr="005042B8">
              <w:rPr>
                <w:rFonts w:asciiTheme="majorHAnsi" w:hAnsiTheme="majorHAnsi" w:cstheme="majorHAnsi"/>
              </w:rPr>
              <w:t>valuó la</w:t>
            </w:r>
            <w:r>
              <w:rPr>
                <w:rFonts w:asciiTheme="majorHAnsi" w:hAnsiTheme="majorHAnsi" w:cstheme="majorHAnsi"/>
              </w:rPr>
              <w:t>s</w:t>
            </w:r>
            <w:r w:rsidRPr="005042B8">
              <w:rPr>
                <w:rFonts w:asciiTheme="majorHAnsi" w:hAnsiTheme="majorHAnsi" w:cstheme="majorHAnsi"/>
              </w:rPr>
              <w:t xml:space="preserve"> diferencias en las hospitalizaciones y mortalidad entre los veteranos que reciben diálisis de VA v</w:t>
            </w:r>
            <w:r>
              <w:rPr>
                <w:rFonts w:asciiTheme="majorHAnsi" w:hAnsiTheme="majorHAnsi" w:cstheme="majorHAnsi"/>
              </w:rPr>
              <w:t>s no-</w:t>
            </w:r>
            <w:r w:rsidRPr="005042B8">
              <w:rPr>
                <w:rFonts w:asciiTheme="majorHAnsi" w:hAnsiTheme="majorHAnsi" w:cstheme="majorHAnsi"/>
              </w:rPr>
              <w:t>VA.</w:t>
            </w:r>
          </w:p>
        </w:tc>
        <w:tc>
          <w:tcPr>
            <w:tcW w:w="1115" w:type="pct"/>
          </w:tcPr>
          <w:p w14:paraId="33C946F9" w14:textId="77777777" w:rsidR="00062BE9" w:rsidRPr="00884428" w:rsidRDefault="00062BE9" w:rsidP="006331A0">
            <w:pPr>
              <w:jc w:val="both"/>
              <w:rPr>
                <w:rFonts w:asciiTheme="majorHAnsi" w:hAnsiTheme="majorHAnsi" w:cstheme="majorHAnsi"/>
              </w:rPr>
            </w:pPr>
            <w:r>
              <w:rPr>
                <w:rFonts w:asciiTheme="majorHAnsi" w:hAnsiTheme="majorHAnsi" w:cstheme="majorHAnsi"/>
              </w:rPr>
              <w:t xml:space="preserve">Cohorte retrospectiva con sujetos en </w:t>
            </w:r>
            <w:r w:rsidRPr="005E29BF">
              <w:rPr>
                <w:rFonts w:asciiTheme="majorHAnsi" w:hAnsiTheme="majorHAnsi" w:cstheme="majorHAnsi"/>
              </w:rPr>
              <w:t>diálisis en</w:t>
            </w:r>
            <w:r>
              <w:rPr>
                <w:rFonts w:asciiTheme="majorHAnsi" w:hAnsiTheme="majorHAnsi" w:cstheme="majorHAnsi"/>
              </w:rPr>
              <w:t>tre</w:t>
            </w:r>
            <w:r w:rsidRPr="005E29BF">
              <w:rPr>
                <w:rFonts w:asciiTheme="majorHAnsi" w:hAnsiTheme="majorHAnsi" w:cstheme="majorHAnsi"/>
              </w:rPr>
              <w:t xml:space="preserve"> 200</w:t>
            </w:r>
            <w:r>
              <w:rPr>
                <w:rFonts w:asciiTheme="majorHAnsi" w:hAnsiTheme="majorHAnsi" w:cstheme="majorHAnsi"/>
              </w:rPr>
              <w:t>7</w:t>
            </w:r>
            <w:r w:rsidRPr="005E29BF">
              <w:rPr>
                <w:rFonts w:asciiTheme="majorHAnsi" w:hAnsiTheme="majorHAnsi" w:cstheme="majorHAnsi"/>
              </w:rPr>
              <w:t xml:space="preserve"> y 200</w:t>
            </w:r>
            <w:r>
              <w:rPr>
                <w:rFonts w:asciiTheme="majorHAnsi" w:hAnsiTheme="majorHAnsi" w:cstheme="majorHAnsi"/>
              </w:rPr>
              <w:t xml:space="preserve">8 incluidos en el registro </w:t>
            </w:r>
            <w:r w:rsidRPr="00492C1A">
              <w:rPr>
                <w:rFonts w:asciiTheme="majorHAnsi" w:hAnsiTheme="majorHAnsi" w:cstheme="majorHAnsi"/>
              </w:rPr>
              <w:t>USRDS</w:t>
            </w:r>
            <w:r>
              <w:rPr>
                <w:rFonts w:asciiTheme="majorHAnsi" w:hAnsiTheme="majorHAnsi" w:cstheme="majorHAnsi"/>
              </w:rPr>
              <w:t>. Se excluyeron aquellos que fallecieron en los primeros 90 días</w:t>
            </w:r>
          </w:p>
        </w:tc>
        <w:tc>
          <w:tcPr>
            <w:tcW w:w="2635" w:type="pct"/>
          </w:tcPr>
          <w:p w14:paraId="4BB48D48" w14:textId="77777777" w:rsidR="00062BE9" w:rsidRDefault="00062BE9" w:rsidP="006331A0">
            <w:pPr>
              <w:jc w:val="both"/>
              <w:rPr>
                <w:rFonts w:asciiTheme="majorHAnsi" w:hAnsiTheme="majorHAnsi" w:cstheme="majorHAnsi"/>
              </w:rPr>
            </w:pPr>
            <w:r>
              <w:rPr>
                <w:rFonts w:asciiTheme="majorHAnsi" w:hAnsiTheme="majorHAnsi" w:cstheme="majorHAnsi"/>
              </w:rPr>
              <w:t xml:space="preserve">Del total de </w:t>
            </w:r>
            <w:r w:rsidRPr="005042B8">
              <w:rPr>
                <w:rFonts w:asciiTheme="majorHAnsi" w:hAnsiTheme="majorHAnsi" w:cstheme="majorHAnsi"/>
              </w:rPr>
              <w:t>1</w:t>
            </w:r>
            <w:r>
              <w:rPr>
                <w:rFonts w:asciiTheme="majorHAnsi" w:hAnsiTheme="majorHAnsi" w:cstheme="majorHAnsi"/>
              </w:rPr>
              <w:t>.</w:t>
            </w:r>
            <w:r w:rsidRPr="005042B8">
              <w:rPr>
                <w:rFonts w:asciiTheme="majorHAnsi" w:hAnsiTheme="majorHAnsi" w:cstheme="majorHAnsi"/>
              </w:rPr>
              <w:t xml:space="preserve">388 veteranos, </w:t>
            </w:r>
            <w:r>
              <w:rPr>
                <w:rFonts w:asciiTheme="majorHAnsi" w:hAnsiTheme="majorHAnsi" w:cstheme="majorHAnsi"/>
              </w:rPr>
              <w:t>de ellos el</w:t>
            </w:r>
            <w:r w:rsidRPr="005042B8">
              <w:rPr>
                <w:rFonts w:asciiTheme="majorHAnsi" w:hAnsiTheme="majorHAnsi" w:cstheme="majorHAnsi"/>
              </w:rPr>
              <w:t xml:space="preserve"> 27% recibió diálisis exclusivamente en VA, el 47% en </w:t>
            </w:r>
            <w:r>
              <w:rPr>
                <w:rFonts w:asciiTheme="majorHAnsi" w:hAnsiTheme="majorHAnsi" w:cstheme="majorHAnsi"/>
              </w:rPr>
              <w:t xml:space="preserve">centros </w:t>
            </w:r>
            <w:r w:rsidRPr="005042B8">
              <w:rPr>
                <w:rFonts w:asciiTheme="majorHAnsi" w:hAnsiTheme="majorHAnsi" w:cstheme="majorHAnsi"/>
              </w:rPr>
              <w:t xml:space="preserve">subcontratados y el 25% </w:t>
            </w:r>
            <w:r>
              <w:rPr>
                <w:rFonts w:asciiTheme="majorHAnsi" w:hAnsiTheme="majorHAnsi" w:cstheme="majorHAnsi"/>
              </w:rPr>
              <w:t>ambos tipos de centros</w:t>
            </w:r>
            <w:r w:rsidRPr="005042B8">
              <w:rPr>
                <w:rFonts w:asciiTheme="majorHAnsi" w:hAnsiTheme="majorHAnsi" w:cstheme="majorHAnsi"/>
              </w:rPr>
              <w:t>.</w:t>
            </w:r>
            <w:r>
              <w:rPr>
                <w:rFonts w:asciiTheme="majorHAnsi" w:hAnsiTheme="majorHAnsi" w:cstheme="majorHAnsi"/>
              </w:rPr>
              <w:t xml:space="preserve"> El </w:t>
            </w:r>
            <w:r w:rsidRPr="005042B8">
              <w:rPr>
                <w:rFonts w:asciiTheme="majorHAnsi" w:hAnsiTheme="majorHAnsi" w:cstheme="majorHAnsi"/>
              </w:rPr>
              <w:t>48%</w:t>
            </w:r>
            <w:r>
              <w:rPr>
                <w:rFonts w:asciiTheme="majorHAnsi" w:hAnsiTheme="majorHAnsi" w:cstheme="majorHAnsi"/>
              </w:rPr>
              <w:t xml:space="preserve"> de la muestra </w:t>
            </w:r>
            <w:r w:rsidRPr="005042B8">
              <w:rPr>
                <w:rFonts w:asciiTheme="majorHAnsi" w:hAnsiTheme="majorHAnsi" w:cstheme="majorHAnsi"/>
              </w:rPr>
              <w:t>fue hospitalizad</w:t>
            </w:r>
            <w:r>
              <w:rPr>
                <w:rFonts w:asciiTheme="majorHAnsi" w:hAnsiTheme="majorHAnsi" w:cstheme="majorHAnsi"/>
              </w:rPr>
              <w:t>a</w:t>
            </w:r>
            <w:r w:rsidRPr="005042B8">
              <w:rPr>
                <w:rFonts w:asciiTheme="majorHAnsi" w:hAnsiTheme="majorHAnsi" w:cstheme="majorHAnsi"/>
              </w:rPr>
              <w:t xml:space="preserve"> y </w:t>
            </w:r>
            <w:r>
              <w:rPr>
                <w:rFonts w:asciiTheme="majorHAnsi" w:hAnsiTheme="majorHAnsi" w:cstheme="majorHAnsi"/>
              </w:rPr>
              <w:t>un 1</w:t>
            </w:r>
            <w:r w:rsidRPr="005042B8">
              <w:rPr>
                <w:rFonts w:asciiTheme="majorHAnsi" w:hAnsiTheme="majorHAnsi" w:cstheme="majorHAnsi"/>
              </w:rPr>
              <w:t xml:space="preserve">2% </w:t>
            </w:r>
            <w:r>
              <w:rPr>
                <w:rFonts w:asciiTheme="majorHAnsi" w:hAnsiTheme="majorHAnsi" w:cstheme="majorHAnsi"/>
              </w:rPr>
              <w:t xml:space="preserve">falleció. Aquellos </w:t>
            </w:r>
            <w:r w:rsidRPr="005042B8">
              <w:rPr>
                <w:rFonts w:asciiTheme="majorHAnsi" w:hAnsiTheme="majorHAnsi" w:cstheme="majorHAnsi"/>
              </w:rPr>
              <w:t xml:space="preserve">que recibieron diálisis en VA tenían más probabilidades de ser hospitalizados, </w:t>
            </w:r>
            <w:r>
              <w:rPr>
                <w:rFonts w:asciiTheme="majorHAnsi" w:hAnsiTheme="majorHAnsi" w:cstheme="majorHAnsi"/>
              </w:rPr>
              <w:t>frente a</w:t>
            </w:r>
            <w:r w:rsidRPr="005042B8">
              <w:rPr>
                <w:rFonts w:asciiTheme="majorHAnsi" w:hAnsiTheme="majorHAnsi" w:cstheme="majorHAnsi"/>
              </w:rPr>
              <w:t xml:space="preserve"> los usuarios </w:t>
            </w:r>
            <w:r>
              <w:rPr>
                <w:rFonts w:asciiTheme="majorHAnsi" w:hAnsiTheme="majorHAnsi" w:cstheme="majorHAnsi"/>
              </w:rPr>
              <w:t xml:space="preserve">que usaban ambos servicios y los </w:t>
            </w:r>
            <w:r w:rsidRPr="005042B8">
              <w:rPr>
                <w:rFonts w:asciiTheme="majorHAnsi" w:hAnsiTheme="majorHAnsi" w:cstheme="majorHAnsi"/>
              </w:rPr>
              <w:t xml:space="preserve">subcontratados (65%, 30% y 63% respectivamente, p &lt;0,001). </w:t>
            </w:r>
            <w:r>
              <w:rPr>
                <w:rFonts w:asciiTheme="majorHAnsi" w:hAnsiTheme="majorHAnsi" w:cstheme="majorHAnsi"/>
              </w:rPr>
              <w:t>Entre los ingresados, aquellos</w:t>
            </w:r>
            <w:r w:rsidRPr="005042B8">
              <w:rPr>
                <w:rFonts w:asciiTheme="majorHAnsi" w:hAnsiTheme="majorHAnsi" w:cstheme="majorHAnsi"/>
              </w:rPr>
              <w:t xml:space="preserve"> VA (22,9</w:t>
            </w:r>
            <w:r>
              <w:rPr>
                <w:rFonts w:asciiTheme="majorHAnsi" w:hAnsiTheme="majorHAnsi" w:cstheme="majorHAnsi"/>
              </w:rPr>
              <w:t xml:space="preserve"> días</w:t>
            </w:r>
            <w:r w:rsidRPr="005042B8">
              <w:rPr>
                <w:rFonts w:asciiTheme="majorHAnsi" w:hAnsiTheme="majorHAnsi" w:cstheme="majorHAnsi"/>
              </w:rPr>
              <w:t xml:space="preserve">) </w:t>
            </w:r>
            <w:r>
              <w:rPr>
                <w:rFonts w:asciiTheme="majorHAnsi" w:hAnsiTheme="majorHAnsi" w:cstheme="majorHAnsi"/>
              </w:rPr>
              <w:t xml:space="preserve">la estancia promedio fue mayor que en aquellos que usaban ambos servicios o los </w:t>
            </w:r>
            <w:r w:rsidRPr="005042B8">
              <w:rPr>
                <w:rFonts w:asciiTheme="majorHAnsi" w:hAnsiTheme="majorHAnsi" w:cstheme="majorHAnsi"/>
              </w:rPr>
              <w:t xml:space="preserve">(22,4 </w:t>
            </w:r>
            <w:r>
              <w:rPr>
                <w:rFonts w:asciiTheme="majorHAnsi" w:hAnsiTheme="majorHAnsi" w:cstheme="majorHAnsi"/>
              </w:rPr>
              <w:t xml:space="preserve">y </w:t>
            </w:r>
            <w:r w:rsidRPr="005042B8">
              <w:rPr>
                <w:rFonts w:asciiTheme="majorHAnsi" w:hAnsiTheme="majorHAnsi" w:cstheme="majorHAnsi"/>
              </w:rPr>
              <w:t>16,6 días, respectivamente), aunque no fueron significativas (p = 0,146).</w:t>
            </w:r>
          </w:p>
        </w:tc>
      </w:tr>
      <w:tr w:rsidR="00062BE9" w:rsidRPr="00A775E1" w14:paraId="6B6DC111" w14:textId="77777777" w:rsidTr="00F276F8">
        <w:tc>
          <w:tcPr>
            <w:tcW w:w="358" w:type="pct"/>
          </w:tcPr>
          <w:p w14:paraId="02BFD3F3" w14:textId="58514244" w:rsidR="00062BE9" w:rsidRDefault="00062BE9" w:rsidP="00453869">
            <w:pPr>
              <w:jc w:val="both"/>
              <w:rPr>
                <w:rFonts w:asciiTheme="majorHAnsi" w:hAnsiTheme="majorHAnsi" w:cstheme="majorHAnsi"/>
              </w:rPr>
            </w:pPr>
            <w:r>
              <w:rPr>
                <w:rFonts w:asciiTheme="majorHAnsi" w:hAnsiTheme="majorHAnsi" w:cstheme="majorHAnsi"/>
              </w:rPr>
              <w:t xml:space="preserve">Erickson, </w:t>
            </w:r>
            <w:r w:rsidR="00324BBE">
              <w:rPr>
                <w:rFonts w:asciiTheme="majorHAnsi" w:hAnsiTheme="majorHAnsi" w:cstheme="majorHAnsi"/>
              </w:rPr>
              <w:t>(2018)</w:t>
            </w:r>
            <w:r w:rsidR="00324BBE">
              <w:rPr>
                <w:rFonts w:asciiTheme="majorHAnsi" w:hAnsiTheme="majorHAnsi" w:cstheme="majorHAnsi"/>
              </w:rPr>
              <w:fldChar w:fldCharType="begin" w:fldLock="1"/>
            </w:r>
            <w:r w:rsidR="00B57DD4">
              <w:rPr>
                <w:rFonts w:asciiTheme="majorHAnsi" w:hAnsiTheme="majorHAnsi" w:cstheme="majorHAnsi"/>
              </w:rPr>
              <w:instrText>ADDIN CSL_CITATION {"citationItems":[{"id":"ITEM-1","itemData":{"DOI":"10.1111/1475-6773.12835","ISSN":"14756773","abstract":"Objective: To examine whether market competition is associated with improved health outcomes in hemodialysis. Data Sources: Secondary analysis of data from a national dialysis registry between 2001 and 2011. Study Design: We conducted one- and two-part linear regression models, using each hospital service area (HSA) as its own control, to examine the independent associations among market concentration and health outcomes. Data Collection: We selected cohorts of patients receiving in-center hemodialysis in the United States at the start of each calendar year. We used information about dialysis facility ownership and the location where patients received dialysis to measure an index of market concentration—the Hirschman-Herfindahl Index (HHI)—for HSA and year, which ranges from near zero (perfect competition) to one (monopoly). Principal Findings: An average reduction in HHI by 0.2 (one standard deviation in 2011) was associated with 2.9 fewer hospitalizations per 100 patient-years (95 percent CI, 0.4 to 5.4). If these findings were generalized to the entire in-center hemodialysis population, this would translate to 8,100 (95 percent CI 1,200 to 15,000) fewer hospitalizations in 2011. There was no association between change in market competition and mortality. Conclusions: Market competition in dialysis may lead to improved health outcomes.","author":[{"dropping-particle":"","family":"Erickson","given":"Kevin F.","non-dropping-particle":"","parse-names":false,"suffix":""},{"dropping-particle":"","family":"Zheng","given":"Yuanchao","non-dropping-particle":"","parse-names":false,"suffix":""},{"dropping-particle":"","family":"Ho","given":"Vivian","non-dropping-particle":"","parse-names":false,"suffix":""},{"dropping-particle":"","family":"Winkelmayer","given":"Wolfgang C.","non-dropping-particle":"","parse-names":false,"suffix":""},{"dropping-particle":"","family":"Bhattacharya","given":"Jay","non-dropping-particle":"","parse-names":false,"suffix":""},{"dropping-particle":"","family":"Chertow","given":"Glenn M.","non-dropping-particle":"","parse-names":false,"suffix":""}],"container-title":"Health Services Research","id":"ITEM-1","issue":"5","issued":{"date-parts":[["2018"]]},"page":"3680-3703","title":"Market Competition and Health Outcomes in Hemodialysis","type":"article-journal","volume":"53"},"uris":["http://www.mendeley.com/documents/?uuid=f9b4ecde-1151-475b-9059-f268a10f204c"]}],"mendeley":{"formattedCitation":"&lt;sup&gt;25&lt;/sup&gt;","plainTextFormattedCitation":"25","previouslyFormattedCitation":"&lt;sup&gt;25&lt;/sup&gt;"},"properties":{"noteIndex":0},"schema":"https://github.com/citation-style-language/schema/raw/master/csl-citation.json"}</w:instrText>
            </w:r>
            <w:r w:rsidR="00324BBE">
              <w:rPr>
                <w:rFonts w:asciiTheme="majorHAnsi" w:hAnsiTheme="majorHAnsi" w:cstheme="majorHAnsi"/>
              </w:rPr>
              <w:fldChar w:fldCharType="separate"/>
            </w:r>
            <w:r w:rsidR="00453869" w:rsidRPr="00453869">
              <w:rPr>
                <w:rFonts w:asciiTheme="majorHAnsi" w:hAnsiTheme="majorHAnsi" w:cstheme="majorHAnsi"/>
                <w:noProof/>
                <w:vertAlign w:val="superscript"/>
              </w:rPr>
              <w:t>25</w:t>
            </w:r>
            <w:r w:rsidR="00324BBE">
              <w:rPr>
                <w:rFonts w:asciiTheme="majorHAnsi" w:hAnsiTheme="majorHAnsi" w:cstheme="majorHAnsi"/>
              </w:rPr>
              <w:fldChar w:fldCharType="end"/>
            </w:r>
          </w:p>
        </w:tc>
        <w:tc>
          <w:tcPr>
            <w:tcW w:w="892" w:type="pct"/>
          </w:tcPr>
          <w:p w14:paraId="1432B7F1" w14:textId="77777777" w:rsidR="00062BE9" w:rsidRDefault="00062BE9" w:rsidP="006331A0">
            <w:pPr>
              <w:jc w:val="both"/>
              <w:rPr>
                <w:rFonts w:asciiTheme="majorHAnsi" w:hAnsiTheme="majorHAnsi" w:cstheme="majorHAnsi"/>
              </w:rPr>
            </w:pPr>
            <w:r w:rsidRPr="00A93CE2">
              <w:rPr>
                <w:rFonts w:asciiTheme="majorHAnsi" w:hAnsiTheme="majorHAnsi" w:cstheme="majorHAnsi"/>
              </w:rPr>
              <w:t>Examinar si la competencia del mercado está asociada con mejores resultados de salud en hemodiálisis.</w:t>
            </w:r>
          </w:p>
        </w:tc>
        <w:tc>
          <w:tcPr>
            <w:tcW w:w="1115" w:type="pct"/>
          </w:tcPr>
          <w:p w14:paraId="78C767E6" w14:textId="77777777" w:rsidR="00062BE9" w:rsidRDefault="00062BE9" w:rsidP="006331A0">
            <w:pPr>
              <w:jc w:val="both"/>
              <w:rPr>
                <w:rFonts w:asciiTheme="majorHAnsi" w:hAnsiTheme="majorHAnsi" w:cstheme="majorHAnsi"/>
              </w:rPr>
            </w:pPr>
            <w:r>
              <w:rPr>
                <w:rFonts w:asciiTheme="majorHAnsi" w:hAnsiTheme="majorHAnsi" w:cstheme="majorHAnsi"/>
              </w:rPr>
              <w:t xml:space="preserve">Pacientes incluidos en el registro </w:t>
            </w:r>
            <w:r w:rsidRPr="00492C1A">
              <w:rPr>
                <w:rFonts w:asciiTheme="majorHAnsi" w:hAnsiTheme="majorHAnsi" w:cstheme="majorHAnsi"/>
              </w:rPr>
              <w:t>USRDS</w:t>
            </w:r>
            <w:r>
              <w:rPr>
                <w:rFonts w:asciiTheme="majorHAnsi" w:hAnsiTheme="majorHAnsi" w:cstheme="majorHAnsi"/>
              </w:rPr>
              <w:t xml:space="preserve"> en diálisis entre 2001-2011. Se excluyeron a aquellos pacientes que recibieron diálisis en prisión y en centros militares. </w:t>
            </w:r>
          </w:p>
        </w:tc>
        <w:tc>
          <w:tcPr>
            <w:tcW w:w="2635" w:type="pct"/>
          </w:tcPr>
          <w:p w14:paraId="14E9E11D" w14:textId="4EFCFB72" w:rsidR="00062BE9" w:rsidRPr="00A775E1" w:rsidRDefault="00062BE9" w:rsidP="00E23DD2">
            <w:pPr>
              <w:jc w:val="both"/>
              <w:rPr>
                <w:rFonts w:asciiTheme="majorHAnsi" w:hAnsiTheme="majorHAnsi" w:cstheme="majorHAnsi"/>
              </w:rPr>
            </w:pPr>
            <w:r w:rsidRPr="00A775E1">
              <w:rPr>
                <w:rFonts w:asciiTheme="majorHAnsi" w:hAnsiTheme="majorHAnsi" w:cstheme="majorHAnsi"/>
              </w:rPr>
              <w:t>Se incluyeron 632.734 pa</w:t>
            </w:r>
            <w:r>
              <w:rPr>
                <w:rFonts w:asciiTheme="majorHAnsi" w:hAnsiTheme="majorHAnsi" w:cstheme="majorHAnsi"/>
              </w:rPr>
              <w:t>c</w:t>
            </w:r>
            <w:r w:rsidRPr="00A775E1">
              <w:rPr>
                <w:rFonts w:asciiTheme="majorHAnsi" w:hAnsiTheme="majorHAnsi" w:cstheme="majorHAnsi"/>
              </w:rPr>
              <w:t>ientes (1</w:t>
            </w:r>
            <w:r w:rsidR="00E23DD2">
              <w:rPr>
                <w:rFonts w:asciiTheme="majorHAnsi" w:hAnsiTheme="majorHAnsi" w:cstheme="majorHAnsi"/>
              </w:rPr>
              <w:t>.</w:t>
            </w:r>
            <w:r w:rsidRPr="00A775E1">
              <w:rPr>
                <w:rFonts w:asciiTheme="majorHAnsi" w:hAnsiTheme="majorHAnsi" w:cstheme="majorHAnsi"/>
              </w:rPr>
              <w:t>939</w:t>
            </w:r>
            <w:r w:rsidR="00E23DD2">
              <w:rPr>
                <w:rFonts w:asciiTheme="majorHAnsi" w:hAnsiTheme="majorHAnsi" w:cstheme="majorHAnsi"/>
              </w:rPr>
              <w:t>.</w:t>
            </w:r>
            <w:r w:rsidRPr="00A775E1">
              <w:rPr>
                <w:rFonts w:asciiTheme="majorHAnsi" w:hAnsiTheme="majorHAnsi" w:cstheme="majorHAnsi"/>
              </w:rPr>
              <w:t>460 paciente-año) recibiendo hemodiálisis en 3.379 áreas sanitarias hospitalarias.</w:t>
            </w:r>
            <w:r w:rsidRPr="00DE4C7A">
              <w:rPr>
                <w:rFonts w:asciiTheme="majorHAnsi" w:hAnsiTheme="majorHAnsi" w:cstheme="majorHAnsi"/>
              </w:rPr>
              <w:t xml:space="preserve"> </w:t>
            </w:r>
            <w:r>
              <w:rPr>
                <w:rFonts w:asciiTheme="majorHAnsi" w:hAnsiTheme="majorHAnsi" w:cstheme="majorHAnsi"/>
              </w:rPr>
              <w:t xml:space="preserve">Aquellas </w:t>
            </w:r>
            <w:r w:rsidRPr="00DE4C7A">
              <w:rPr>
                <w:rFonts w:asciiTheme="majorHAnsi" w:hAnsiTheme="majorHAnsi" w:cstheme="majorHAnsi"/>
              </w:rPr>
              <w:t xml:space="preserve">áreas que </w:t>
            </w:r>
            <w:r>
              <w:rPr>
                <w:rFonts w:asciiTheme="majorHAnsi" w:hAnsiTheme="majorHAnsi" w:cstheme="majorHAnsi"/>
              </w:rPr>
              <w:t xml:space="preserve">al comienzo eran menos competitivas, </w:t>
            </w:r>
            <w:r w:rsidRPr="00DE4C7A">
              <w:rPr>
                <w:rFonts w:asciiTheme="majorHAnsi" w:hAnsiTheme="majorHAnsi" w:cstheme="majorHAnsi"/>
              </w:rPr>
              <w:t xml:space="preserve">se volvieron más competitivas </w:t>
            </w:r>
            <w:r>
              <w:rPr>
                <w:rFonts w:asciiTheme="majorHAnsi" w:hAnsiTheme="majorHAnsi" w:cstheme="majorHAnsi"/>
              </w:rPr>
              <w:t xml:space="preserve">al final. </w:t>
            </w:r>
            <w:r w:rsidRPr="00437DCC">
              <w:rPr>
                <w:rFonts w:asciiTheme="majorHAnsi" w:hAnsiTheme="majorHAnsi" w:cstheme="majorHAnsi"/>
              </w:rPr>
              <w:t xml:space="preserve">La probabilidad anual de </w:t>
            </w:r>
            <w:r>
              <w:rPr>
                <w:rFonts w:asciiTheme="majorHAnsi" w:hAnsiTheme="majorHAnsi" w:cstheme="majorHAnsi"/>
              </w:rPr>
              <w:t>mortalidad</w:t>
            </w:r>
            <w:r w:rsidRPr="00437DCC">
              <w:rPr>
                <w:rFonts w:asciiTheme="majorHAnsi" w:hAnsiTheme="majorHAnsi" w:cstheme="majorHAnsi"/>
              </w:rPr>
              <w:t xml:space="preserve"> fue del 20</w:t>
            </w:r>
            <w:r>
              <w:rPr>
                <w:rFonts w:asciiTheme="majorHAnsi" w:hAnsiTheme="majorHAnsi" w:cstheme="majorHAnsi"/>
              </w:rPr>
              <w:t>% (rango 21-17), encontrándose una mayor mortalidad en aquellas menos competitivas, aunque no fue significativo</w:t>
            </w:r>
            <w:r w:rsidRPr="00437DCC">
              <w:rPr>
                <w:rFonts w:asciiTheme="majorHAnsi" w:hAnsiTheme="majorHAnsi" w:cstheme="majorHAnsi"/>
              </w:rPr>
              <w:t xml:space="preserve">. </w:t>
            </w:r>
            <w:r>
              <w:rPr>
                <w:rFonts w:asciiTheme="majorHAnsi" w:hAnsiTheme="majorHAnsi" w:cstheme="majorHAnsi"/>
              </w:rPr>
              <w:t>La probabilidad anual de hospitalización fue del 76%, con promedio de 2,7 (ds 3,5) hospitalizaciones/año. Un incremento de 0,2 unidades en IHH se asocia con 2,9 hospitalizaciones (IC95% 0,4-5,4)</w:t>
            </w:r>
          </w:p>
        </w:tc>
      </w:tr>
      <w:tr w:rsidR="00062BE9" w:rsidRPr="00A775E1" w14:paraId="1B83BED2" w14:textId="77777777" w:rsidTr="00F276F8">
        <w:tc>
          <w:tcPr>
            <w:tcW w:w="5000" w:type="pct"/>
            <w:gridSpan w:val="4"/>
            <w:shd w:val="clear" w:color="auto" w:fill="DEEAF6" w:themeFill="accent1" w:themeFillTint="33"/>
          </w:tcPr>
          <w:p w14:paraId="6C949778" w14:textId="77777777" w:rsidR="00062BE9" w:rsidRPr="00A775E1" w:rsidRDefault="00062BE9" w:rsidP="006331A0">
            <w:pPr>
              <w:jc w:val="center"/>
              <w:rPr>
                <w:rFonts w:asciiTheme="majorHAnsi" w:hAnsiTheme="majorHAnsi" w:cstheme="majorHAnsi"/>
              </w:rPr>
            </w:pPr>
            <w:r>
              <w:rPr>
                <w:rFonts w:asciiTheme="majorHAnsi" w:hAnsiTheme="majorHAnsi" w:cstheme="majorHAnsi"/>
              </w:rPr>
              <w:t>Artículos sobre costes</w:t>
            </w:r>
          </w:p>
        </w:tc>
      </w:tr>
      <w:tr w:rsidR="00527605" w:rsidRPr="00A775E1" w14:paraId="6B8BA00F" w14:textId="77777777" w:rsidTr="00F276F8">
        <w:tc>
          <w:tcPr>
            <w:tcW w:w="358" w:type="pct"/>
          </w:tcPr>
          <w:p w14:paraId="4EA1C58E" w14:textId="6A65D436" w:rsidR="00527605" w:rsidRPr="0061350E" w:rsidRDefault="00527605" w:rsidP="00B57DD4">
            <w:pPr>
              <w:jc w:val="both"/>
              <w:rPr>
                <w:rFonts w:asciiTheme="majorHAnsi" w:hAnsiTheme="majorHAnsi" w:cstheme="majorHAnsi"/>
              </w:rPr>
            </w:pPr>
            <w:r>
              <w:rPr>
                <w:rFonts w:asciiTheme="majorHAnsi" w:hAnsiTheme="majorHAnsi" w:cstheme="majorHAnsi"/>
              </w:rPr>
              <w:t>Conde-</w:t>
            </w:r>
            <w:r w:rsidR="00BA123C" w:rsidRPr="00BA123C">
              <w:rPr>
                <w:rFonts w:asciiTheme="majorHAnsi" w:hAnsiTheme="majorHAnsi" w:cstheme="majorHAnsi"/>
              </w:rPr>
              <w:t>Olasagasti</w:t>
            </w:r>
            <w:r w:rsidR="00324BBE">
              <w:rPr>
                <w:rFonts w:asciiTheme="majorHAnsi" w:hAnsiTheme="majorHAnsi" w:cstheme="majorHAnsi"/>
              </w:rPr>
              <w:t>(</w:t>
            </w:r>
            <w:r w:rsidR="00BA123C">
              <w:rPr>
                <w:rFonts w:asciiTheme="majorHAnsi" w:hAnsiTheme="majorHAnsi" w:cstheme="majorHAnsi"/>
              </w:rPr>
              <w:t>2017</w:t>
            </w:r>
            <w:r w:rsidR="00324BBE">
              <w:rPr>
                <w:rFonts w:asciiTheme="majorHAnsi" w:hAnsiTheme="majorHAnsi" w:cstheme="majorHAnsi"/>
              </w:rPr>
              <w:t>)</w:t>
            </w:r>
            <w:r w:rsidR="00324BBE">
              <w:rPr>
                <w:rFonts w:asciiTheme="majorHAnsi" w:hAnsiTheme="majorHAnsi" w:cstheme="majorHAnsi"/>
              </w:rPr>
              <w:fldChar w:fldCharType="begin" w:fldLock="1"/>
            </w:r>
            <w:r w:rsidR="008100F2">
              <w:rPr>
                <w:rFonts w:asciiTheme="majorHAnsi" w:hAnsiTheme="majorHAnsi" w:cstheme="majorHAnsi"/>
              </w:rPr>
              <w:instrText>ADDIN CSL_CITATION {"citationItems":[{"id":"ITEM-1","itemData":{"ISSN":"2013-2514","author":[{"dropping-particle":"","family":"Olasagasti","given":"José L Conde","non-dropping-particle":"","parse-names":false,"suffix":""},{"dropping-particle":"","family":"Diaz","given":"José Eugenio Garcia","non-dropping-particle":"","parse-names":false,"suffix":""},{"dropping-particle":"","family":"Benitez","given":"Pilar Carrasco","non-dropping-particle":"","parse-names":false,"suffix":""},{"dropping-particle":"","family":"Ruiz","given":"Miguel Ángel Mareque","non-dropping-particle":"","parse-names":false,"suffix":""},{"dropping-particle":"","family":"Partido","given":"María Pilar Parras","non-dropping-particle":"","parse-names":false,"suffix":""},{"dropping-particle":"","family":"Alia","given":"Inmaculada Moreno","non-dropping-particle":"","parse-names":false,"suffix":""},{"dropping-particle":"","family":"Lopez","given":"Laura Jimenez","non-dropping-particle":"","parse-names":false,"suffix":""},{"dropping-particle":"","family":"Lecumberri","given":"Juan José Cia","non-dropping-particle":"","parse-names":false,"suffix":""},{"dropping-particle":"","family":"Araque","given":"Pilar","non-dropping-particle":"","parse-names":false,"suffix":""},{"dropping-particle":"","family":"Fernandez","given":"Mariano","non-dropping-particle":"","parse-names":false,"suffix":""}],"container-title":"Nefrología","id":"ITEM-1","issue":"3","issued":{"date-parts":[["2017"]]},"page":"285-292","publisher":"Elsevier","title":"Cost analysis of integrated renal replacement therapy program in the province of Toledo (2012–2013)","type":"article-journal","volume":"37"},"uris":["http://www.mendeley.com/documents/?uuid=9999c45b-b1e1-493f-a381-d9104bd4721a"]}],"mendeley":{"formattedCitation":"&lt;sup&gt;27&lt;/sup&gt;","plainTextFormattedCitation":"27","previouslyFormattedCitation":"&lt;sup&gt;27&lt;/sup&gt;"},"properties":{"noteIndex":0},"schema":"https://github.com/citation-style-language/schema/raw/master/csl-citation.json"}</w:instrText>
            </w:r>
            <w:r w:rsidR="00324BBE">
              <w:rPr>
                <w:rFonts w:asciiTheme="majorHAnsi" w:hAnsiTheme="majorHAnsi" w:cstheme="majorHAnsi"/>
              </w:rPr>
              <w:fldChar w:fldCharType="separate"/>
            </w:r>
            <w:r w:rsidR="00B57DD4" w:rsidRPr="00B57DD4">
              <w:rPr>
                <w:rFonts w:asciiTheme="majorHAnsi" w:hAnsiTheme="majorHAnsi" w:cstheme="majorHAnsi"/>
                <w:noProof/>
                <w:vertAlign w:val="superscript"/>
              </w:rPr>
              <w:t>27</w:t>
            </w:r>
            <w:r w:rsidR="00324BBE">
              <w:rPr>
                <w:rFonts w:asciiTheme="majorHAnsi" w:hAnsiTheme="majorHAnsi" w:cstheme="majorHAnsi"/>
              </w:rPr>
              <w:fldChar w:fldCharType="end"/>
            </w:r>
          </w:p>
        </w:tc>
        <w:tc>
          <w:tcPr>
            <w:tcW w:w="892" w:type="pct"/>
          </w:tcPr>
          <w:p w14:paraId="2F24A936" w14:textId="727E1976" w:rsidR="00527605" w:rsidRDefault="00BA123C" w:rsidP="00BA123C">
            <w:pPr>
              <w:jc w:val="both"/>
              <w:rPr>
                <w:rFonts w:asciiTheme="majorHAnsi" w:hAnsiTheme="majorHAnsi" w:cstheme="majorHAnsi"/>
              </w:rPr>
            </w:pPr>
            <w:r w:rsidRPr="00BA123C">
              <w:rPr>
                <w:rFonts w:asciiTheme="majorHAnsi" w:hAnsiTheme="majorHAnsi" w:cstheme="majorHAnsi"/>
              </w:rPr>
              <w:t>Calcular</w:t>
            </w:r>
            <w:r>
              <w:rPr>
                <w:rFonts w:asciiTheme="majorHAnsi" w:hAnsiTheme="majorHAnsi" w:cstheme="majorHAnsi"/>
              </w:rPr>
              <w:t xml:space="preserve"> el coste directo de del tratamiento renal sustitutivo en la provincia de Toledo entre el </w:t>
            </w:r>
            <w:r w:rsidRPr="00BA123C">
              <w:rPr>
                <w:rFonts w:asciiTheme="majorHAnsi" w:hAnsiTheme="majorHAnsi" w:cstheme="majorHAnsi"/>
              </w:rPr>
              <w:t>2012</w:t>
            </w:r>
            <w:r>
              <w:rPr>
                <w:rFonts w:asciiTheme="majorHAnsi" w:hAnsiTheme="majorHAnsi" w:cstheme="majorHAnsi"/>
              </w:rPr>
              <w:t xml:space="preserve"> </w:t>
            </w:r>
            <w:r w:rsidRPr="00BA123C">
              <w:rPr>
                <w:rFonts w:asciiTheme="majorHAnsi" w:hAnsiTheme="majorHAnsi" w:cstheme="majorHAnsi"/>
              </w:rPr>
              <w:t>y</w:t>
            </w:r>
            <w:r>
              <w:rPr>
                <w:rFonts w:asciiTheme="majorHAnsi" w:hAnsiTheme="majorHAnsi" w:cstheme="majorHAnsi"/>
              </w:rPr>
              <w:t xml:space="preserve"> </w:t>
            </w:r>
            <w:r w:rsidRPr="00BA123C">
              <w:rPr>
                <w:rFonts w:asciiTheme="majorHAnsi" w:hAnsiTheme="majorHAnsi" w:cstheme="majorHAnsi"/>
              </w:rPr>
              <w:t>2013</w:t>
            </w:r>
            <w:r>
              <w:rPr>
                <w:rFonts w:asciiTheme="majorHAnsi" w:hAnsiTheme="majorHAnsi" w:cstheme="majorHAnsi"/>
              </w:rPr>
              <w:t>.</w:t>
            </w:r>
          </w:p>
        </w:tc>
        <w:tc>
          <w:tcPr>
            <w:tcW w:w="1115" w:type="pct"/>
          </w:tcPr>
          <w:p w14:paraId="2C7C4CA4" w14:textId="00F7EEF1" w:rsidR="00527605" w:rsidRDefault="00B80B9D" w:rsidP="000C7025">
            <w:pPr>
              <w:jc w:val="both"/>
              <w:rPr>
                <w:rFonts w:asciiTheme="majorHAnsi" w:hAnsiTheme="majorHAnsi" w:cstheme="majorHAnsi"/>
              </w:rPr>
            </w:pPr>
            <w:r w:rsidRPr="00B80B9D">
              <w:rPr>
                <w:rFonts w:asciiTheme="majorHAnsi" w:hAnsiTheme="majorHAnsi" w:cstheme="majorHAnsi"/>
              </w:rPr>
              <w:t>Se</w:t>
            </w:r>
            <w:r>
              <w:rPr>
                <w:rFonts w:asciiTheme="majorHAnsi" w:hAnsiTheme="majorHAnsi" w:cstheme="majorHAnsi"/>
              </w:rPr>
              <w:t xml:space="preserve"> </w:t>
            </w:r>
            <w:r w:rsidRPr="00B80B9D">
              <w:rPr>
                <w:rFonts w:asciiTheme="majorHAnsi" w:hAnsiTheme="majorHAnsi" w:cstheme="majorHAnsi"/>
              </w:rPr>
              <w:t>consideró</w:t>
            </w:r>
            <w:r>
              <w:rPr>
                <w:rFonts w:asciiTheme="majorHAnsi" w:hAnsiTheme="majorHAnsi" w:cstheme="majorHAnsi"/>
              </w:rPr>
              <w:t xml:space="preserve"> </w:t>
            </w:r>
            <w:r w:rsidRPr="00B80B9D">
              <w:rPr>
                <w:rFonts w:asciiTheme="majorHAnsi" w:hAnsiTheme="majorHAnsi" w:cstheme="majorHAnsi"/>
              </w:rPr>
              <w:t>el</w:t>
            </w:r>
            <w:r>
              <w:rPr>
                <w:rFonts w:asciiTheme="majorHAnsi" w:hAnsiTheme="majorHAnsi" w:cstheme="majorHAnsi"/>
              </w:rPr>
              <w:t xml:space="preserve"> </w:t>
            </w:r>
            <w:r w:rsidRPr="00B80B9D">
              <w:rPr>
                <w:rFonts w:asciiTheme="majorHAnsi" w:hAnsiTheme="majorHAnsi" w:cstheme="majorHAnsi"/>
              </w:rPr>
              <w:t>consumo</w:t>
            </w:r>
            <w:r>
              <w:rPr>
                <w:rFonts w:asciiTheme="majorHAnsi" w:hAnsiTheme="majorHAnsi" w:cstheme="majorHAnsi"/>
              </w:rPr>
              <w:t xml:space="preserve"> </w:t>
            </w:r>
            <w:r w:rsidRPr="00B80B9D">
              <w:rPr>
                <w:rFonts w:asciiTheme="majorHAnsi" w:hAnsiTheme="majorHAnsi" w:cstheme="majorHAnsi"/>
              </w:rPr>
              <w:t>de</w:t>
            </w:r>
            <w:r>
              <w:rPr>
                <w:rFonts w:asciiTheme="majorHAnsi" w:hAnsiTheme="majorHAnsi" w:cstheme="majorHAnsi"/>
              </w:rPr>
              <w:t xml:space="preserve"> </w:t>
            </w:r>
            <w:r w:rsidRPr="00B80B9D">
              <w:rPr>
                <w:rFonts w:asciiTheme="majorHAnsi" w:hAnsiTheme="majorHAnsi" w:cstheme="majorHAnsi"/>
              </w:rPr>
              <w:t>recursos</w:t>
            </w:r>
            <w:r>
              <w:rPr>
                <w:rFonts w:asciiTheme="majorHAnsi" w:hAnsiTheme="majorHAnsi" w:cstheme="majorHAnsi"/>
              </w:rPr>
              <w:t xml:space="preserve"> de los pacientes en TRS entre los años </w:t>
            </w:r>
            <w:r w:rsidRPr="00B80B9D">
              <w:rPr>
                <w:rFonts w:asciiTheme="majorHAnsi" w:hAnsiTheme="majorHAnsi" w:cstheme="majorHAnsi"/>
              </w:rPr>
              <w:t>2012</w:t>
            </w:r>
            <w:r>
              <w:rPr>
                <w:rFonts w:asciiTheme="majorHAnsi" w:hAnsiTheme="majorHAnsi" w:cstheme="majorHAnsi"/>
              </w:rPr>
              <w:t xml:space="preserve"> </w:t>
            </w:r>
            <w:r w:rsidRPr="00B80B9D">
              <w:rPr>
                <w:rFonts w:asciiTheme="majorHAnsi" w:hAnsiTheme="majorHAnsi" w:cstheme="majorHAnsi"/>
              </w:rPr>
              <w:t>y</w:t>
            </w:r>
            <w:r>
              <w:rPr>
                <w:rFonts w:asciiTheme="majorHAnsi" w:hAnsiTheme="majorHAnsi" w:cstheme="majorHAnsi"/>
              </w:rPr>
              <w:t xml:space="preserve"> </w:t>
            </w:r>
            <w:r w:rsidRPr="00B80B9D">
              <w:rPr>
                <w:rFonts w:asciiTheme="majorHAnsi" w:hAnsiTheme="majorHAnsi" w:cstheme="majorHAnsi"/>
              </w:rPr>
              <w:t>2013</w:t>
            </w:r>
            <w:r>
              <w:rPr>
                <w:rFonts w:asciiTheme="majorHAnsi" w:hAnsiTheme="majorHAnsi" w:cstheme="majorHAnsi"/>
              </w:rPr>
              <w:t xml:space="preserve">. Para ello se utilizaron las siguientes fuentes de información: el </w:t>
            </w:r>
            <w:r w:rsidRPr="00B80B9D">
              <w:rPr>
                <w:rFonts w:asciiTheme="majorHAnsi" w:hAnsiTheme="majorHAnsi" w:cstheme="majorHAnsi"/>
              </w:rPr>
              <w:t>Registro</w:t>
            </w:r>
            <w:r>
              <w:rPr>
                <w:rFonts w:asciiTheme="majorHAnsi" w:hAnsiTheme="majorHAnsi" w:cstheme="majorHAnsi"/>
              </w:rPr>
              <w:t xml:space="preserve"> </w:t>
            </w:r>
            <w:r w:rsidRPr="00B80B9D">
              <w:rPr>
                <w:rFonts w:asciiTheme="majorHAnsi" w:hAnsiTheme="majorHAnsi" w:cstheme="majorHAnsi"/>
              </w:rPr>
              <w:t>de</w:t>
            </w:r>
            <w:r>
              <w:rPr>
                <w:rFonts w:asciiTheme="majorHAnsi" w:hAnsiTheme="majorHAnsi" w:cstheme="majorHAnsi"/>
              </w:rPr>
              <w:t xml:space="preserve"> </w:t>
            </w:r>
            <w:r w:rsidRPr="00B80B9D">
              <w:rPr>
                <w:rFonts w:asciiTheme="majorHAnsi" w:hAnsiTheme="majorHAnsi" w:cstheme="majorHAnsi"/>
              </w:rPr>
              <w:t>Enfermos</w:t>
            </w:r>
            <w:r>
              <w:rPr>
                <w:rFonts w:asciiTheme="majorHAnsi" w:hAnsiTheme="majorHAnsi" w:cstheme="majorHAnsi"/>
              </w:rPr>
              <w:t xml:space="preserve"> </w:t>
            </w:r>
            <w:r w:rsidRPr="00B80B9D">
              <w:rPr>
                <w:rFonts w:asciiTheme="majorHAnsi" w:hAnsiTheme="majorHAnsi" w:cstheme="majorHAnsi"/>
              </w:rPr>
              <w:t>Renales</w:t>
            </w:r>
            <w:r>
              <w:rPr>
                <w:rFonts w:asciiTheme="majorHAnsi" w:hAnsiTheme="majorHAnsi" w:cstheme="majorHAnsi"/>
              </w:rPr>
              <w:t>, gestión económica de los hospitales</w:t>
            </w:r>
            <w:r w:rsidR="000C7025">
              <w:rPr>
                <w:rFonts w:asciiTheme="majorHAnsi" w:hAnsiTheme="majorHAnsi" w:cstheme="majorHAnsi"/>
              </w:rPr>
              <w:t xml:space="preserve">, farmacia y </w:t>
            </w:r>
            <w:r>
              <w:rPr>
                <w:rFonts w:asciiTheme="majorHAnsi" w:hAnsiTheme="majorHAnsi" w:cstheme="majorHAnsi"/>
              </w:rPr>
              <w:t>facturación de los conciertos</w:t>
            </w:r>
            <w:r w:rsidR="000C7025">
              <w:rPr>
                <w:rFonts w:asciiTheme="majorHAnsi" w:hAnsiTheme="majorHAnsi" w:cstheme="majorHAnsi"/>
              </w:rPr>
              <w:t xml:space="preserve"> y </w:t>
            </w:r>
            <w:r>
              <w:rPr>
                <w:rFonts w:asciiTheme="majorHAnsi" w:hAnsiTheme="majorHAnsi" w:cstheme="majorHAnsi"/>
              </w:rPr>
              <w:t>trasporte</w:t>
            </w:r>
            <w:r w:rsidR="000C7025">
              <w:rPr>
                <w:rFonts w:asciiTheme="majorHAnsi" w:hAnsiTheme="majorHAnsi" w:cstheme="majorHAnsi"/>
              </w:rPr>
              <w:t>.</w:t>
            </w:r>
          </w:p>
        </w:tc>
        <w:tc>
          <w:tcPr>
            <w:tcW w:w="2635" w:type="pct"/>
          </w:tcPr>
          <w:p w14:paraId="3795091E" w14:textId="105018C5" w:rsidR="00527605" w:rsidRPr="00A775E1" w:rsidRDefault="00B80B9D" w:rsidP="000C7025">
            <w:pPr>
              <w:jc w:val="both"/>
              <w:rPr>
                <w:rFonts w:asciiTheme="majorHAnsi" w:hAnsiTheme="majorHAnsi" w:cstheme="majorHAnsi"/>
              </w:rPr>
            </w:pPr>
            <w:r>
              <w:rPr>
                <w:rFonts w:asciiTheme="majorHAnsi" w:hAnsiTheme="majorHAnsi" w:cstheme="majorHAnsi"/>
              </w:rPr>
              <w:t xml:space="preserve">En el 2012, se incluyeron 668 pacientes y 682 del 2013. </w:t>
            </w:r>
            <w:r w:rsidR="000C7025">
              <w:rPr>
                <w:rFonts w:asciiTheme="majorHAnsi" w:hAnsiTheme="majorHAnsi" w:cstheme="majorHAnsi"/>
              </w:rPr>
              <w:t>El coste p</w:t>
            </w:r>
            <w:r w:rsidR="000C7025" w:rsidRPr="00B80B9D">
              <w:rPr>
                <w:rFonts w:asciiTheme="majorHAnsi" w:hAnsiTheme="majorHAnsi" w:cstheme="majorHAnsi"/>
              </w:rPr>
              <w:t>romedio</w:t>
            </w:r>
            <w:r w:rsidR="000C7025">
              <w:rPr>
                <w:rFonts w:asciiTheme="majorHAnsi" w:hAnsiTheme="majorHAnsi" w:cstheme="majorHAnsi"/>
              </w:rPr>
              <w:t xml:space="preserve"> </w:t>
            </w:r>
            <w:r w:rsidR="000C7025" w:rsidRPr="00B80B9D">
              <w:rPr>
                <w:rFonts w:asciiTheme="majorHAnsi" w:hAnsiTheme="majorHAnsi" w:cstheme="majorHAnsi"/>
              </w:rPr>
              <w:t>de</w:t>
            </w:r>
            <w:r w:rsidR="000C7025">
              <w:rPr>
                <w:rFonts w:asciiTheme="majorHAnsi" w:hAnsiTheme="majorHAnsi" w:cstheme="majorHAnsi"/>
              </w:rPr>
              <w:t xml:space="preserve"> las diferentes opciones terapéuticas fue</w:t>
            </w:r>
            <w:r>
              <w:rPr>
                <w:rFonts w:asciiTheme="majorHAnsi" w:hAnsiTheme="majorHAnsi" w:cstheme="majorHAnsi"/>
              </w:rPr>
              <w:t xml:space="preserve">: Hemodiálisis hospitalaria </w:t>
            </w:r>
            <w:r w:rsidRPr="00B80B9D">
              <w:rPr>
                <w:rFonts w:asciiTheme="majorHAnsi" w:hAnsiTheme="majorHAnsi" w:cstheme="majorHAnsi"/>
              </w:rPr>
              <w:t>51.228</w:t>
            </w:r>
            <w:r>
              <w:rPr>
                <w:rFonts w:asciiTheme="majorHAnsi" w:hAnsiTheme="majorHAnsi" w:cstheme="majorHAnsi"/>
              </w:rPr>
              <w:t xml:space="preserve">€, </w:t>
            </w:r>
            <w:r w:rsidRPr="00B80B9D">
              <w:rPr>
                <w:rFonts w:asciiTheme="majorHAnsi" w:hAnsiTheme="majorHAnsi" w:cstheme="majorHAnsi"/>
              </w:rPr>
              <w:t>44</w:t>
            </w:r>
            <w:r>
              <w:rPr>
                <w:rFonts w:asciiTheme="majorHAnsi" w:hAnsiTheme="majorHAnsi" w:cstheme="majorHAnsi"/>
              </w:rPr>
              <w:t>.</w:t>
            </w:r>
            <w:r w:rsidRPr="00B80B9D">
              <w:rPr>
                <w:rFonts w:asciiTheme="majorHAnsi" w:hAnsiTheme="majorHAnsi" w:cstheme="majorHAnsi"/>
              </w:rPr>
              <w:t>814</w:t>
            </w:r>
            <w:r>
              <w:rPr>
                <w:rFonts w:asciiTheme="majorHAnsi" w:hAnsiTheme="majorHAnsi" w:cstheme="majorHAnsi"/>
              </w:rPr>
              <w:t xml:space="preserve">€ la Hemodiálisis concertada, 48.704€ Diálisis peritoneal y 10.946€ el trasplante. El </w:t>
            </w:r>
            <w:r w:rsidRPr="00B80B9D">
              <w:rPr>
                <w:rFonts w:asciiTheme="majorHAnsi" w:hAnsiTheme="majorHAnsi" w:cstheme="majorHAnsi"/>
              </w:rPr>
              <w:t>procedimiento</w:t>
            </w:r>
            <w:r>
              <w:rPr>
                <w:rFonts w:asciiTheme="majorHAnsi" w:hAnsiTheme="majorHAnsi" w:cstheme="majorHAnsi"/>
              </w:rPr>
              <w:t xml:space="preserve"> </w:t>
            </w:r>
            <w:r w:rsidRPr="00B80B9D">
              <w:rPr>
                <w:rFonts w:asciiTheme="majorHAnsi" w:hAnsiTheme="majorHAnsi" w:cstheme="majorHAnsi"/>
              </w:rPr>
              <w:t>de</w:t>
            </w:r>
            <w:r>
              <w:rPr>
                <w:rFonts w:asciiTheme="majorHAnsi" w:hAnsiTheme="majorHAnsi" w:cstheme="majorHAnsi"/>
              </w:rPr>
              <w:t xml:space="preserve"> </w:t>
            </w:r>
            <w:r w:rsidRPr="00B80B9D">
              <w:rPr>
                <w:rFonts w:asciiTheme="majorHAnsi" w:hAnsiTheme="majorHAnsi" w:cstheme="majorHAnsi"/>
              </w:rPr>
              <w:t>diálisis</w:t>
            </w:r>
            <w:r>
              <w:rPr>
                <w:rFonts w:asciiTheme="majorHAnsi" w:hAnsiTheme="majorHAnsi" w:cstheme="majorHAnsi"/>
              </w:rPr>
              <w:t xml:space="preserve"> supone el 53%, 55% y 54% del coste de Hemodiálisis hospitalaria, concertada y diálisis peritoneal respectivamente. </w:t>
            </w:r>
          </w:p>
        </w:tc>
      </w:tr>
      <w:tr w:rsidR="00B57DD4" w:rsidRPr="00A775E1" w14:paraId="0FC9EC46" w14:textId="77777777" w:rsidTr="00F276F8">
        <w:tc>
          <w:tcPr>
            <w:tcW w:w="358" w:type="pct"/>
          </w:tcPr>
          <w:p w14:paraId="3721A9B0" w14:textId="4BFB4569" w:rsidR="00B57DD4" w:rsidRPr="006B101C" w:rsidRDefault="00B57DD4" w:rsidP="00B57DD4">
            <w:pPr>
              <w:jc w:val="both"/>
              <w:rPr>
                <w:rFonts w:asciiTheme="majorHAnsi" w:hAnsiTheme="majorHAnsi" w:cstheme="majorHAnsi"/>
                <w:highlight w:val="yellow"/>
              </w:rPr>
            </w:pPr>
            <w:r w:rsidRPr="006B101C">
              <w:rPr>
                <w:rFonts w:asciiTheme="majorHAnsi" w:hAnsiTheme="majorHAnsi" w:cstheme="majorHAnsi"/>
                <w:highlight w:val="yellow"/>
              </w:rPr>
              <w:t>Parra- Moncasi (2011)</w:t>
            </w:r>
            <w:r w:rsidRPr="006B101C">
              <w:rPr>
                <w:rFonts w:asciiTheme="majorHAnsi" w:hAnsiTheme="majorHAnsi" w:cstheme="majorHAnsi"/>
                <w:highlight w:val="yellow"/>
              </w:rPr>
              <w:fldChar w:fldCharType="begin" w:fldLock="1"/>
            </w:r>
            <w:r w:rsidR="001A30DD" w:rsidRPr="006B101C">
              <w:rPr>
                <w:rFonts w:asciiTheme="majorHAnsi" w:hAnsiTheme="majorHAnsi" w:cstheme="majorHAnsi"/>
                <w:highlight w:val="yellow"/>
              </w:rPr>
              <w:instrText>ADDIN CSL_CITATION {"citationItems":[{"id":"ITEM-1","itemData":{"DOI":"10.3265/Nefrologia.pre2011.Apr.10813","ISSN":"1989-2284 (Electronic)","PMID":"21629336","abstract":"BACKGROUND: Previous studies to determine the cost of haemodialysis (HD) in Spain  have significant limitations: they are outdated or used indirect methods. There is also a lack of analysis performed simultaneously on Public centres (PC), with direct HD services, and partially state-subsidised centres (SC). This is an important issue since the two systems coexist in Spain. OBJECTIVES: To estimate the cost of HD replacement therapy for chronic renal failure in several centres. METHODS: This is a prospective and publicly-funded study, which estimates the costs for 2008 using a cost accounting system with specific allocation criteria. We collected demographic and comorbidity data for each centre. RESULTS: Six centres participated, two PC and four SC. There were no significant differences between centres in terms of patient demographics, time on haemodialysis and the Charlson comorbidity index. The total cost per patient per year ranged between € 46, 254 and € 33,130. The cost per patient per year (excluding vascular access and hospital admission) for PC was € 42, 547 and € 39, 289 and for SC € 32 872, € 29, 786, € 35, 461 and € 35, 294 (23% more in PC than SC). Costs related to staff/patient/year and consumables/patient/year were 67% and 83% respectively, higher for PC than SC. The highest percentage cost was for staff (average 30.9%), which showed significant variability between centres, both in absolute numbers (staff cost per patient per year between € 18,151 and € 8504) and as a percentage (between 42.6 % and 25.4%). CONCLUSIONS: Cost variability exists among different HD centres, and this can be attributed primarily to staff and consumables costs, which is higher for PC than SC.","author":[{"dropping-particle":"","family":"Parra Moncasi","given":"E","non-dropping-particle":"","parse-names":false,"suffix":""},{"dropping-particle":"","family":"Arenas Jiménez","given":"M D","non-dropping-particle":"","parse-names":false,"suffix":""},{"dropping-particle":"","family":"Alonso","given":"M","non-dropping-particle":"","parse-names":false,"suffix":""},{"dropping-particle":"","family":"Martínez","given":"M F","non-dropping-particle":"","parse-names":false,"suffix":""},{"dropping-particle":"","family":"Gámen Pardo","given":"A","non-dropping-particle":"","parse-names":false,"suffix":""},{"dropping-particle":"","family":"Rebollo","given":"P","non-dropping-particle":"","parse-names":false,"suffix":""},{"dropping-particle":"","family":"Ortega Montoliú","given":"T","non-dropping-particle":"","parse-names":false,"suffix":""},{"dropping-particle":"","family":"Martínez Terrer","given":"T","non-dropping-particle":"","parse-names":false,"suffix":""},{"dropping-particle":"","family":"Alvarez-Ude","given":"F","non-dropping-particle":"","parse-names":false,"suffix":""}],"container-title":"Nefrologia : publicacion oficial de la Sociedad Espanola Nefrologia","id":"ITEM-1","issue":"3","issued":{"date-parts":[["2011"]]},"language":"eng","page":"299-307","publisher-place":"Spain","title":"Multicentre study of haemodialysis costs.","type":"article-journal","volume":"31"},"uris":["http://www.mendeley.com/documents/?uuid=663dacd5-96af-403e-b510-005baf3f12a2"]}],"mendeley":{"formattedCitation":"&lt;sup&gt;26&lt;/sup&gt;","plainTextFormattedCitation":"26","previouslyFormattedCitation":"&lt;sup&gt;26&lt;/sup&gt;"},"properties":{"noteIndex":0},"schema":"https://github.com/citation-style-language/schema/raw/master/csl-citation.json"}</w:instrText>
            </w:r>
            <w:r w:rsidRPr="006B101C">
              <w:rPr>
                <w:rFonts w:asciiTheme="majorHAnsi" w:hAnsiTheme="majorHAnsi" w:cstheme="majorHAnsi"/>
                <w:highlight w:val="yellow"/>
              </w:rPr>
              <w:fldChar w:fldCharType="separate"/>
            </w:r>
            <w:r w:rsidRPr="006B101C">
              <w:rPr>
                <w:rFonts w:asciiTheme="majorHAnsi" w:hAnsiTheme="majorHAnsi" w:cstheme="majorHAnsi"/>
                <w:noProof/>
                <w:highlight w:val="yellow"/>
                <w:vertAlign w:val="superscript"/>
              </w:rPr>
              <w:t>26</w:t>
            </w:r>
            <w:r w:rsidRPr="006B101C">
              <w:rPr>
                <w:rFonts w:asciiTheme="majorHAnsi" w:hAnsiTheme="majorHAnsi" w:cstheme="majorHAnsi"/>
                <w:highlight w:val="yellow"/>
              </w:rPr>
              <w:fldChar w:fldCharType="end"/>
            </w:r>
            <w:r w:rsidRPr="006B101C">
              <w:rPr>
                <w:highlight w:val="yellow"/>
              </w:rPr>
              <w:t xml:space="preserve"> </w:t>
            </w:r>
          </w:p>
        </w:tc>
        <w:tc>
          <w:tcPr>
            <w:tcW w:w="892" w:type="pct"/>
          </w:tcPr>
          <w:p w14:paraId="21779E54" w14:textId="029F1EDD" w:rsidR="00B57DD4" w:rsidRPr="006B101C" w:rsidRDefault="00B57DD4" w:rsidP="00B57DD4">
            <w:pPr>
              <w:jc w:val="both"/>
              <w:rPr>
                <w:rFonts w:asciiTheme="majorHAnsi" w:hAnsiTheme="majorHAnsi" w:cstheme="majorHAnsi"/>
                <w:highlight w:val="yellow"/>
              </w:rPr>
            </w:pPr>
            <w:r w:rsidRPr="006B101C">
              <w:rPr>
                <w:rFonts w:asciiTheme="majorHAnsi" w:hAnsiTheme="majorHAnsi" w:cstheme="majorHAnsi"/>
                <w:highlight w:val="yellow"/>
              </w:rPr>
              <w:t>Estimar el coste efectivo del tratamiento sustitutivo de la función renal con HD en la enfermedad renal crónica terminal en diversos centros.</w:t>
            </w:r>
          </w:p>
        </w:tc>
        <w:tc>
          <w:tcPr>
            <w:tcW w:w="1115" w:type="pct"/>
          </w:tcPr>
          <w:p w14:paraId="0501CABF" w14:textId="73BEFE61" w:rsidR="00B57DD4" w:rsidRPr="006B101C" w:rsidRDefault="003A0068" w:rsidP="003A0068">
            <w:pPr>
              <w:jc w:val="both"/>
              <w:rPr>
                <w:rFonts w:asciiTheme="majorHAnsi" w:hAnsiTheme="majorHAnsi" w:cstheme="majorHAnsi"/>
                <w:highlight w:val="yellow"/>
              </w:rPr>
            </w:pPr>
            <w:r w:rsidRPr="006B101C">
              <w:rPr>
                <w:rFonts w:asciiTheme="majorHAnsi" w:hAnsiTheme="majorHAnsi" w:cstheme="majorHAnsi"/>
                <w:highlight w:val="yellow"/>
              </w:rPr>
              <w:t>Estudio prospectivo mediante contabilidad analítica que explicita los criterios de imputación.</w:t>
            </w:r>
          </w:p>
        </w:tc>
        <w:tc>
          <w:tcPr>
            <w:tcW w:w="2635" w:type="pct"/>
          </w:tcPr>
          <w:p w14:paraId="30CBA6C7" w14:textId="2E7B699A" w:rsidR="00B57DD4" w:rsidRDefault="003A0068" w:rsidP="003A0068">
            <w:pPr>
              <w:jc w:val="both"/>
              <w:rPr>
                <w:rFonts w:asciiTheme="majorHAnsi" w:hAnsiTheme="majorHAnsi" w:cstheme="majorHAnsi"/>
              </w:rPr>
            </w:pPr>
            <w:r w:rsidRPr="006B101C">
              <w:rPr>
                <w:rFonts w:asciiTheme="majorHAnsi" w:hAnsiTheme="majorHAnsi" w:cstheme="majorHAnsi"/>
                <w:highlight w:val="yellow"/>
              </w:rPr>
              <w:t>El coste/paciente/año (excluyendo hospitalización y acceso vascular) de los centros públicos fue de 42.547€ y 39.289€ y para los centros concertados de 32.872€, 29.786€, 35.461€ y 35.294 € (23% superior en los públicos que en los concertados). Los valores más altos de porcentaje sobre el coste total fueron para los públicos 22,4% de fungible, 21,7% personal de enfermería y 11,8% farmacia hospitalaria, mientras que en los centros concertados fueron 16,4% farmacia hospitalaria, 15% fungible y 14,1% para farmacia hospitalaria y personal de enfermería.</w:t>
            </w:r>
          </w:p>
        </w:tc>
      </w:tr>
      <w:tr w:rsidR="00F633FD" w:rsidRPr="00A775E1" w14:paraId="6EC0465F" w14:textId="77777777" w:rsidTr="00F276F8">
        <w:tc>
          <w:tcPr>
            <w:tcW w:w="358" w:type="pct"/>
          </w:tcPr>
          <w:p w14:paraId="0645D83E" w14:textId="058603D0" w:rsidR="00F633FD" w:rsidRDefault="00F633FD" w:rsidP="00324BBE">
            <w:pPr>
              <w:jc w:val="both"/>
              <w:rPr>
                <w:rFonts w:asciiTheme="majorHAnsi" w:hAnsiTheme="majorHAnsi" w:cstheme="majorHAnsi"/>
              </w:rPr>
            </w:pPr>
            <w:r>
              <w:rPr>
                <w:rFonts w:asciiTheme="majorHAnsi" w:hAnsiTheme="majorHAnsi" w:cstheme="majorHAnsi"/>
              </w:rPr>
              <w:t xml:space="preserve">AETSA </w:t>
            </w:r>
            <w:r w:rsidR="00324BBE">
              <w:rPr>
                <w:rFonts w:asciiTheme="majorHAnsi" w:hAnsiTheme="majorHAnsi" w:cstheme="majorHAnsi"/>
              </w:rPr>
              <w:t>(</w:t>
            </w:r>
            <w:r>
              <w:rPr>
                <w:rFonts w:asciiTheme="majorHAnsi" w:hAnsiTheme="majorHAnsi" w:cstheme="majorHAnsi"/>
              </w:rPr>
              <w:t>2012</w:t>
            </w:r>
            <w:r w:rsidR="00324BBE">
              <w:rPr>
                <w:rFonts w:asciiTheme="majorHAnsi" w:hAnsiTheme="majorHAnsi" w:cstheme="majorHAnsi"/>
              </w:rPr>
              <w:t>)</w:t>
            </w:r>
            <w:r w:rsidR="00324BBE">
              <w:rPr>
                <w:rFonts w:asciiTheme="majorHAnsi" w:hAnsiTheme="majorHAnsi" w:cstheme="majorHAnsi"/>
              </w:rPr>
              <w:fldChar w:fldCharType="begin" w:fldLock="1"/>
            </w:r>
            <w:r w:rsidR="008100F2">
              <w:rPr>
                <w:rFonts w:asciiTheme="majorHAnsi" w:hAnsiTheme="majorHAnsi" w:cstheme="majorHAnsi"/>
              </w:rPr>
              <w:instrText>ADDIN CSL_CITATION {"citationItems":[{"id":"ITEM-1","itemData":{"ISBN":"9788415600350","author":[{"dropping-particle":"","family":"Márquez","given":"S","non-dropping-particle":"","parse-names":false,"suffix":""},{"dropping-particle":"","family":"Caro","given":"Araceli","non-dropping-particle":"","parse-names":false,"suffix":""},{"dropping-particle":"","family":"Adam","given":"Daniel","non-dropping-particle":"","parse-names":false,"suffix":""},{"dropping-particle":"","family":"Olry-de-Labry-Lima","given":"Antonio","non-dropping-particle":"","parse-names":false,"suffix":""},{"dropping-particle":"","family":"Navarro","given":"JA","non-dropping-particle":"","parse-names":false,"suffix":""},{"dropping-particle":"","family":"García","given":"Leticia","non-dropping-particle":"","parse-names":false,"suffix":""}],"id":"ITEM-1","issued":{"date-parts":[["2013"]]},"title":"Eficiencia de la diálisis peritoneal frente a hemodiálisis para el tratamiento de la insuficiencia renal. Informes de evaluación de tecnologías sanitarias AETSA","type":"book"},"uris":["http://www.mendeley.com/documents/?uuid=f4735f38-8a98-4c6c-a51c-c212c1b6d8d3"]}],"mendeley":{"formattedCitation":"&lt;sup&gt;3&lt;/sup&gt;","plainTextFormattedCitation":"3","previouslyFormattedCitation":"&lt;sup&gt;3&lt;/sup&gt;"},"properties":{"noteIndex":0},"schema":"https://github.com/citation-style-language/schema/raw/master/csl-citation.json"}</w:instrText>
            </w:r>
            <w:r w:rsidR="00324BBE">
              <w:rPr>
                <w:rFonts w:asciiTheme="majorHAnsi" w:hAnsiTheme="majorHAnsi" w:cstheme="majorHAnsi"/>
              </w:rPr>
              <w:fldChar w:fldCharType="separate"/>
            </w:r>
            <w:r w:rsidR="00324BBE" w:rsidRPr="00324BBE">
              <w:rPr>
                <w:rFonts w:asciiTheme="majorHAnsi" w:hAnsiTheme="majorHAnsi" w:cstheme="majorHAnsi"/>
                <w:noProof/>
                <w:vertAlign w:val="superscript"/>
              </w:rPr>
              <w:t>3</w:t>
            </w:r>
            <w:r w:rsidR="00324BBE">
              <w:rPr>
                <w:rFonts w:asciiTheme="majorHAnsi" w:hAnsiTheme="majorHAnsi" w:cstheme="majorHAnsi"/>
              </w:rPr>
              <w:fldChar w:fldCharType="end"/>
            </w:r>
          </w:p>
        </w:tc>
        <w:tc>
          <w:tcPr>
            <w:tcW w:w="892" w:type="pct"/>
          </w:tcPr>
          <w:p w14:paraId="40857AB8" w14:textId="721A5CFA" w:rsidR="00F633FD" w:rsidRPr="00BA123C" w:rsidRDefault="00F133BF" w:rsidP="00CD600C">
            <w:pPr>
              <w:jc w:val="both"/>
              <w:rPr>
                <w:rFonts w:asciiTheme="majorHAnsi" w:hAnsiTheme="majorHAnsi" w:cstheme="majorHAnsi"/>
              </w:rPr>
            </w:pPr>
            <w:r w:rsidRPr="00CD600C">
              <w:rPr>
                <w:rFonts w:asciiTheme="majorHAnsi" w:hAnsiTheme="majorHAnsi" w:cstheme="majorHAnsi"/>
              </w:rPr>
              <w:t xml:space="preserve">Estimar el coste de las </w:t>
            </w:r>
            <w:r w:rsidR="00CD600C" w:rsidRPr="00CD600C">
              <w:rPr>
                <w:rFonts w:asciiTheme="majorHAnsi" w:hAnsiTheme="majorHAnsi" w:cstheme="majorHAnsi"/>
              </w:rPr>
              <w:t xml:space="preserve">diferentes modalidades de diálisis </w:t>
            </w:r>
            <w:r w:rsidRPr="00CD600C">
              <w:rPr>
                <w:rFonts w:asciiTheme="majorHAnsi" w:hAnsiTheme="majorHAnsi" w:cstheme="majorHAnsi"/>
              </w:rPr>
              <w:t xml:space="preserve">a partir de datos de </w:t>
            </w:r>
            <w:r w:rsidRPr="00CD600C">
              <w:rPr>
                <w:rFonts w:asciiTheme="majorHAnsi" w:hAnsiTheme="majorHAnsi" w:cstheme="majorHAnsi"/>
              </w:rPr>
              <w:lastRenderedPageBreak/>
              <w:t>centros hospitalarios del Sistema Sanitario Público de Andalucía</w:t>
            </w:r>
            <w:r w:rsidR="00CD600C" w:rsidRPr="00CD600C">
              <w:rPr>
                <w:rFonts w:asciiTheme="majorHAnsi" w:hAnsiTheme="majorHAnsi" w:cstheme="majorHAnsi"/>
              </w:rPr>
              <w:t>.</w:t>
            </w:r>
          </w:p>
        </w:tc>
        <w:tc>
          <w:tcPr>
            <w:tcW w:w="1115" w:type="pct"/>
          </w:tcPr>
          <w:p w14:paraId="5BC1C786" w14:textId="725E73FA" w:rsidR="00CD600C" w:rsidRPr="00CD600C" w:rsidRDefault="00CD600C" w:rsidP="00C74013">
            <w:pPr>
              <w:jc w:val="both"/>
              <w:rPr>
                <w:sz w:val="20"/>
                <w:szCs w:val="20"/>
              </w:rPr>
            </w:pPr>
            <w:r>
              <w:rPr>
                <w:rFonts w:asciiTheme="majorHAnsi" w:hAnsiTheme="majorHAnsi" w:cstheme="majorHAnsi"/>
              </w:rPr>
              <w:lastRenderedPageBreak/>
              <w:t xml:space="preserve">Coste </w:t>
            </w:r>
            <w:r w:rsidR="00C74013">
              <w:rPr>
                <w:rFonts w:asciiTheme="majorHAnsi" w:hAnsiTheme="majorHAnsi" w:cstheme="majorHAnsi"/>
              </w:rPr>
              <w:t>anual según</w:t>
            </w:r>
            <w:r w:rsidRPr="00CD600C">
              <w:rPr>
                <w:rFonts w:asciiTheme="majorHAnsi" w:hAnsiTheme="majorHAnsi" w:cstheme="majorHAnsi"/>
              </w:rPr>
              <w:t xml:space="preserve"> modalidad de diálisis</w:t>
            </w:r>
            <w:r>
              <w:rPr>
                <w:rFonts w:asciiTheme="majorHAnsi" w:hAnsiTheme="majorHAnsi" w:cstheme="majorHAnsi"/>
              </w:rPr>
              <w:t xml:space="preserve"> y ámbito asistencial</w:t>
            </w:r>
            <w:r w:rsidRPr="00CD600C">
              <w:rPr>
                <w:rFonts w:asciiTheme="majorHAnsi" w:hAnsiTheme="majorHAnsi" w:cstheme="majorHAnsi"/>
              </w:rPr>
              <w:t>, según la metodología ABC</w:t>
            </w:r>
            <w:r w:rsidR="00C74013">
              <w:rPr>
                <w:rFonts w:asciiTheme="majorHAnsi" w:hAnsiTheme="majorHAnsi" w:cstheme="majorHAnsi"/>
              </w:rPr>
              <w:t xml:space="preserve"> </w:t>
            </w:r>
            <w:r w:rsidRPr="00CD600C">
              <w:rPr>
                <w:rFonts w:asciiTheme="majorHAnsi" w:hAnsiTheme="majorHAnsi" w:cstheme="majorHAnsi"/>
              </w:rPr>
              <w:t>consideran</w:t>
            </w:r>
            <w:r>
              <w:rPr>
                <w:rFonts w:asciiTheme="majorHAnsi" w:hAnsiTheme="majorHAnsi" w:cstheme="majorHAnsi"/>
              </w:rPr>
              <w:t>do</w:t>
            </w:r>
            <w:r w:rsidRPr="00CD600C">
              <w:rPr>
                <w:rFonts w:asciiTheme="majorHAnsi" w:hAnsiTheme="majorHAnsi" w:cstheme="majorHAnsi"/>
              </w:rPr>
              <w:t xml:space="preserve"> lo</w:t>
            </w:r>
            <w:r>
              <w:rPr>
                <w:rFonts w:asciiTheme="majorHAnsi" w:hAnsiTheme="majorHAnsi" w:cstheme="majorHAnsi"/>
              </w:rPr>
              <w:t xml:space="preserve">s </w:t>
            </w:r>
            <w:r>
              <w:rPr>
                <w:rFonts w:asciiTheme="majorHAnsi" w:hAnsiTheme="majorHAnsi" w:cstheme="majorHAnsi"/>
              </w:rPr>
              <w:lastRenderedPageBreak/>
              <w:t>costes sanitarios totales</w:t>
            </w:r>
            <w:r w:rsidRPr="00CD600C">
              <w:rPr>
                <w:rFonts w:asciiTheme="majorHAnsi" w:hAnsiTheme="majorHAnsi" w:cstheme="majorHAnsi"/>
              </w:rPr>
              <w:t xml:space="preserve"> desde la perspectiva del financiador</w:t>
            </w:r>
            <w:r>
              <w:rPr>
                <w:rFonts w:asciiTheme="majorHAnsi" w:hAnsiTheme="majorHAnsi" w:cstheme="majorHAnsi"/>
              </w:rPr>
              <w:t xml:space="preserve">. </w:t>
            </w:r>
            <w:r w:rsidR="00B36F6D">
              <w:rPr>
                <w:rFonts w:asciiTheme="majorHAnsi" w:hAnsiTheme="majorHAnsi" w:cstheme="majorHAnsi"/>
              </w:rPr>
              <w:t>El estudio se aplicó a una unidad de gestión clínica intercentros provincial.</w:t>
            </w:r>
          </w:p>
        </w:tc>
        <w:tc>
          <w:tcPr>
            <w:tcW w:w="2635" w:type="pct"/>
          </w:tcPr>
          <w:p w14:paraId="325FB7EA" w14:textId="5B26CE9F" w:rsidR="00F633FD" w:rsidRDefault="00CD600C" w:rsidP="00CD600C">
            <w:pPr>
              <w:jc w:val="both"/>
              <w:rPr>
                <w:rFonts w:asciiTheme="majorHAnsi" w:hAnsiTheme="majorHAnsi" w:cstheme="majorHAnsi"/>
              </w:rPr>
            </w:pPr>
            <w:r>
              <w:rPr>
                <w:rFonts w:asciiTheme="majorHAnsi" w:hAnsiTheme="majorHAnsi" w:cstheme="majorHAnsi"/>
              </w:rPr>
              <w:lastRenderedPageBreak/>
              <w:t xml:space="preserve">El coste total </w:t>
            </w:r>
            <w:r w:rsidR="00B36F6D">
              <w:rPr>
                <w:rFonts w:asciiTheme="majorHAnsi" w:hAnsiTheme="majorHAnsi" w:cstheme="majorHAnsi"/>
              </w:rPr>
              <w:t xml:space="preserve">anual </w:t>
            </w:r>
            <w:r>
              <w:rPr>
                <w:rFonts w:asciiTheme="majorHAnsi" w:hAnsiTheme="majorHAnsi" w:cstheme="majorHAnsi"/>
              </w:rPr>
              <w:t>de</w:t>
            </w:r>
            <w:r w:rsidR="00C74013">
              <w:rPr>
                <w:rFonts w:asciiTheme="majorHAnsi" w:hAnsiTheme="majorHAnsi" w:cstheme="majorHAnsi"/>
              </w:rPr>
              <w:t xml:space="preserve">l </w:t>
            </w:r>
            <w:r w:rsidR="00B36F6D">
              <w:rPr>
                <w:rFonts w:asciiTheme="majorHAnsi" w:hAnsiTheme="majorHAnsi" w:cstheme="majorHAnsi"/>
              </w:rPr>
              <w:t>paciente</w:t>
            </w:r>
            <w:r w:rsidR="00C74013">
              <w:rPr>
                <w:rFonts w:asciiTheme="majorHAnsi" w:hAnsiTheme="majorHAnsi" w:cstheme="majorHAnsi"/>
              </w:rPr>
              <w:t>, sin tener en cuenta el seguimiento del paciente,</w:t>
            </w:r>
            <w:r w:rsidR="00B36F6D">
              <w:rPr>
                <w:rFonts w:asciiTheme="majorHAnsi" w:hAnsiTheme="majorHAnsi" w:cstheme="majorHAnsi"/>
              </w:rPr>
              <w:t xml:space="preserve"> en </w:t>
            </w:r>
            <w:r>
              <w:rPr>
                <w:rFonts w:asciiTheme="majorHAnsi" w:hAnsiTheme="majorHAnsi" w:cstheme="majorHAnsi"/>
              </w:rPr>
              <w:t>HD hospitalaria</w:t>
            </w:r>
            <w:r w:rsidR="00C74013">
              <w:rPr>
                <w:rFonts w:asciiTheme="majorHAnsi" w:hAnsiTheme="majorHAnsi" w:cstheme="majorHAnsi"/>
              </w:rPr>
              <w:t xml:space="preserve"> fue de</w:t>
            </w:r>
            <w:r>
              <w:rPr>
                <w:rFonts w:asciiTheme="majorHAnsi" w:hAnsiTheme="majorHAnsi" w:cstheme="majorHAnsi"/>
              </w:rPr>
              <w:t xml:space="preserve"> </w:t>
            </w:r>
            <w:r w:rsidRPr="00CD600C">
              <w:rPr>
                <w:rFonts w:asciiTheme="majorHAnsi" w:hAnsiTheme="majorHAnsi" w:cstheme="majorHAnsi"/>
              </w:rPr>
              <w:t>43.395,40€</w:t>
            </w:r>
            <w:r w:rsidR="00B36F6D">
              <w:rPr>
                <w:rFonts w:asciiTheme="majorHAnsi" w:hAnsiTheme="majorHAnsi" w:cstheme="majorHAnsi"/>
              </w:rPr>
              <w:t xml:space="preserve">, frente a </w:t>
            </w:r>
            <w:r w:rsidR="00B36F6D" w:rsidRPr="00B36F6D">
              <w:rPr>
                <w:rFonts w:asciiTheme="majorHAnsi" w:hAnsiTheme="majorHAnsi" w:cstheme="majorHAnsi"/>
              </w:rPr>
              <w:t>38.815,77€</w:t>
            </w:r>
            <w:r w:rsidR="00B36F6D">
              <w:rPr>
                <w:rFonts w:asciiTheme="majorHAnsi" w:hAnsiTheme="majorHAnsi" w:cstheme="majorHAnsi"/>
              </w:rPr>
              <w:t xml:space="preserve"> para </w:t>
            </w:r>
            <w:r w:rsidR="00C74013">
              <w:rPr>
                <w:rFonts w:asciiTheme="majorHAnsi" w:hAnsiTheme="majorHAnsi" w:cstheme="majorHAnsi"/>
              </w:rPr>
              <w:t>la</w:t>
            </w:r>
            <w:r w:rsidR="00B36F6D">
              <w:rPr>
                <w:rFonts w:asciiTheme="majorHAnsi" w:hAnsiTheme="majorHAnsi" w:cstheme="majorHAnsi"/>
              </w:rPr>
              <w:t xml:space="preserve"> HD concertada. Con un porcentaje de utilización del 47,81% y del 52,19%</w:t>
            </w:r>
            <w:r w:rsidR="00180386">
              <w:rPr>
                <w:rFonts w:asciiTheme="majorHAnsi" w:hAnsiTheme="majorHAnsi" w:cstheme="majorHAnsi"/>
              </w:rPr>
              <w:t>, respectivamente</w:t>
            </w:r>
            <w:r w:rsidR="00B36F6D">
              <w:rPr>
                <w:rFonts w:asciiTheme="majorHAnsi" w:hAnsiTheme="majorHAnsi" w:cstheme="majorHAnsi"/>
              </w:rPr>
              <w:t xml:space="preserve"> para la HD hospitalaria y concertad</w:t>
            </w:r>
            <w:r w:rsidR="00180386">
              <w:rPr>
                <w:rFonts w:asciiTheme="majorHAnsi" w:hAnsiTheme="majorHAnsi" w:cstheme="majorHAnsi"/>
              </w:rPr>
              <w:t xml:space="preserve">a, </w:t>
            </w:r>
            <w:r w:rsidR="00180386">
              <w:rPr>
                <w:rFonts w:asciiTheme="majorHAnsi" w:hAnsiTheme="majorHAnsi" w:cstheme="majorHAnsi"/>
              </w:rPr>
              <w:lastRenderedPageBreak/>
              <w:t xml:space="preserve">el coste total anual para el </w:t>
            </w:r>
            <w:r w:rsidR="00180386" w:rsidRPr="00180386">
              <w:rPr>
                <w:rFonts w:asciiTheme="majorHAnsi" w:hAnsiTheme="majorHAnsi" w:cstheme="majorHAnsi"/>
              </w:rPr>
              <w:t xml:space="preserve">Proceso </w:t>
            </w:r>
            <w:r w:rsidR="00180386">
              <w:rPr>
                <w:rFonts w:asciiTheme="majorHAnsi" w:hAnsiTheme="majorHAnsi" w:cstheme="majorHAnsi"/>
              </w:rPr>
              <w:t xml:space="preserve">HD ascendió a </w:t>
            </w:r>
            <w:r w:rsidR="00180386" w:rsidRPr="00180386">
              <w:rPr>
                <w:rFonts w:asciiTheme="majorHAnsi" w:hAnsiTheme="majorHAnsi" w:cstheme="majorHAnsi"/>
              </w:rPr>
              <w:t>44.778,10 €</w:t>
            </w:r>
            <w:r w:rsidR="00180386">
              <w:rPr>
                <w:rFonts w:asciiTheme="majorHAnsi" w:hAnsiTheme="majorHAnsi" w:cstheme="majorHAnsi"/>
              </w:rPr>
              <w:t xml:space="preserve"> por paciente (incluido el seguimiento y cifrado en </w:t>
            </w:r>
            <w:r w:rsidR="00180386" w:rsidRPr="00180386">
              <w:rPr>
                <w:rFonts w:asciiTheme="majorHAnsi" w:hAnsiTheme="majorHAnsi" w:cstheme="majorHAnsi"/>
              </w:rPr>
              <w:t>1.972,77 €</w:t>
            </w:r>
            <w:r w:rsidR="00180386">
              <w:rPr>
                <w:rFonts w:asciiTheme="majorHAnsi" w:hAnsiTheme="majorHAnsi" w:cstheme="majorHAnsi"/>
              </w:rPr>
              <w:t>/año/paciente).</w:t>
            </w:r>
          </w:p>
          <w:p w14:paraId="341041FD" w14:textId="5956A341" w:rsidR="00CD600C" w:rsidRDefault="00CD600C" w:rsidP="00C74013">
            <w:pPr>
              <w:jc w:val="both"/>
              <w:rPr>
                <w:rFonts w:asciiTheme="majorHAnsi" w:hAnsiTheme="majorHAnsi" w:cstheme="majorHAnsi"/>
              </w:rPr>
            </w:pPr>
          </w:p>
        </w:tc>
      </w:tr>
    </w:tbl>
    <w:p w14:paraId="2154C24A" w14:textId="0F2A7606" w:rsidR="00C74013" w:rsidRDefault="00C74013" w:rsidP="00062BE9">
      <w:pPr>
        <w:rPr>
          <w:rFonts w:asciiTheme="majorHAnsi" w:hAnsiTheme="majorHAnsi" w:cstheme="majorHAnsi"/>
        </w:rPr>
      </w:pPr>
      <w:r>
        <w:rPr>
          <w:rFonts w:asciiTheme="majorHAnsi" w:hAnsiTheme="majorHAnsi" w:cstheme="majorHAnsi"/>
        </w:rPr>
        <w:lastRenderedPageBreak/>
        <w:t xml:space="preserve">HD: Hemodíalisis; </w:t>
      </w:r>
      <w:r w:rsidR="00062BE9" w:rsidRPr="00FF47F5">
        <w:rPr>
          <w:rFonts w:asciiTheme="majorHAnsi" w:hAnsiTheme="majorHAnsi" w:cstheme="majorHAnsi"/>
        </w:rPr>
        <w:t>USRDS</w:t>
      </w:r>
      <w:r>
        <w:rPr>
          <w:rFonts w:asciiTheme="majorHAnsi" w:hAnsiTheme="majorHAnsi" w:cstheme="majorHAnsi"/>
        </w:rPr>
        <w:t xml:space="preserve"> (</w:t>
      </w:r>
      <w:r w:rsidRPr="00492C1A">
        <w:rPr>
          <w:rFonts w:asciiTheme="majorHAnsi" w:hAnsiTheme="majorHAnsi" w:cstheme="majorHAnsi"/>
        </w:rPr>
        <w:t>United States Renal Data System</w:t>
      </w:r>
      <w:r>
        <w:rPr>
          <w:rFonts w:asciiTheme="majorHAnsi" w:hAnsiTheme="majorHAnsi" w:cstheme="majorHAnsi"/>
        </w:rPr>
        <w:t>)</w:t>
      </w:r>
      <w:r w:rsidR="00062BE9" w:rsidRPr="00FF47F5">
        <w:rPr>
          <w:rFonts w:asciiTheme="majorHAnsi" w:hAnsiTheme="majorHAnsi" w:cstheme="majorHAnsi"/>
        </w:rPr>
        <w:t xml:space="preserve">: United States Renal Data System; </w:t>
      </w:r>
      <w:r w:rsidR="001045F6">
        <w:rPr>
          <w:rFonts w:asciiTheme="majorHAnsi" w:hAnsiTheme="majorHAnsi" w:cstheme="majorHAnsi"/>
        </w:rPr>
        <w:t xml:space="preserve">OR: Odds Ratio; </w:t>
      </w:r>
      <w:r w:rsidR="00062BE9" w:rsidRPr="007F59A9">
        <w:rPr>
          <w:rFonts w:asciiTheme="majorHAnsi" w:hAnsiTheme="majorHAnsi" w:cstheme="majorHAnsi"/>
        </w:rPr>
        <w:t xml:space="preserve">IC95%: </w:t>
      </w:r>
      <w:r w:rsidR="00062BE9">
        <w:rPr>
          <w:rFonts w:asciiTheme="majorHAnsi" w:hAnsiTheme="majorHAnsi" w:cstheme="majorHAnsi"/>
        </w:rPr>
        <w:t xml:space="preserve">Intervalo de confianza al 95%; </w:t>
      </w:r>
      <w:r w:rsidR="00062BE9" w:rsidRPr="00FF47F5">
        <w:rPr>
          <w:rFonts w:asciiTheme="majorHAnsi" w:hAnsiTheme="majorHAnsi" w:cstheme="majorHAnsi"/>
        </w:rPr>
        <w:t>VA: Departamento de Asuntos de Veteranos</w:t>
      </w:r>
      <w:r w:rsidR="00062BE9">
        <w:rPr>
          <w:rFonts w:asciiTheme="majorHAnsi" w:hAnsiTheme="majorHAnsi" w:cstheme="majorHAnsi"/>
        </w:rPr>
        <w:t>; DoD: Departamento de Defensa; FAV: Fístula arteriovenosa</w:t>
      </w:r>
      <w:r w:rsidR="00DD2FF4">
        <w:rPr>
          <w:rFonts w:asciiTheme="majorHAnsi" w:hAnsiTheme="majorHAnsi" w:cstheme="majorHAnsi"/>
        </w:rPr>
        <w:t>;</w:t>
      </w:r>
      <w:r w:rsidR="001045F6">
        <w:rPr>
          <w:rFonts w:asciiTheme="majorHAnsi" w:hAnsiTheme="majorHAnsi" w:cstheme="majorHAnsi"/>
        </w:rPr>
        <w:t xml:space="preserve"> </w:t>
      </w:r>
      <w:r w:rsidR="00B25FCD">
        <w:rPr>
          <w:rFonts w:asciiTheme="majorHAnsi" w:hAnsiTheme="majorHAnsi" w:cstheme="majorHAnsi"/>
        </w:rPr>
        <w:t>ds: desviación estándar</w:t>
      </w:r>
      <w:r w:rsidR="00DD2FF4">
        <w:rPr>
          <w:rFonts w:asciiTheme="majorHAnsi" w:hAnsiTheme="majorHAnsi" w:cstheme="majorHAnsi"/>
        </w:rPr>
        <w:t xml:space="preserve">; €: Euros; IHH: </w:t>
      </w:r>
      <w:r w:rsidR="00DD2FF4" w:rsidRPr="0025653C">
        <w:rPr>
          <w:rFonts w:asciiTheme="majorHAnsi" w:hAnsiTheme="majorHAnsi" w:cstheme="majorHAnsi"/>
        </w:rPr>
        <w:t>índice Hirschman-Herfindahl</w:t>
      </w:r>
      <w:r w:rsidR="00DD2FF4">
        <w:rPr>
          <w:rFonts w:asciiTheme="majorHAnsi" w:hAnsiTheme="majorHAnsi" w:cstheme="majorHAnsi"/>
        </w:rPr>
        <w:t xml:space="preserve"> </w:t>
      </w:r>
    </w:p>
    <w:p w14:paraId="38DD76E6" w14:textId="77777777" w:rsidR="00DD2FF4" w:rsidRPr="00FF47F5" w:rsidRDefault="00DD2FF4" w:rsidP="00062BE9">
      <w:pPr>
        <w:rPr>
          <w:rFonts w:asciiTheme="majorHAnsi" w:hAnsiTheme="majorHAnsi" w:cstheme="majorHAnsi"/>
        </w:rPr>
      </w:pPr>
    </w:p>
    <w:p w14:paraId="1CEBB4B0" w14:textId="77777777" w:rsidR="00062BE9" w:rsidRDefault="00062BE9" w:rsidP="00062BE9">
      <w:pPr>
        <w:rPr>
          <w:rFonts w:asciiTheme="majorHAnsi" w:hAnsiTheme="majorHAnsi" w:cstheme="majorHAnsi"/>
        </w:rPr>
        <w:sectPr w:rsidR="00062BE9" w:rsidSect="007A794B">
          <w:pgSz w:w="16838" w:h="11906" w:orient="landscape"/>
          <w:pgMar w:top="567" w:right="536" w:bottom="1701" w:left="567" w:header="708" w:footer="708" w:gutter="0"/>
          <w:cols w:space="708"/>
          <w:docGrid w:linePitch="360"/>
        </w:sectPr>
      </w:pPr>
    </w:p>
    <w:p w14:paraId="7AF89163" w14:textId="22312288" w:rsidR="00D62433" w:rsidRDefault="00D62433">
      <w:pPr>
        <w:rPr>
          <w:rFonts w:asciiTheme="majorHAnsi" w:hAnsiTheme="majorHAnsi" w:cstheme="majorHAnsi"/>
        </w:rPr>
      </w:pPr>
    </w:p>
    <w:p w14:paraId="3459BD61" w14:textId="3ED98FF0" w:rsidR="003B6D44" w:rsidRPr="0025653C" w:rsidRDefault="003B6D44" w:rsidP="003B6D44">
      <w:pPr>
        <w:rPr>
          <w:rFonts w:asciiTheme="majorHAnsi" w:hAnsiTheme="majorHAnsi" w:cstheme="majorHAnsi"/>
        </w:rPr>
      </w:pPr>
      <w:r>
        <w:rPr>
          <w:rFonts w:asciiTheme="majorHAnsi" w:hAnsiTheme="majorHAnsi" w:cstheme="majorHAnsi"/>
        </w:rPr>
        <w:t xml:space="preserve">Tabla </w:t>
      </w:r>
      <w:r w:rsidR="000E7A28">
        <w:rPr>
          <w:rFonts w:asciiTheme="majorHAnsi" w:hAnsiTheme="majorHAnsi" w:cstheme="majorHAnsi"/>
        </w:rPr>
        <w:t>2</w:t>
      </w:r>
      <w:r>
        <w:rPr>
          <w:rFonts w:asciiTheme="majorHAnsi" w:hAnsiTheme="majorHAnsi" w:cstheme="majorHAnsi"/>
        </w:rPr>
        <w:t xml:space="preserve">. Tarifas públicas de las diferentes Comunidades Autónomas españolas </w:t>
      </w:r>
    </w:p>
    <w:tbl>
      <w:tblPr>
        <w:tblStyle w:val="Tablaconcuadrcula"/>
        <w:tblW w:w="10726" w:type="dxa"/>
        <w:tblInd w:w="-5" w:type="dxa"/>
        <w:tblLayout w:type="fixed"/>
        <w:tblLook w:val="04A0" w:firstRow="1" w:lastRow="0" w:firstColumn="1" w:lastColumn="0" w:noHBand="0" w:noVBand="1"/>
      </w:tblPr>
      <w:tblGrid>
        <w:gridCol w:w="1560"/>
        <w:gridCol w:w="2976"/>
        <w:gridCol w:w="2127"/>
        <w:gridCol w:w="1134"/>
        <w:gridCol w:w="1417"/>
        <w:gridCol w:w="1512"/>
      </w:tblGrid>
      <w:tr w:rsidR="00CF5981" w:rsidRPr="0025653C" w14:paraId="71800911" w14:textId="77777777" w:rsidTr="007A654B">
        <w:tc>
          <w:tcPr>
            <w:tcW w:w="1560" w:type="dxa"/>
            <w:shd w:val="clear" w:color="auto" w:fill="002060"/>
          </w:tcPr>
          <w:p w14:paraId="72CFB89E" w14:textId="77777777" w:rsidR="00BD543C" w:rsidRDefault="00BD543C" w:rsidP="00062BE9">
            <w:pPr>
              <w:ind w:left="22"/>
              <w:rPr>
                <w:rFonts w:asciiTheme="majorHAnsi" w:hAnsiTheme="majorHAnsi" w:cstheme="majorHAnsi"/>
              </w:rPr>
            </w:pPr>
          </w:p>
        </w:tc>
        <w:tc>
          <w:tcPr>
            <w:tcW w:w="5103" w:type="dxa"/>
            <w:gridSpan w:val="2"/>
            <w:shd w:val="clear" w:color="auto" w:fill="002060"/>
            <w:vAlign w:val="center"/>
          </w:tcPr>
          <w:p w14:paraId="375114A4" w14:textId="2F3A8366" w:rsidR="00BD543C" w:rsidRPr="0025653C" w:rsidRDefault="00BD543C" w:rsidP="00D611ED">
            <w:pPr>
              <w:jc w:val="center"/>
              <w:rPr>
                <w:rFonts w:asciiTheme="majorHAnsi" w:hAnsiTheme="majorHAnsi" w:cstheme="majorHAnsi"/>
              </w:rPr>
            </w:pPr>
            <w:r>
              <w:rPr>
                <w:rFonts w:asciiTheme="majorHAnsi" w:hAnsiTheme="majorHAnsi" w:cstheme="majorHAnsi"/>
              </w:rPr>
              <w:t>Descripción</w:t>
            </w:r>
          </w:p>
        </w:tc>
        <w:tc>
          <w:tcPr>
            <w:tcW w:w="1134" w:type="dxa"/>
            <w:shd w:val="clear" w:color="auto" w:fill="002060"/>
            <w:vAlign w:val="center"/>
          </w:tcPr>
          <w:p w14:paraId="3C919B04" w14:textId="2A2C746B" w:rsidR="00BD543C" w:rsidRPr="0025653C" w:rsidRDefault="00BD543C" w:rsidP="00E269CA">
            <w:pPr>
              <w:ind w:left="-108"/>
              <w:jc w:val="center"/>
              <w:rPr>
                <w:rFonts w:asciiTheme="majorHAnsi" w:hAnsiTheme="majorHAnsi" w:cstheme="majorHAnsi"/>
              </w:rPr>
            </w:pPr>
            <w:r>
              <w:rPr>
                <w:rFonts w:asciiTheme="majorHAnsi" w:hAnsiTheme="majorHAnsi" w:cstheme="majorHAnsi"/>
              </w:rPr>
              <w:t>Tarifa</w:t>
            </w:r>
          </w:p>
        </w:tc>
        <w:tc>
          <w:tcPr>
            <w:tcW w:w="1417" w:type="dxa"/>
            <w:shd w:val="clear" w:color="auto" w:fill="002060"/>
            <w:vAlign w:val="center"/>
          </w:tcPr>
          <w:p w14:paraId="38F4BC99" w14:textId="47B18BC5" w:rsidR="00BD543C" w:rsidRPr="0025653C" w:rsidRDefault="00BD543C" w:rsidP="003B6D44">
            <w:pPr>
              <w:jc w:val="center"/>
              <w:rPr>
                <w:rFonts w:asciiTheme="majorHAnsi" w:hAnsiTheme="majorHAnsi" w:cstheme="majorHAnsi"/>
              </w:rPr>
            </w:pPr>
            <w:r>
              <w:rPr>
                <w:rFonts w:asciiTheme="majorHAnsi" w:hAnsiTheme="majorHAnsi" w:cstheme="majorHAnsi"/>
              </w:rPr>
              <w:t>Mes y año</w:t>
            </w:r>
            <w:r w:rsidR="00BB1639">
              <w:rPr>
                <w:rFonts w:asciiTheme="majorHAnsi" w:hAnsiTheme="majorHAnsi" w:cstheme="majorHAnsi"/>
              </w:rPr>
              <w:t xml:space="preserve"> de publicación</w:t>
            </w:r>
          </w:p>
        </w:tc>
        <w:tc>
          <w:tcPr>
            <w:tcW w:w="1512" w:type="dxa"/>
            <w:shd w:val="clear" w:color="auto" w:fill="002060"/>
            <w:vAlign w:val="center"/>
          </w:tcPr>
          <w:p w14:paraId="1FF412C0" w14:textId="28321CFB" w:rsidR="00BD543C" w:rsidRPr="0025653C" w:rsidRDefault="00BD543C" w:rsidP="00E269CA">
            <w:pPr>
              <w:ind w:left="-2"/>
              <w:jc w:val="center"/>
              <w:rPr>
                <w:rFonts w:asciiTheme="majorHAnsi" w:hAnsiTheme="majorHAnsi" w:cstheme="majorHAnsi"/>
              </w:rPr>
            </w:pPr>
            <w:r>
              <w:rPr>
                <w:rFonts w:asciiTheme="majorHAnsi" w:hAnsiTheme="majorHAnsi" w:cstheme="majorHAnsi"/>
              </w:rPr>
              <w:t>Actualiza</w:t>
            </w:r>
            <w:r w:rsidR="00BB1639">
              <w:rPr>
                <w:rFonts w:asciiTheme="majorHAnsi" w:hAnsiTheme="majorHAnsi" w:cstheme="majorHAnsi"/>
              </w:rPr>
              <w:t>ción 2020</w:t>
            </w:r>
            <w:r>
              <w:rPr>
                <w:rFonts w:asciiTheme="majorHAnsi" w:hAnsiTheme="majorHAnsi" w:cstheme="majorHAnsi"/>
              </w:rPr>
              <w:t>*</w:t>
            </w:r>
          </w:p>
        </w:tc>
      </w:tr>
      <w:tr w:rsidR="00CF5981" w:rsidRPr="0025653C" w14:paraId="7D7C0E16" w14:textId="77777777" w:rsidTr="007A654B">
        <w:tc>
          <w:tcPr>
            <w:tcW w:w="1560" w:type="dxa"/>
            <w:vAlign w:val="center"/>
          </w:tcPr>
          <w:p w14:paraId="146E5247" w14:textId="4EE95A8D" w:rsidR="00BD543C" w:rsidRPr="0025653C" w:rsidRDefault="00BD543C" w:rsidP="0072361E">
            <w:pPr>
              <w:ind w:right="-28"/>
              <w:rPr>
                <w:rFonts w:asciiTheme="majorHAnsi" w:hAnsiTheme="majorHAnsi" w:cstheme="majorHAnsi"/>
              </w:rPr>
            </w:pPr>
            <w:r w:rsidRPr="00D611ED">
              <w:rPr>
                <w:rFonts w:asciiTheme="majorHAnsi" w:hAnsiTheme="majorHAnsi" w:cstheme="majorHAnsi"/>
              </w:rPr>
              <w:t>País Vasco</w:t>
            </w:r>
            <w:r w:rsidR="009D3204">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{"citationItems":[{"id":"ITEM-1","itemData":{"URL":"https://www.euskadi.eus/","abstract":"Docentes: tarifas","accessed":{"date-parts":[["2021","1","17"]]},"id":"ITEM-1","issued":{"date-parts":[["2014"]]},"title":"Tarifas para facturación de servicios sanitarios y docentes de Osakidetza para el año 2019","type":"webpage"},"uris":["http://www.mendeley.com/documents/?uuid=f54c0d21-b5dd-4acc-89b5-c9eb014c045c"]}],"mendeley":{"formattedCitation":"&lt;sup&gt;37&lt;/sup&gt;","plainTextFormattedCitation":"37","previouslyFormattedCitation":"&lt;sup&gt;37&lt;/sup&gt;"},"properties":{"noteIndex":0},"schema":"https://github.com/citation-style-language/schema/raw/master/csl-citation.json"}</w:instrText>
            </w:r>
            <w:r w:rsidR="009D3204">
              <w:rPr>
                <w:rFonts w:asciiTheme="majorHAnsi" w:hAnsiTheme="majorHAnsi" w:cstheme="majorHAnsi"/>
              </w:rPr>
              <w:fldChar w:fldCharType="separate"/>
            </w:r>
            <w:r w:rsidR="0072361E" w:rsidRPr="0072361E">
              <w:rPr>
                <w:rFonts w:asciiTheme="majorHAnsi" w:hAnsiTheme="majorHAnsi" w:cstheme="majorHAnsi"/>
                <w:noProof/>
                <w:vertAlign w:val="superscript"/>
              </w:rPr>
              <w:t>37</w:t>
            </w:r>
            <w:r w:rsidR="009D3204">
              <w:rPr>
                <w:rFonts w:asciiTheme="majorHAnsi" w:hAnsiTheme="majorHAnsi" w:cstheme="majorHAnsi"/>
              </w:rPr>
              <w:fldChar w:fldCharType="end"/>
            </w:r>
          </w:p>
        </w:tc>
        <w:tc>
          <w:tcPr>
            <w:tcW w:w="5103" w:type="dxa"/>
            <w:gridSpan w:val="2"/>
            <w:vAlign w:val="center"/>
          </w:tcPr>
          <w:p w14:paraId="2028D47D" w14:textId="3AC826ED" w:rsidR="00BD543C" w:rsidRPr="0025653C" w:rsidRDefault="00BD543C" w:rsidP="00297CB1">
            <w:pPr>
              <w:rPr>
                <w:rFonts w:asciiTheme="majorHAnsi" w:hAnsiTheme="majorHAnsi" w:cstheme="majorHAnsi"/>
              </w:rPr>
            </w:pPr>
            <w:r w:rsidRPr="0025653C">
              <w:rPr>
                <w:rFonts w:asciiTheme="majorHAnsi" w:hAnsiTheme="majorHAnsi" w:cstheme="majorHAnsi"/>
              </w:rPr>
              <w:t xml:space="preserve">Sesión </w:t>
            </w:r>
            <w:r w:rsidR="00297CB1">
              <w:rPr>
                <w:rFonts w:asciiTheme="majorHAnsi" w:hAnsiTheme="majorHAnsi" w:cstheme="majorHAnsi"/>
              </w:rPr>
              <w:t>H</w:t>
            </w:r>
            <w:r w:rsidRPr="0025653C">
              <w:rPr>
                <w:rFonts w:asciiTheme="majorHAnsi" w:hAnsiTheme="majorHAnsi" w:cstheme="majorHAnsi"/>
              </w:rPr>
              <w:t>emodiálisis</w:t>
            </w:r>
          </w:p>
        </w:tc>
        <w:tc>
          <w:tcPr>
            <w:tcW w:w="1134" w:type="dxa"/>
            <w:vAlign w:val="center"/>
          </w:tcPr>
          <w:p w14:paraId="596C94E7" w14:textId="4D7B6D0F" w:rsidR="00BD543C" w:rsidRPr="0025653C" w:rsidRDefault="00BD543C" w:rsidP="00E269CA">
            <w:pPr>
              <w:ind w:left="-108"/>
              <w:jc w:val="center"/>
              <w:rPr>
                <w:rFonts w:asciiTheme="majorHAnsi" w:hAnsiTheme="majorHAnsi" w:cstheme="majorHAnsi"/>
              </w:rPr>
            </w:pPr>
            <w:r w:rsidRPr="0025653C">
              <w:rPr>
                <w:rFonts w:asciiTheme="majorHAnsi" w:hAnsiTheme="majorHAnsi" w:cstheme="majorHAnsi"/>
              </w:rPr>
              <w:t>271</w:t>
            </w:r>
            <w:r w:rsidR="00DC6FB5">
              <w:rPr>
                <w:rFonts w:asciiTheme="majorHAnsi" w:hAnsiTheme="majorHAnsi" w:cstheme="majorHAnsi"/>
              </w:rPr>
              <w:t>,00</w:t>
            </w:r>
            <w:r w:rsidRPr="0025653C">
              <w:rPr>
                <w:rFonts w:asciiTheme="majorHAnsi" w:hAnsiTheme="majorHAnsi" w:cstheme="majorHAnsi"/>
              </w:rPr>
              <w:t>€</w:t>
            </w:r>
          </w:p>
        </w:tc>
        <w:tc>
          <w:tcPr>
            <w:tcW w:w="1417" w:type="dxa"/>
            <w:vAlign w:val="center"/>
          </w:tcPr>
          <w:p w14:paraId="3599456C" w14:textId="77777777" w:rsidR="00BD543C" w:rsidRPr="0025653C" w:rsidRDefault="00BD543C" w:rsidP="00CB0568">
            <w:pPr>
              <w:jc w:val="center"/>
              <w:rPr>
                <w:rFonts w:asciiTheme="majorHAnsi" w:hAnsiTheme="majorHAnsi" w:cstheme="majorHAnsi"/>
              </w:rPr>
            </w:pPr>
            <w:r w:rsidRPr="0025653C">
              <w:rPr>
                <w:rFonts w:asciiTheme="majorHAnsi" w:hAnsiTheme="majorHAnsi" w:cstheme="majorHAnsi"/>
              </w:rPr>
              <w:t>Febrero 2019</w:t>
            </w:r>
          </w:p>
        </w:tc>
        <w:tc>
          <w:tcPr>
            <w:tcW w:w="1512" w:type="dxa"/>
            <w:vAlign w:val="center"/>
          </w:tcPr>
          <w:p w14:paraId="54092277" w14:textId="45BDD80A" w:rsidR="00BD543C" w:rsidRPr="0025653C" w:rsidRDefault="00EF3410" w:rsidP="00E269CA">
            <w:pPr>
              <w:ind w:left="-2"/>
              <w:jc w:val="center"/>
              <w:rPr>
                <w:rFonts w:asciiTheme="majorHAnsi" w:hAnsiTheme="majorHAnsi" w:cstheme="majorHAnsi"/>
              </w:rPr>
            </w:pPr>
            <w:r w:rsidRPr="00EF3410">
              <w:rPr>
                <w:rFonts w:asciiTheme="majorHAnsi" w:hAnsiTheme="majorHAnsi" w:cstheme="majorHAnsi"/>
              </w:rPr>
              <w:t>273,98 €</w:t>
            </w:r>
          </w:p>
        </w:tc>
      </w:tr>
      <w:tr w:rsidR="00CF5981" w:rsidRPr="0025653C" w14:paraId="0DE7614A" w14:textId="77777777" w:rsidTr="007A654B">
        <w:tc>
          <w:tcPr>
            <w:tcW w:w="1560" w:type="dxa"/>
            <w:vAlign w:val="center"/>
          </w:tcPr>
          <w:p w14:paraId="200E630A" w14:textId="709E3A09" w:rsidR="00BD543C" w:rsidRPr="0025653C" w:rsidRDefault="00BD543C" w:rsidP="0072361E">
            <w:pPr>
              <w:ind w:right="-28"/>
              <w:rPr>
                <w:rFonts w:asciiTheme="majorHAnsi" w:hAnsiTheme="majorHAnsi" w:cstheme="majorHAnsi"/>
              </w:rPr>
            </w:pPr>
            <w:r w:rsidRPr="00D611ED">
              <w:rPr>
                <w:rFonts w:asciiTheme="majorHAnsi" w:hAnsiTheme="majorHAnsi" w:cstheme="majorHAnsi"/>
              </w:rPr>
              <w:t>Murcia</w:t>
            </w:r>
            <w:r w:rsidR="009D3204">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{"citationItems":[{"id":"ITEM-1","itemData":{"URL":"https://www.borm.es","accessed":{"date-parts":[["2021","1","17"]]},"id":"ITEM-1","issued":{"date-parts":[["2019"]]},"page":"6371-6503","title":"Orden de 22 de febrero de 2019 de la Consejería de Hacienda, por la que se publican las tarifas de las tasas y precios públicos aplicables en el año 2019.","type":"webpage"},"uris":["http://www.mendeley.com/documents/?uuid=4763b4ab-ce27-4b78-a97e-834d667f91b2"]}],"mendeley":{"formattedCitation":"&lt;sup&gt;36&lt;/sup&gt;","plainTextFormattedCitation":"36","previouslyFormattedCitation":"&lt;sup&gt;36&lt;/sup&gt;"},"properties":{"noteIndex":0},"schema":"https://github.com/citation-style-language/schema/raw/master/csl-citation.json"}</w:instrText>
            </w:r>
            <w:r w:rsidR="009D3204">
              <w:rPr>
                <w:rFonts w:asciiTheme="majorHAnsi" w:hAnsiTheme="majorHAnsi" w:cstheme="majorHAnsi"/>
              </w:rPr>
              <w:fldChar w:fldCharType="separate"/>
            </w:r>
            <w:r w:rsidR="0072361E" w:rsidRPr="0072361E">
              <w:rPr>
                <w:rFonts w:asciiTheme="majorHAnsi" w:hAnsiTheme="majorHAnsi" w:cstheme="majorHAnsi"/>
                <w:noProof/>
                <w:vertAlign w:val="superscript"/>
              </w:rPr>
              <w:t>36</w:t>
            </w:r>
            <w:r w:rsidR="009D3204">
              <w:rPr>
                <w:rFonts w:asciiTheme="majorHAnsi" w:hAnsiTheme="majorHAnsi" w:cstheme="majorHAnsi"/>
              </w:rPr>
              <w:fldChar w:fldCharType="end"/>
            </w:r>
          </w:p>
        </w:tc>
        <w:tc>
          <w:tcPr>
            <w:tcW w:w="5103" w:type="dxa"/>
            <w:gridSpan w:val="2"/>
            <w:vAlign w:val="center"/>
          </w:tcPr>
          <w:p w14:paraId="7FDCBC01" w14:textId="4B33DF68" w:rsidR="00BD543C" w:rsidRPr="0025653C" w:rsidRDefault="00BD543C" w:rsidP="00BB1639">
            <w:pPr>
              <w:rPr>
                <w:rFonts w:asciiTheme="majorHAnsi" w:hAnsiTheme="majorHAnsi" w:cstheme="majorHAnsi"/>
              </w:rPr>
            </w:pPr>
            <w:r w:rsidRPr="0025653C">
              <w:rPr>
                <w:rFonts w:asciiTheme="majorHAnsi" w:hAnsiTheme="majorHAnsi" w:cstheme="majorHAnsi"/>
              </w:rPr>
              <w:t>Sesión de Hemodiálisis incluyendo analítica y radiología rutinaria</w:t>
            </w:r>
          </w:p>
        </w:tc>
        <w:tc>
          <w:tcPr>
            <w:tcW w:w="1134" w:type="dxa"/>
            <w:vAlign w:val="center"/>
          </w:tcPr>
          <w:p w14:paraId="5225659A" w14:textId="77777777" w:rsidR="00BD543C" w:rsidRPr="0025653C" w:rsidRDefault="00BD543C" w:rsidP="00E269CA">
            <w:pPr>
              <w:ind w:left="-108"/>
              <w:jc w:val="center"/>
              <w:rPr>
                <w:rFonts w:asciiTheme="majorHAnsi" w:hAnsiTheme="majorHAnsi" w:cstheme="majorHAnsi"/>
              </w:rPr>
            </w:pPr>
            <w:r w:rsidRPr="0025653C">
              <w:rPr>
                <w:rFonts w:asciiTheme="majorHAnsi" w:hAnsiTheme="majorHAnsi" w:cstheme="majorHAnsi"/>
              </w:rPr>
              <w:t>209,67€</w:t>
            </w:r>
          </w:p>
        </w:tc>
        <w:tc>
          <w:tcPr>
            <w:tcW w:w="1417" w:type="dxa"/>
            <w:vAlign w:val="center"/>
          </w:tcPr>
          <w:p w14:paraId="7FB7ACDE" w14:textId="77777777" w:rsidR="00BD543C" w:rsidRPr="0025653C" w:rsidRDefault="00BD543C" w:rsidP="00CB0568">
            <w:pPr>
              <w:jc w:val="center"/>
              <w:rPr>
                <w:rFonts w:asciiTheme="majorHAnsi" w:hAnsiTheme="majorHAnsi" w:cstheme="majorHAnsi"/>
              </w:rPr>
            </w:pPr>
            <w:r w:rsidRPr="0025653C">
              <w:rPr>
                <w:rFonts w:asciiTheme="majorHAnsi" w:hAnsiTheme="majorHAnsi" w:cstheme="majorHAnsi"/>
              </w:rPr>
              <w:t>Marzo 2019</w:t>
            </w:r>
          </w:p>
        </w:tc>
        <w:tc>
          <w:tcPr>
            <w:tcW w:w="1512" w:type="dxa"/>
            <w:vAlign w:val="center"/>
          </w:tcPr>
          <w:p w14:paraId="446FBE61" w14:textId="5958586E" w:rsidR="00BD543C" w:rsidRPr="0025653C" w:rsidRDefault="00EF3410" w:rsidP="00E269CA">
            <w:pPr>
              <w:ind w:left="-2"/>
              <w:jc w:val="center"/>
              <w:rPr>
                <w:rFonts w:asciiTheme="majorHAnsi" w:hAnsiTheme="majorHAnsi" w:cstheme="majorHAnsi"/>
              </w:rPr>
            </w:pPr>
            <w:r w:rsidRPr="00EF3410">
              <w:rPr>
                <w:rFonts w:asciiTheme="majorHAnsi" w:hAnsiTheme="majorHAnsi" w:cstheme="majorHAnsi"/>
              </w:rPr>
              <w:t>211,98 €</w:t>
            </w:r>
          </w:p>
        </w:tc>
      </w:tr>
      <w:tr w:rsidR="00E269CA" w:rsidRPr="0025653C" w14:paraId="51BEE8AE" w14:textId="77777777" w:rsidTr="007A654B">
        <w:tc>
          <w:tcPr>
            <w:tcW w:w="1560" w:type="dxa"/>
            <w:vMerge w:val="restart"/>
            <w:vAlign w:val="center"/>
          </w:tcPr>
          <w:p w14:paraId="6A83C263" w14:textId="1CC8B93E" w:rsidR="00E269CA" w:rsidRPr="00D611ED" w:rsidRDefault="00E269CA" w:rsidP="0072361E">
            <w:pPr>
              <w:ind w:right="-28"/>
              <w:rPr>
                <w:rFonts w:asciiTheme="majorHAnsi" w:hAnsiTheme="majorHAnsi" w:cstheme="majorHAnsi"/>
              </w:rPr>
            </w:pPr>
            <w:r>
              <w:rPr>
                <w:rFonts w:asciiTheme="majorHAnsi" w:hAnsiTheme="majorHAnsi" w:cstheme="majorHAnsi"/>
              </w:rPr>
              <w:t>Muface</w:t>
            </w:r>
            <w:r w:rsidR="009D3204">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{"citationItems":[{"id":"ITEM-1","itemData":{"URL":"https://www.boe.es/boe/dias/2019/01/12/pdfs/BOE-A-2019-317.pdf","abstract":"esolución de 18 de septiembre de 2013, del Instituto de Contabilidad y Auditoría de Cuentas, por la que se dictan normas de registro y valoración e información a incluir en la memoria de las cuentas anuales sobre el deterioro del valor de los activos.","accessed":{"date-parts":[["2021","1","17"]]},"container-title":"Boletín Oficial del Estado","id":"ITEM-1","issue":"11","issued":{"date-parts":[["2019"]]},"page":"2260 -2268","title":"Resolución de 18 de diciembre de 2014, de la Mutualidad General de Funcionarios Civiles del Estado, por la que se publica el concierto suscrito con entidades de seguro para el aseguramiento del acceso a la prestación de asistencia sanitaria en territorio","type":"webpage"},"uris":["http://www.mendeley.com/documents/?uuid=bf28c0e1-2dd7-471a-8e91-a7c80a609327"]}],"mendeley":{"formattedCitation":"&lt;sup&gt;40&lt;/sup&gt;","plainTextFormattedCitation":"40","previouslyFormattedCitation":"&lt;sup&gt;40&lt;/sup&gt;"},"properties":{"noteIndex":0},"schema":"https://github.com/citation-style-language/schema/raw/master/csl-citation.json"}</w:instrText>
            </w:r>
            <w:r w:rsidR="009D3204">
              <w:rPr>
                <w:rFonts w:asciiTheme="majorHAnsi" w:hAnsiTheme="majorHAnsi" w:cstheme="majorHAnsi"/>
              </w:rPr>
              <w:fldChar w:fldCharType="separate"/>
            </w:r>
            <w:r w:rsidR="0072361E" w:rsidRPr="0072361E">
              <w:rPr>
                <w:rFonts w:asciiTheme="majorHAnsi" w:hAnsiTheme="majorHAnsi" w:cstheme="majorHAnsi"/>
                <w:noProof/>
                <w:vertAlign w:val="superscript"/>
              </w:rPr>
              <w:t>40</w:t>
            </w:r>
            <w:r w:rsidR="009D3204">
              <w:rPr>
                <w:rFonts w:asciiTheme="majorHAnsi" w:hAnsiTheme="majorHAnsi" w:cstheme="majorHAnsi"/>
              </w:rPr>
              <w:fldChar w:fldCharType="end"/>
            </w:r>
          </w:p>
        </w:tc>
        <w:tc>
          <w:tcPr>
            <w:tcW w:w="5103" w:type="dxa"/>
            <w:gridSpan w:val="2"/>
            <w:vAlign w:val="center"/>
          </w:tcPr>
          <w:p w14:paraId="5BC5327F" w14:textId="412BA4C6" w:rsidR="00E269CA" w:rsidRPr="0025653C" w:rsidRDefault="00E269CA" w:rsidP="00BB1639">
            <w:pPr>
              <w:rPr>
                <w:rFonts w:asciiTheme="majorHAnsi" w:hAnsiTheme="majorHAnsi" w:cstheme="majorHAnsi"/>
              </w:rPr>
            </w:pPr>
            <w:r w:rsidRPr="00E269CA">
              <w:rPr>
                <w:rFonts w:asciiTheme="majorHAnsi" w:hAnsiTheme="majorHAnsi" w:cstheme="majorHAnsi"/>
              </w:rPr>
              <w:t>Hemodiálisis en régimen ambulatorio paciente/mes</w:t>
            </w:r>
          </w:p>
        </w:tc>
        <w:tc>
          <w:tcPr>
            <w:tcW w:w="1134" w:type="dxa"/>
            <w:vAlign w:val="center"/>
          </w:tcPr>
          <w:p w14:paraId="372F0682" w14:textId="2E593CE6" w:rsidR="00E269CA" w:rsidRPr="0025653C" w:rsidRDefault="00E269CA" w:rsidP="00E269CA">
            <w:pPr>
              <w:ind w:left="-108"/>
              <w:jc w:val="center"/>
              <w:rPr>
                <w:rFonts w:asciiTheme="majorHAnsi" w:hAnsiTheme="majorHAnsi" w:cstheme="majorHAnsi"/>
              </w:rPr>
            </w:pPr>
            <w:r w:rsidRPr="00E269CA">
              <w:rPr>
                <w:rFonts w:asciiTheme="majorHAnsi" w:hAnsiTheme="majorHAnsi" w:cstheme="majorHAnsi"/>
              </w:rPr>
              <w:t>3.610</w:t>
            </w:r>
            <w:r w:rsidRPr="0025653C">
              <w:rPr>
                <w:rFonts w:asciiTheme="majorHAnsi" w:hAnsiTheme="majorHAnsi" w:cstheme="majorHAnsi"/>
              </w:rPr>
              <w:t>€</w:t>
            </w:r>
          </w:p>
        </w:tc>
        <w:tc>
          <w:tcPr>
            <w:tcW w:w="1417" w:type="dxa"/>
            <w:vMerge w:val="restart"/>
            <w:vAlign w:val="center"/>
          </w:tcPr>
          <w:p w14:paraId="221970EF" w14:textId="2B3C803E" w:rsidR="00E269CA" w:rsidRPr="0025653C" w:rsidRDefault="00E269CA" w:rsidP="00E269CA">
            <w:pPr>
              <w:jc w:val="center"/>
              <w:rPr>
                <w:rFonts w:asciiTheme="majorHAnsi" w:hAnsiTheme="majorHAnsi" w:cstheme="majorHAnsi"/>
              </w:rPr>
            </w:pPr>
            <w:r>
              <w:rPr>
                <w:rFonts w:asciiTheme="majorHAnsi" w:hAnsiTheme="majorHAnsi" w:cstheme="majorHAnsi"/>
              </w:rPr>
              <w:t>D</w:t>
            </w:r>
            <w:r w:rsidRPr="00E269CA">
              <w:rPr>
                <w:rFonts w:asciiTheme="majorHAnsi" w:hAnsiTheme="majorHAnsi" w:cstheme="majorHAnsi"/>
              </w:rPr>
              <w:t>iciembre 2014</w:t>
            </w:r>
          </w:p>
        </w:tc>
        <w:tc>
          <w:tcPr>
            <w:tcW w:w="1512" w:type="dxa"/>
            <w:vAlign w:val="center"/>
          </w:tcPr>
          <w:p w14:paraId="450E5425" w14:textId="4F4D067D" w:rsidR="00E269CA" w:rsidRPr="00EF3410" w:rsidRDefault="00A62E71" w:rsidP="00E269CA">
            <w:pPr>
              <w:ind w:left="-2"/>
              <w:jc w:val="center"/>
              <w:rPr>
                <w:rFonts w:asciiTheme="majorHAnsi" w:hAnsiTheme="majorHAnsi" w:cstheme="majorHAnsi"/>
              </w:rPr>
            </w:pPr>
            <w:r w:rsidRPr="00A62E71">
              <w:rPr>
                <w:rFonts w:asciiTheme="majorHAnsi" w:hAnsiTheme="majorHAnsi" w:cstheme="majorHAnsi"/>
              </w:rPr>
              <w:t>3.761,62€</w:t>
            </w:r>
          </w:p>
        </w:tc>
      </w:tr>
      <w:tr w:rsidR="00E269CA" w:rsidRPr="0025653C" w14:paraId="24798811" w14:textId="77777777" w:rsidTr="007A654B">
        <w:tc>
          <w:tcPr>
            <w:tcW w:w="1560" w:type="dxa"/>
            <w:vMerge/>
            <w:vAlign w:val="center"/>
          </w:tcPr>
          <w:p w14:paraId="7A8D8A43" w14:textId="77777777" w:rsidR="00E269CA" w:rsidRDefault="00E269CA" w:rsidP="00C74013">
            <w:pPr>
              <w:ind w:right="-28"/>
              <w:rPr>
                <w:rFonts w:asciiTheme="majorHAnsi" w:hAnsiTheme="majorHAnsi" w:cstheme="majorHAnsi"/>
              </w:rPr>
            </w:pPr>
          </w:p>
        </w:tc>
        <w:tc>
          <w:tcPr>
            <w:tcW w:w="5103" w:type="dxa"/>
            <w:gridSpan w:val="2"/>
            <w:vAlign w:val="center"/>
          </w:tcPr>
          <w:p w14:paraId="22FE1AA3" w14:textId="3722E18A" w:rsidR="00E269CA" w:rsidRPr="0025653C" w:rsidRDefault="003D5282" w:rsidP="00BB1639">
            <w:pPr>
              <w:rPr>
                <w:rFonts w:asciiTheme="majorHAnsi" w:hAnsiTheme="majorHAnsi" w:cstheme="majorHAnsi"/>
              </w:rPr>
            </w:pPr>
            <w:r w:rsidRPr="00E269CA">
              <w:rPr>
                <w:rFonts w:asciiTheme="majorHAnsi" w:hAnsiTheme="majorHAnsi" w:cstheme="majorHAnsi"/>
              </w:rPr>
              <w:t>Hemodiálisis</w:t>
            </w:r>
            <w:r w:rsidR="00E269CA" w:rsidRPr="00E269CA">
              <w:rPr>
                <w:rFonts w:asciiTheme="majorHAnsi" w:hAnsiTheme="majorHAnsi" w:cstheme="majorHAnsi"/>
              </w:rPr>
              <w:t xml:space="preserve"> en régimen a</w:t>
            </w:r>
            <w:r>
              <w:rPr>
                <w:rFonts w:asciiTheme="majorHAnsi" w:hAnsiTheme="majorHAnsi" w:cstheme="majorHAnsi"/>
              </w:rPr>
              <w:t>m</w:t>
            </w:r>
            <w:r w:rsidR="00E269CA" w:rsidRPr="00E269CA">
              <w:rPr>
                <w:rFonts w:asciiTheme="majorHAnsi" w:hAnsiTheme="majorHAnsi" w:cstheme="majorHAnsi"/>
              </w:rPr>
              <w:t>bulatorio sesión</w:t>
            </w:r>
          </w:p>
        </w:tc>
        <w:tc>
          <w:tcPr>
            <w:tcW w:w="1134" w:type="dxa"/>
            <w:vAlign w:val="center"/>
          </w:tcPr>
          <w:p w14:paraId="0950A115" w14:textId="046D5637" w:rsidR="00E269CA" w:rsidRPr="0025653C" w:rsidRDefault="00E269CA" w:rsidP="00E269CA">
            <w:pPr>
              <w:ind w:left="-108"/>
              <w:jc w:val="center"/>
              <w:rPr>
                <w:rFonts w:asciiTheme="majorHAnsi" w:hAnsiTheme="majorHAnsi" w:cstheme="majorHAnsi"/>
              </w:rPr>
            </w:pPr>
            <w:r w:rsidRPr="00E269CA">
              <w:rPr>
                <w:rFonts w:asciiTheme="majorHAnsi" w:hAnsiTheme="majorHAnsi" w:cstheme="majorHAnsi"/>
              </w:rPr>
              <w:t>251</w:t>
            </w:r>
            <w:r w:rsidRPr="0025653C">
              <w:rPr>
                <w:rFonts w:asciiTheme="majorHAnsi" w:hAnsiTheme="majorHAnsi" w:cstheme="majorHAnsi"/>
              </w:rPr>
              <w:t>€</w:t>
            </w:r>
          </w:p>
        </w:tc>
        <w:tc>
          <w:tcPr>
            <w:tcW w:w="1417" w:type="dxa"/>
            <w:vMerge/>
            <w:vAlign w:val="center"/>
          </w:tcPr>
          <w:p w14:paraId="75404924" w14:textId="77777777" w:rsidR="00E269CA" w:rsidRPr="0025653C" w:rsidRDefault="00E269CA" w:rsidP="00CB0568">
            <w:pPr>
              <w:jc w:val="center"/>
              <w:rPr>
                <w:rFonts w:asciiTheme="majorHAnsi" w:hAnsiTheme="majorHAnsi" w:cstheme="majorHAnsi"/>
              </w:rPr>
            </w:pPr>
          </w:p>
        </w:tc>
        <w:tc>
          <w:tcPr>
            <w:tcW w:w="1512" w:type="dxa"/>
            <w:vAlign w:val="center"/>
          </w:tcPr>
          <w:p w14:paraId="3E42D1DB" w14:textId="28F579BE" w:rsidR="00E269CA" w:rsidRPr="00EF3410" w:rsidRDefault="00A62E71" w:rsidP="00E269CA">
            <w:pPr>
              <w:ind w:left="-2"/>
              <w:jc w:val="center"/>
              <w:rPr>
                <w:rFonts w:asciiTheme="majorHAnsi" w:hAnsiTheme="majorHAnsi" w:cstheme="majorHAnsi"/>
              </w:rPr>
            </w:pPr>
            <w:r w:rsidRPr="00A62E71">
              <w:rPr>
                <w:rFonts w:asciiTheme="majorHAnsi" w:hAnsiTheme="majorHAnsi" w:cstheme="majorHAnsi"/>
              </w:rPr>
              <w:t>261,54€</w:t>
            </w:r>
          </w:p>
        </w:tc>
      </w:tr>
      <w:tr w:rsidR="007A654B" w:rsidRPr="0025653C" w14:paraId="40A141B9" w14:textId="77777777" w:rsidTr="007A654B">
        <w:tc>
          <w:tcPr>
            <w:tcW w:w="1560" w:type="dxa"/>
            <w:vMerge w:val="restart"/>
            <w:vAlign w:val="center"/>
          </w:tcPr>
          <w:p w14:paraId="0EE943AD" w14:textId="1AECFD45" w:rsidR="007A654B" w:rsidRDefault="007A654B" w:rsidP="0072361E">
            <w:pPr>
              <w:ind w:right="-28"/>
              <w:rPr>
                <w:rFonts w:asciiTheme="majorHAnsi" w:hAnsiTheme="majorHAnsi" w:cstheme="majorHAnsi"/>
              </w:rPr>
            </w:pPr>
            <w:r>
              <w:rPr>
                <w:rFonts w:asciiTheme="majorHAnsi" w:hAnsiTheme="majorHAnsi" w:cstheme="majorHAnsi"/>
              </w:rPr>
              <w:t>ISFAS</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{"citationItems":[{"id":"ITEM-1","itemData":{"URL":"www.boe.es","abstract":"Resolución de 18 de septiembre de 2013, del Instituto de Contabilidad y Auditoría de Cuentas, por la que se dictan normas de registro y valoración e información a incluir en la memoria de las cuentas anuales sobre el deterioro del valor de los activos.","accessed":{"date-parts":[["2021","1","17"]]},"container-title":"Boletín Oficial del Estado","id":"ITEM-1","issued":{"date-parts":[["2014"]]},"title":"Resolución 4B0/38026/2014, de 19 de febrero, del Instituto Social de las Fuerzas Armadas, por la que se regula la asistencia sanitaria fuera del territorio nacional.","type":"webpage"},"uris":["http://www.mendeley.com/documents/?uuid=70b3691a-2cae-4c59-8c4b-30dae6ec306d"]}],"mendeley":{"formattedCitation":"&lt;sup&gt;39&lt;/sup&gt;","plainTextFormattedCitation":"39","previouslyFormattedCitation":"&lt;sup&gt;39&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39</w:t>
            </w:r>
            <w:r>
              <w:rPr>
                <w:rFonts w:asciiTheme="majorHAnsi" w:hAnsiTheme="majorHAnsi" w:cstheme="majorHAnsi"/>
              </w:rPr>
              <w:fldChar w:fldCharType="end"/>
            </w:r>
          </w:p>
        </w:tc>
        <w:tc>
          <w:tcPr>
            <w:tcW w:w="5103" w:type="dxa"/>
            <w:gridSpan w:val="2"/>
            <w:vAlign w:val="center"/>
          </w:tcPr>
          <w:p w14:paraId="25D60530" w14:textId="5AE1EA11" w:rsidR="007A654B" w:rsidRPr="00E269CA" w:rsidRDefault="007A654B" w:rsidP="007A654B">
            <w:pPr>
              <w:rPr>
                <w:rFonts w:asciiTheme="majorHAnsi" w:hAnsiTheme="majorHAnsi" w:cstheme="majorHAnsi"/>
              </w:rPr>
            </w:pPr>
            <w:r w:rsidRPr="00E269CA">
              <w:rPr>
                <w:rFonts w:asciiTheme="majorHAnsi" w:hAnsiTheme="majorHAnsi" w:cstheme="majorHAnsi"/>
              </w:rPr>
              <w:t>Hemodiálisis en régimen ambulatorio paciente/mes</w:t>
            </w:r>
          </w:p>
        </w:tc>
        <w:tc>
          <w:tcPr>
            <w:tcW w:w="1134" w:type="dxa"/>
            <w:vAlign w:val="center"/>
          </w:tcPr>
          <w:p w14:paraId="1E91C4E7" w14:textId="27DD6385" w:rsidR="007A654B" w:rsidRPr="00E269CA" w:rsidRDefault="007A654B" w:rsidP="007A654B">
            <w:pPr>
              <w:ind w:left="-108"/>
              <w:jc w:val="center"/>
              <w:rPr>
                <w:rFonts w:asciiTheme="majorHAnsi" w:hAnsiTheme="majorHAnsi" w:cstheme="majorHAnsi"/>
              </w:rPr>
            </w:pPr>
            <w:r w:rsidRPr="00E269CA">
              <w:rPr>
                <w:rFonts w:asciiTheme="majorHAnsi" w:hAnsiTheme="majorHAnsi" w:cstheme="majorHAnsi"/>
              </w:rPr>
              <w:t>3.610</w:t>
            </w:r>
            <w:r w:rsidRPr="0025653C">
              <w:rPr>
                <w:rFonts w:asciiTheme="majorHAnsi" w:hAnsiTheme="majorHAnsi" w:cstheme="majorHAnsi"/>
              </w:rPr>
              <w:t>€</w:t>
            </w:r>
          </w:p>
        </w:tc>
        <w:tc>
          <w:tcPr>
            <w:tcW w:w="1417" w:type="dxa"/>
            <w:vMerge w:val="restart"/>
            <w:vAlign w:val="center"/>
          </w:tcPr>
          <w:p w14:paraId="593B89D0" w14:textId="723A8042" w:rsidR="007A654B" w:rsidRPr="0025653C" w:rsidRDefault="007A654B" w:rsidP="007A654B">
            <w:pPr>
              <w:jc w:val="center"/>
              <w:rPr>
                <w:rFonts w:asciiTheme="majorHAnsi" w:hAnsiTheme="majorHAnsi" w:cstheme="majorHAnsi"/>
              </w:rPr>
            </w:pPr>
            <w:r w:rsidRPr="0025653C">
              <w:rPr>
                <w:rFonts w:asciiTheme="majorHAnsi" w:hAnsiTheme="majorHAnsi" w:cstheme="majorHAnsi"/>
              </w:rPr>
              <w:t>Febrero 201</w:t>
            </w:r>
            <w:r>
              <w:rPr>
                <w:rFonts w:asciiTheme="majorHAnsi" w:hAnsiTheme="majorHAnsi" w:cstheme="majorHAnsi"/>
              </w:rPr>
              <w:t>4</w:t>
            </w:r>
          </w:p>
        </w:tc>
        <w:tc>
          <w:tcPr>
            <w:tcW w:w="1512" w:type="dxa"/>
            <w:vAlign w:val="center"/>
          </w:tcPr>
          <w:p w14:paraId="5C22DDBB" w14:textId="1FFDB208" w:rsidR="007A654B" w:rsidRPr="00EF3410" w:rsidRDefault="00A62E71" w:rsidP="007A654B">
            <w:pPr>
              <w:ind w:left="-2"/>
              <w:jc w:val="center"/>
              <w:rPr>
                <w:rFonts w:asciiTheme="majorHAnsi" w:hAnsiTheme="majorHAnsi" w:cstheme="majorHAnsi"/>
              </w:rPr>
            </w:pPr>
            <w:r w:rsidRPr="00A62E71">
              <w:rPr>
                <w:rFonts w:asciiTheme="majorHAnsi" w:hAnsiTheme="majorHAnsi" w:cstheme="majorHAnsi"/>
              </w:rPr>
              <w:t>3.754,40€</w:t>
            </w:r>
          </w:p>
        </w:tc>
      </w:tr>
      <w:tr w:rsidR="007A654B" w:rsidRPr="0025653C" w14:paraId="7D2B7599" w14:textId="77777777" w:rsidTr="007A654B">
        <w:tc>
          <w:tcPr>
            <w:tcW w:w="1560" w:type="dxa"/>
            <w:vMerge/>
            <w:vAlign w:val="center"/>
          </w:tcPr>
          <w:p w14:paraId="256B7E79" w14:textId="77777777" w:rsidR="007A654B" w:rsidRDefault="007A654B" w:rsidP="007A654B">
            <w:pPr>
              <w:ind w:right="-28"/>
              <w:rPr>
                <w:rFonts w:asciiTheme="majorHAnsi" w:hAnsiTheme="majorHAnsi" w:cstheme="majorHAnsi"/>
              </w:rPr>
            </w:pPr>
          </w:p>
        </w:tc>
        <w:tc>
          <w:tcPr>
            <w:tcW w:w="5103" w:type="dxa"/>
            <w:gridSpan w:val="2"/>
            <w:vAlign w:val="center"/>
          </w:tcPr>
          <w:p w14:paraId="27DFC073" w14:textId="5AA1CDDA" w:rsidR="007A654B" w:rsidRPr="00E269CA" w:rsidRDefault="003D5282" w:rsidP="007A654B">
            <w:pPr>
              <w:rPr>
                <w:rFonts w:asciiTheme="majorHAnsi" w:hAnsiTheme="majorHAnsi" w:cstheme="majorHAnsi"/>
              </w:rPr>
            </w:pPr>
            <w:r w:rsidRPr="00E269CA">
              <w:rPr>
                <w:rFonts w:asciiTheme="majorHAnsi" w:hAnsiTheme="majorHAnsi" w:cstheme="majorHAnsi"/>
              </w:rPr>
              <w:t>Hemodiálisis</w:t>
            </w:r>
            <w:r w:rsidR="007A654B" w:rsidRPr="00E269CA">
              <w:rPr>
                <w:rFonts w:asciiTheme="majorHAnsi" w:hAnsiTheme="majorHAnsi" w:cstheme="majorHAnsi"/>
              </w:rPr>
              <w:t xml:space="preserve"> en régimen a</w:t>
            </w:r>
            <w:r>
              <w:rPr>
                <w:rFonts w:asciiTheme="majorHAnsi" w:hAnsiTheme="majorHAnsi" w:cstheme="majorHAnsi"/>
              </w:rPr>
              <w:t>m</w:t>
            </w:r>
            <w:r w:rsidR="007A654B" w:rsidRPr="00E269CA">
              <w:rPr>
                <w:rFonts w:asciiTheme="majorHAnsi" w:hAnsiTheme="majorHAnsi" w:cstheme="majorHAnsi"/>
              </w:rPr>
              <w:t>bulatorio sesión</w:t>
            </w:r>
          </w:p>
        </w:tc>
        <w:tc>
          <w:tcPr>
            <w:tcW w:w="1134" w:type="dxa"/>
            <w:vAlign w:val="center"/>
          </w:tcPr>
          <w:p w14:paraId="4DE6C31C" w14:textId="6EF15A92" w:rsidR="007A654B" w:rsidRPr="00E269CA" w:rsidRDefault="007A654B" w:rsidP="007A654B">
            <w:pPr>
              <w:ind w:left="-108"/>
              <w:jc w:val="center"/>
              <w:rPr>
                <w:rFonts w:asciiTheme="majorHAnsi" w:hAnsiTheme="majorHAnsi" w:cstheme="majorHAnsi"/>
              </w:rPr>
            </w:pPr>
            <w:r w:rsidRPr="00E269CA">
              <w:rPr>
                <w:rFonts w:asciiTheme="majorHAnsi" w:hAnsiTheme="majorHAnsi" w:cstheme="majorHAnsi"/>
              </w:rPr>
              <w:t>251</w:t>
            </w:r>
            <w:r w:rsidRPr="0025653C">
              <w:rPr>
                <w:rFonts w:asciiTheme="majorHAnsi" w:hAnsiTheme="majorHAnsi" w:cstheme="majorHAnsi"/>
              </w:rPr>
              <w:t>€</w:t>
            </w:r>
          </w:p>
        </w:tc>
        <w:tc>
          <w:tcPr>
            <w:tcW w:w="1417" w:type="dxa"/>
            <w:vMerge/>
            <w:vAlign w:val="center"/>
          </w:tcPr>
          <w:p w14:paraId="28D7E004" w14:textId="77777777" w:rsidR="007A654B" w:rsidRPr="0025653C" w:rsidRDefault="007A654B" w:rsidP="007A654B">
            <w:pPr>
              <w:jc w:val="center"/>
              <w:rPr>
                <w:rFonts w:asciiTheme="majorHAnsi" w:hAnsiTheme="majorHAnsi" w:cstheme="majorHAnsi"/>
              </w:rPr>
            </w:pPr>
          </w:p>
        </w:tc>
        <w:tc>
          <w:tcPr>
            <w:tcW w:w="1512" w:type="dxa"/>
            <w:vAlign w:val="center"/>
          </w:tcPr>
          <w:p w14:paraId="7CB9C0EE" w14:textId="45EF681D" w:rsidR="007A654B" w:rsidRPr="00EF3410" w:rsidRDefault="00A62E71" w:rsidP="007A654B">
            <w:pPr>
              <w:ind w:left="-2"/>
              <w:jc w:val="center"/>
              <w:rPr>
                <w:rFonts w:asciiTheme="majorHAnsi" w:hAnsiTheme="majorHAnsi" w:cstheme="majorHAnsi"/>
              </w:rPr>
            </w:pPr>
            <w:r w:rsidRPr="00A62E71">
              <w:rPr>
                <w:rFonts w:asciiTheme="majorHAnsi" w:hAnsiTheme="majorHAnsi" w:cstheme="majorHAnsi"/>
              </w:rPr>
              <w:t>261,04€</w:t>
            </w:r>
          </w:p>
        </w:tc>
      </w:tr>
      <w:tr w:rsidR="007A654B" w:rsidRPr="0025653C" w14:paraId="2C07B71E" w14:textId="77777777" w:rsidTr="007A654B">
        <w:tc>
          <w:tcPr>
            <w:tcW w:w="1560" w:type="dxa"/>
            <w:vMerge w:val="restart"/>
            <w:vAlign w:val="center"/>
          </w:tcPr>
          <w:p w14:paraId="44EEDEC1" w14:textId="2B045E50" w:rsidR="007A654B" w:rsidRPr="0025653C" w:rsidRDefault="007A654B" w:rsidP="0072361E">
            <w:pPr>
              <w:ind w:right="-28"/>
              <w:rPr>
                <w:rFonts w:asciiTheme="majorHAnsi" w:hAnsiTheme="majorHAnsi" w:cstheme="majorHAnsi"/>
              </w:rPr>
            </w:pPr>
            <w:r w:rsidRPr="00D611ED">
              <w:rPr>
                <w:rFonts w:asciiTheme="majorHAnsi" w:hAnsiTheme="majorHAnsi" w:cstheme="majorHAnsi"/>
              </w:rPr>
              <w:t>Madrid</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{"citationItems":[{"id":"ITEM-1","itemData":{"URL":"http://www.madrid.org/ICMdownload/NOUDM.pdf","accessed":{"date-parts":[["2021","1","17"]]},"id":"ITEM-1","issued":{"date-parts":[["2015"]]},"title":"Orden por la que se fijan los precios públicos por la prestación de los servicios y actividades de naturaleza sanitaria de la red de centros de la Comunidad de Madrid.","type":"webpage"},"uris":["http://www.mendeley.com/documents/?uuid=06213810-99be-4e2b-a260-623d57d5c4c8"]}],"mendeley":{"formattedCitation":"&lt;sup&gt;35&lt;/sup&gt;","plainTextFormattedCitation":"35","previouslyFormattedCitation":"&lt;sup&gt;35&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35</w:t>
            </w:r>
            <w:r>
              <w:rPr>
                <w:rFonts w:asciiTheme="majorHAnsi" w:hAnsiTheme="majorHAnsi" w:cstheme="majorHAnsi"/>
              </w:rPr>
              <w:fldChar w:fldCharType="end"/>
            </w:r>
          </w:p>
        </w:tc>
        <w:tc>
          <w:tcPr>
            <w:tcW w:w="5103" w:type="dxa"/>
            <w:gridSpan w:val="2"/>
            <w:vAlign w:val="center"/>
          </w:tcPr>
          <w:p w14:paraId="70B0B126" w14:textId="7F0D8687" w:rsidR="007A654B" w:rsidRPr="0025653C" w:rsidRDefault="007A654B" w:rsidP="007A654B">
            <w:pPr>
              <w:rPr>
                <w:rFonts w:asciiTheme="majorHAnsi" w:hAnsiTheme="majorHAnsi" w:cstheme="majorHAnsi"/>
              </w:rPr>
            </w:pPr>
            <w:r w:rsidRPr="0025653C">
              <w:rPr>
                <w:rFonts w:asciiTheme="majorHAnsi" w:hAnsiTheme="majorHAnsi" w:cstheme="majorHAnsi"/>
              </w:rPr>
              <w:t>Hemodiálisis en régimen ambulatorio paciente/mes</w:t>
            </w:r>
          </w:p>
        </w:tc>
        <w:tc>
          <w:tcPr>
            <w:tcW w:w="1134" w:type="dxa"/>
            <w:vAlign w:val="center"/>
          </w:tcPr>
          <w:p w14:paraId="4588FA66" w14:textId="30CF1ED8"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3.610</w:t>
            </w:r>
            <w:r>
              <w:rPr>
                <w:rFonts w:asciiTheme="majorHAnsi" w:hAnsiTheme="majorHAnsi" w:cstheme="majorHAnsi"/>
              </w:rPr>
              <w:t>,00</w:t>
            </w:r>
            <w:r w:rsidRPr="0025653C">
              <w:rPr>
                <w:rFonts w:asciiTheme="majorHAnsi" w:hAnsiTheme="majorHAnsi" w:cstheme="majorHAnsi"/>
              </w:rPr>
              <w:t>€</w:t>
            </w:r>
          </w:p>
        </w:tc>
        <w:tc>
          <w:tcPr>
            <w:tcW w:w="1417" w:type="dxa"/>
            <w:vMerge w:val="restart"/>
            <w:vAlign w:val="center"/>
          </w:tcPr>
          <w:p w14:paraId="32FAF964"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Agosto 2017</w:t>
            </w:r>
          </w:p>
        </w:tc>
        <w:tc>
          <w:tcPr>
            <w:tcW w:w="1512" w:type="dxa"/>
            <w:vAlign w:val="center"/>
          </w:tcPr>
          <w:p w14:paraId="613E3F1A" w14:textId="6BCF92D2" w:rsidR="007A654B" w:rsidRPr="0025653C" w:rsidRDefault="007A654B" w:rsidP="007A654B">
            <w:pPr>
              <w:ind w:left="-2"/>
              <w:jc w:val="center"/>
              <w:rPr>
                <w:rFonts w:asciiTheme="majorHAnsi" w:hAnsiTheme="majorHAnsi" w:cstheme="majorHAnsi"/>
              </w:rPr>
            </w:pPr>
            <w:r w:rsidRPr="00EF3410">
              <w:rPr>
                <w:rFonts w:asciiTheme="majorHAnsi" w:hAnsiTheme="majorHAnsi" w:cstheme="majorHAnsi"/>
              </w:rPr>
              <w:t>3.707,47 €</w:t>
            </w:r>
          </w:p>
        </w:tc>
      </w:tr>
      <w:tr w:rsidR="007A654B" w:rsidRPr="0025653C" w14:paraId="314576A7" w14:textId="77777777" w:rsidTr="007A654B">
        <w:tc>
          <w:tcPr>
            <w:tcW w:w="1560" w:type="dxa"/>
            <w:vMerge/>
            <w:vAlign w:val="center"/>
          </w:tcPr>
          <w:p w14:paraId="4A1F2984" w14:textId="77777777" w:rsidR="007A654B" w:rsidRPr="0025653C" w:rsidRDefault="007A654B" w:rsidP="007A654B">
            <w:pPr>
              <w:ind w:right="-28"/>
              <w:rPr>
                <w:rFonts w:asciiTheme="majorHAnsi" w:hAnsiTheme="majorHAnsi" w:cstheme="majorHAnsi"/>
              </w:rPr>
            </w:pPr>
          </w:p>
        </w:tc>
        <w:tc>
          <w:tcPr>
            <w:tcW w:w="5103" w:type="dxa"/>
            <w:gridSpan w:val="2"/>
            <w:vAlign w:val="center"/>
          </w:tcPr>
          <w:p w14:paraId="3F08B83D" w14:textId="1AE479BE" w:rsidR="007A654B" w:rsidRPr="0025653C" w:rsidRDefault="007A654B" w:rsidP="007A654B">
            <w:pPr>
              <w:rPr>
                <w:rFonts w:asciiTheme="majorHAnsi" w:hAnsiTheme="majorHAnsi" w:cstheme="majorHAnsi"/>
              </w:rPr>
            </w:pPr>
            <w:r w:rsidRPr="0025653C">
              <w:rPr>
                <w:rFonts w:asciiTheme="majorHAnsi" w:hAnsiTheme="majorHAnsi" w:cstheme="majorHAnsi"/>
              </w:rPr>
              <w:t>Hemodiálisis en régimen ambulatorio sesión</w:t>
            </w:r>
          </w:p>
        </w:tc>
        <w:tc>
          <w:tcPr>
            <w:tcW w:w="1134" w:type="dxa"/>
            <w:vAlign w:val="center"/>
          </w:tcPr>
          <w:p w14:paraId="4C90DACB" w14:textId="456BEDE7"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278</w:t>
            </w:r>
            <w:r>
              <w:rPr>
                <w:rFonts w:asciiTheme="majorHAnsi" w:hAnsiTheme="majorHAnsi" w:cstheme="majorHAnsi"/>
              </w:rPr>
              <w:t>,00</w:t>
            </w:r>
            <w:r w:rsidRPr="0025653C">
              <w:rPr>
                <w:rFonts w:asciiTheme="majorHAnsi" w:hAnsiTheme="majorHAnsi" w:cstheme="majorHAnsi"/>
              </w:rPr>
              <w:t>€</w:t>
            </w:r>
          </w:p>
        </w:tc>
        <w:tc>
          <w:tcPr>
            <w:tcW w:w="1417" w:type="dxa"/>
            <w:vMerge/>
            <w:vAlign w:val="center"/>
          </w:tcPr>
          <w:p w14:paraId="6C268765" w14:textId="77777777" w:rsidR="007A654B" w:rsidRPr="0025653C" w:rsidRDefault="007A654B" w:rsidP="007A654B">
            <w:pPr>
              <w:jc w:val="center"/>
              <w:rPr>
                <w:rFonts w:asciiTheme="majorHAnsi" w:hAnsiTheme="majorHAnsi" w:cstheme="majorHAnsi"/>
              </w:rPr>
            </w:pPr>
          </w:p>
        </w:tc>
        <w:tc>
          <w:tcPr>
            <w:tcW w:w="1512" w:type="dxa"/>
            <w:vAlign w:val="center"/>
          </w:tcPr>
          <w:p w14:paraId="1D250BE1" w14:textId="53D8C8FE"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28</w:t>
            </w:r>
            <w:r>
              <w:rPr>
                <w:rFonts w:asciiTheme="majorHAnsi" w:hAnsiTheme="majorHAnsi" w:cstheme="majorHAnsi"/>
              </w:rPr>
              <w:t>5</w:t>
            </w:r>
            <w:r w:rsidRPr="0025653C">
              <w:rPr>
                <w:rFonts w:asciiTheme="majorHAnsi" w:hAnsiTheme="majorHAnsi" w:cstheme="majorHAnsi"/>
              </w:rPr>
              <w:t>,</w:t>
            </w:r>
            <w:r>
              <w:rPr>
                <w:rFonts w:asciiTheme="majorHAnsi" w:hAnsiTheme="majorHAnsi" w:cstheme="majorHAnsi"/>
              </w:rPr>
              <w:t>51</w:t>
            </w:r>
            <w:r w:rsidRPr="0025653C">
              <w:rPr>
                <w:rFonts w:asciiTheme="majorHAnsi" w:hAnsiTheme="majorHAnsi" w:cstheme="majorHAnsi"/>
              </w:rPr>
              <w:t>€</w:t>
            </w:r>
          </w:p>
        </w:tc>
      </w:tr>
      <w:tr w:rsidR="007A654B" w:rsidRPr="0025653C" w14:paraId="0F511065" w14:textId="77777777" w:rsidTr="007A654B">
        <w:tc>
          <w:tcPr>
            <w:tcW w:w="1560" w:type="dxa"/>
            <w:vMerge/>
            <w:vAlign w:val="center"/>
          </w:tcPr>
          <w:p w14:paraId="19EF9CAD" w14:textId="77777777" w:rsidR="007A654B" w:rsidRPr="0025653C" w:rsidRDefault="007A654B" w:rsidP="007A654B">
            <w:pPr>
              <w:ind w:right="-28"/>
              <w:rPr>
                <w:rFonts w:asciiTheme="majorHAnsi" w:hAnsiTheme="majorHAnsi" w:cstheme="majorHAnsi"/>
              </w:rPr>
            </w:pPr>
          </w:p>
        </w:tc>
        <w:tc>
          <w:tcPr>
            <w:tcW w:w="5103" w:type="dxa"/>
            <w:gridSpan w:val="2"/>
            <w:vAlign w:val="center"/>
          </w:tcPr>
          <w:p w14:paraId="50E5BC2F" w14:textId="28888F56" w:rsidR="007A654B" w:rsidRPr="0025653C" w:rsidRDefault="007A654B" w:rsidP="007A654B">
            <w:pPr>
              <w:rPr>
                <w:rFonts w:asciiTheme="majorHAnsi" w:hAnsiTheme="majorHAnsi" w:cstheme="majorHAnsi"/>
              </w:rPr>
            </w:pPr>
            <w:r w:rsidRPr="0025653C">
              <w:rPr>
                <w:rFonts w:asciiTheme="majorHAnsi" w:hAnsiTheme="majorHAnsi" w:cstheme="majorHAnsi"/>
              </w:rPr>
              <w:t>Hemodiálisis en centro concertado</w:t>
            </w:r>
          </w:p>
        </w:tc>
        <w:tc>
          <w:tcPr>
            <w:tcW w:w="1134" w:type="dxa"/>
            <w:vAlign w:val="center"/>
          </w:tcPr>
          <w:p w14:paraId="187136E9" w14:textId="0F51D70F"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140</w:t>
            </w:r>
            <w:r>
              <w:rPr>
                <w:rFonts w:asciiTheme="majorHAnsi" w:hAnsiTheme="majorHAnsi" w:cstheme="majorHAnsi"/>
              </w:rPr>
              <w:t>,00</w:t>
            </w:r>
            <w:r w:rsidRPr="0025653C">
              <w:rPr>
                <w:rFonts w:asciiTheme="majorHAnsi" w:hAnsiTheme="majorHAnsi" w:cstheme="majorHAnsi"/>
              </w:rPr>
              <w:t>€</w:t>
            </w:r>
          </w:p>
        </w:tc>
        <w:tc>
          <w:tcPr>
            <w:tcW w:w="1417" w:type="dxa"/>
            <w:vMerge/>
            <w:vAlign w:val="center"/>
          </w:tcPr>
          <w:p w14:paraId="4A544855" w14:textId="77777777" w:rsidR="007A654B" w:rsidRPr="0025653C" w:rsidRDefault="007A654B" w:rsidP="007A654B">
            <w:pPr>
              <w:jc w:val="center"/>
              <w:rPr>
                <w:rFonts w:asciiTheme="majorHAnsi" w:hAnsiTheme="majorHAnsi" w:cstheme="majorHAnsi"/>
              </w:rPr>
            </w:pPr>
          </w:p>
        </w:tc>
        <w:tc>
          <w:tcPr>
            <w:tcW w:w="1512" w:type="dxa"/>
            <w:vAlign w:val="center"/>
          </w:tcPr>
          <w:p w14:paraId="1E67CDDB" w14:textId="011EBEEE"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143,</w:t>
            </w:r>
            <w:r>
              <w:rPr>
                <w:rFonts w:asciiTheme="majorHAnsi" w:hAnsiTheme="majorHAnsi" w:cstheme="majorHAnsi"/>
              </w:rPr>
              <w:t>78</w:t>
            </w:r>
            <w:r w:rsidRPr="0025653C">
              <w:rPr>
                <w:rFonts w:asciiTheme="majorHAnsi" w:hAnsiTheme="majorHAnsi" w:cstheme="majorHAnsi"/>
              </w:rPr>
              <w:t>€</w:t>
            </w:r>
          </w:p>
        </w:tc>
      </w:tr>
      <w:tr w:rsidR="007A654B" w:rsidRPr="0025653C" w14:paraId="1F5B0C8E" w14:textId="77777777" w:rsidTr="007A654B">
        <w:tc>
          <w:tcPr>
            <w:tcW w:w="1560" w:type="dxa"/>
            <w:vAlign w:val="center"/>
          </w:tcPr>
          <w:p w14:paraId="0D419E47" w14:textId="1F233921" w:rsidR="007A654B" w:rsidRPr="0025653C" w:rsidRDefault="007A654B" w:rsidP="0072361E">
            <w:pPr>
              <w:ind w:right="-28"/>
              <w:rPr>
                <w:rFonts w:asciiTheme="majorHAnsi" w:hAnsiTheme="majorHAnsi" w:cstheme="majorHAnsi"/>
              </w:rPr>
            </w:pPr>
            <w:r w:rsidRPr="00D611ED">
              <w:rPr>
                <w:rFonts w:asciiTheme="majorHAnsi" w:hAnsiTheme="majorHAnsi" w:cstheme="majorHAnsi"/>
              </w:rPr>
              <w:t>La Rioja</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{"citationItems":[{"id":"ITEM-1","itemData":{"ISBN":"2014121915","URL":"https://web.larioja.org/bor-portada","accessed":{"date-parts":[["2021","1","17"]]},"id":"ITEM-1","issued":{"date-parts":[["2014"]]},"page":"24923-24955","title":"Precios públicos por servicios sanitarios prestados a particulares en los centros del Servicio Riojano de Salud","type":"webpage"},"uris":["http://www.mendeley.com/documents/?uuid=9244bea6-a526-4f99-951f-e61f0fc46b4d"]}],"mendeley":{"formattedCitation":"&lt;sup&gt;34&lt;/sup&gt;","plainTextFormattedCitation":"34","previouslyFormattedCitation":"&lt;sup&gt;34&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34</w:t>
            </w:r>
            <w:r>
              <w:rPr>
                <w:rFonts w:asciiTheme="majorHAnsi" w:hAnsiTheme="majorHAnsi" w:cstheme="majorHAnsi"/>
              </w:rPr>
              <w:fldChar w:fldCharType="end"/>
            </w:r>
          </w:p>
        </w:tc>
        <w:tc>
          <w:tcPr>
            <w:tcW w:w="5103" w:type="dxa"/>
            <w:gridSpan w:val="2"/>
            <w:vAlign w:val="center"/>
          </w:tcPr>
          <w:p w14:paraId="2D377073" w14:textId="6085EF7E" w:rsidR="007A654B" w:rsidRPr="0025653C" w:rsidRDefault="007A654B" w:rsidP="007A654B">
            <w:pPr>
              <w:rPr>
                <w:rFonts w:asciiTheme="majorHAnsi" w:hAnsiTheme="majorHAnsi" w:cstheme="majorHAnsi"/>
              </w:rPr>
            </w:pPr>
            <w:r w:rsidRPr="0025653C">
              <w:rPr>
                <w:rFonts w:asciiTheme="majorHAnsi" w:hAnsiTheme="majorHAnsi" w:cstheme="majorHAnsi"/>
              </w:rPr>
              <w:t>Importe sesión de diálisis</w:t>
            </w:r>
          </w:p>
        </w:tc>
        <w:tc>
          <w:tcPr>
            <w:tcW w:w="1134" w:type="dxa"/>
            <w:vAlign w:val="center"/>
          </w:tcPr>
          <w:p w14:paraId="42E1C76A" w14:textId="77777777"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393,42€</w:t>
            </w:r>
          </w:p>
        </w:tc>
        <w:tc>
          <w:tcPr>
            <w:tcW w:w="1417" w:type="dxa"/>
            <w:vAlign w:val="center"/>
          </w:tcPr>
          <w:p w14:paraId="6AAC0CF7"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Diciembre 2014</w:t>
            </w:r>
          </w:p>
        </w:tc>
        <w:tc>
          <w:tcPr>
            <w:tcW w:w="1512" w:type="dxa"/>
            <w:vAlign w:val="center"/>
          </w:tcPr>
          <w:p w14:paraId="657A494D" w14:textId="6F171BC3"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4</w:t>
            </w:r>
            <w:r>
              <w:rPr>
                <w:rFonts w:asciiTheme="majorHAnsi" w:hAnsiTheme="majorHAnsi" w:cstheme="majorHAnsi"/>
              </w:rPr>
              <w:t>09</w:t>
            </w:r>
            <w:r w:rsidRPr="0025653C">
              <w:rPr>
                <w:rFonts w:asciiTheme="majorHAnsi" w:hAnsiTheme="majorHAnsi" w:cstheme="majorHAnsi"/>
              </w:rPr>
              <w:t>,</w:t>
            </w:r>
            <w:r>
              <w:rPr>
                <w:rFonts w:asciiTheme="majorHAnsi" w:hAnsiTheme="majorHAnsi" w:cstheme="majorHAnsi"/>
              </w:rPr>
              <w:t>16</w:t>
            </w:r>
            <w:r w:rsidRPr="0025653C">
              <w:rPr>
                <w:rFonts w:asciiTheme="majorHAnsi" w:hAnsiTheme="majorHAnsi" w:cstheme="majorHAnsi"/>
              </w:rPr>
              <w:t>€</w:t>
            </w:r>
          </w:p>
        </w:tc>
      </w:tr>
      <w:tr w:rsidR="007A654B" w:rsidRPr="0025653C" w14:paraId="52F12315" w14:textId="77777777" w:rsidTr="007A654B">
        <w:tc>
          <w:tcPr>
            <w:tcW w:w="1560" w:type="dxa"/>
            <w:vAlign w:val="center"/>
          </w:tcPr>
          <w:p w14:paraId="16AABBFF" w14:textId="134F6C91" w:rsidR="007A654B" w:rsidRPr="0025653C" w:rsidRDefault="007A654B" w:rsidP="0072361E">
            <w:pPr>
              <w:ind w:right="-28"/>
              <w:rPr>
                <w:rFonts w:asciiTheme="majorHAnsi" w:hAnsiTheme="majorHAnsi" w:cstheme="majorHAnsi"/>
              </w:rPr>
            </w:pPr>
            <w:r w:rsidRPr="00D611ED">
              <w:rPr>
                <w:rFonts w:asciiTheme="majorHAnsi" w:hAnsiTheme="majorHAnsi" w:cstheme="majorHAnsi"/>
              </w:rPr>
              <w:t>Galicia</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{"citationItems":[{"id":"ITEM-1","itemData":{"URL":"https://www.xunta.gal/diario-oficial-galicia/","accessed":{"date-parts":[["2021","1","17"]]},"id":"ITEM-1","issued":{"date-parts":[["2014"]]},"title":"Decreto 56/2014, do 30 de abril, polo que se establecen as tarifas dos servizos sanitarios prestados nos centros dependentes do Servizo Galego de Saúde e nas fundacións públicas sanitarias.","type":"webpage"},"uris":["http://www.mendeley.com/documents/?uuid=942214bb-b364-4176-9f97-e14225861801"]}],"mendeley":{"formattedCitation":"&lt;sup&gt;33&lt;/sup&gt;","plainTextFormattedCitation":"33","previouslyFormattedCitation":"&lt;sup&gt;33&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33</w:t>
            </w:r>
            <w:r>
              <w:rPr>
                <w:rFonts w:asciiTheme="majorHAnsi" w:hAnsiTheme="majorHAnsi" w:cstheme="majorHAnsi"/>
              </w:rPr>
              <w:fldChar w:fldCharType="end"/>
            </w:r>
          </w:p>
        </w:tc>
        <w:tc>
          <w:tcPr>
            <w:tcW w:w="5103" w:type="dxa"/>
            <w:gridSpan w:val="2"/>
            <w:vAlign w:val="center"/>
          </w:tcPr>
          <w:p w14:paraId="28E97287" w14:textId="42F8EB6C" w:rsidR="007A654B" w:rsidRPr="0025653C" w:rsidRDefault="007A654B" w:rsidP="007A654B">
            <w:pPr>
              <w:rPr>
                <w:rFonts w:asciiTheme="majorHAnsi" w:hAnsiTheme="majorHAnsi" w:cstheme="majorHAnsi"/>
              </w:rPr>
            </w:pPr>
            <w:r w:rsidRPr="0025653C">
              <w:rPr>
                <w:rFonts w:asciiTheme="majorHAnsi" w:hAnsiTheme="majorHAnsi" w:cstheme="majorHAnsi"/>
              </w:rPr>
              <w:t xml:space="preserve">Por cada sesión en centros hospitalarios tanto a pacientes hospitalizados como en régimen ambulatorio: </w:t>
            </w:r>
            <w:r>
              <w:rPr>
                <w:rFonts w:asciiTheme="majorHAnsi" w:hAnsiTheme="majorHAnsi" w:cstheme="majorHAnsi"/>
              </w:rPr>
              <w:t>e</w:t>
            </w:r>
            <w:r w:rsidRPr="0025653C">
              <w:rPr>
                <w:rFonts w:asciiTheme="majorHAnsi" w:hAnsiTheme="majorHAnsi" w:cstheme="majorHAnsi"/>
              </w:rPr>
              <w:t>l precio de la sesión de hemodiálisis comprende analítica rutinaria y las transfusiones que se realicen por indicación médica</w:t>
            </w:r>
          </w:p>
        </w:tc>
        <w:tc>
          <w:tcPr>
            <w:tcW w:w="1134" w:type="dxa"/>
            <w:vAlign w:val="center"/>
          </w:tcPr>
          <w:p w14:paraId="1EDB603D" w14:textId="77777777"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243,26€</w:t>
            </w:r>
          </w:p>
        </w:tc>
        <w:tc>
          <w:tcPr>
            <w:tcW w:w="1417" w:type="dxa"/>
            <w:vAlign w:val="center"/>
          </w:tcPr>
          <w:p w14:paraId="6107CAAA"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Abril 2017</w:t>
            </w:r>
          </w:p>
        </w:tc>
        <w:tc>
          <w:tcPr>
            <w:tcW w:w="1512" w:type="dxa"/>
            <w:vAlign w:val="center"/>
          </w:tcPr>
          <w:p w14:paraId="02F6D90B" w14:textId="56320C41" w:rsidR="007A654B" w:rsidRPr="0025653C" w:rsidRDefault="007A654B" w:rsidP="007A654B">
            <w:pPr>
              <w:ind w:left="-2"/>
              <w:jc w:val="center"/>
              <w:rPr>
                <w:rFonts w:asciiTheme="majorHAnsi" w:hAnsiTheme="majorHAnsi" w:cstheme="majorHAnsi"/>
              </w:rPr>
            </w:pPr>
            <w:r>
              <w:rPr>
                <w:rFonts w:asciiTheme="majorHAnsi" w:hAnsiTheme="majorHAnsi" w:cstheme="majorHAnsi"/>
              </w:rPr>
              <w:t>249,</w:t>
            </w:r>
            <w:r w:rsidRPr="0025653C">
              <w:rPr>
                <w:rFonts w:asciiTheme="majorHAnsi" w:hAnsiTheme="majorHAnsi" w:cstheme="majorHAnsi"/>
              </w:rPr>
              <w:t>8</w:t>
            </w:r>
            <w:r>
              <w:rPr>
                <w:rFonts w:asciiTheme="majorHAnsi" w:hAnsiTheme="majorHAnsi" w:cstheme="majorHAnsi"/>
              </w:rPr>
              <w:t>3</w:t>
            </w:r>
            <w:r w:rsidRPr="0025653C">
              <w:rPr>
                <w:rFonts w:asciiTheme="majorHAnsi" w:hAnsiTheme="majorHAnsi" w:cstheme="majorHAnsi"/>
              </w:rPr>
              <w:t>€</w:t>
            </w:r>
          </w:p>
        </w:tc>
      </w:tr>
      <w:tr w:rsidR="007A654B" w:rsidRPr="0025653C" w14:paraId="08BA14AD" w14:textId="77777777" w:rsidTr="007A654B">
        <w:tc>
          <w:tcPr>
            <w:tcW w:w="1560" w:type="dxa"/>
            <w:vAlign w:val="center"/>
          </w:tcPr>
          <w:p w14:paraId="100688E9" w14:textId="60BF36EA" w:rsidR="007A654B" w:rsidRPr="0025653C" w:rsidRDefault="007A654B" w:rsidP="0072361E">
            <w:pPr>
              <w:ind w:right="-28"/>
              <w:rPr>
                <w:rFonts w:asciiTheme="majorHAnsi" w:hAnsiTheme="majorHAnsi" w:cstheme="majorHAnsi"/>
              </w:rPr>
            </w:pPr>
            <w:r w:rsidRPr="00D611ED">
              <w:rPr>
                <w:rFonts w:asciiTheme="majorHAnsi" w:hAnsiTheme="majorHAnsi" w:cstheme="majorHAnsi"/>
              </w:rPr>
              <w:t>Extremadura</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{"citationItems":[{"id":"ITEM-1","itemData":{"ISBN":"2019060221","URL":"http://doe.gobex.es/","accessed":{"date-parts":[["2021","1","17"]]},"id":"ITEM-1","issued":{"date-parts":[["2019"]]},"title":"RESOLUCIÓN de 24 de enero de 2019, de la Vicepresidenta y Consejera, por la que se publican las tarifas actualizadas de las tasas y precios públicos de la Comunidad Autónoma de Extremadura en virtud de lo dispuesto en la Ley de presupuestos generales de l","type":"webpage"},"uris":["http://www.mendeley.com/documents/?uuid=3f1753ab-ff70-4623-97c0-9b8d99e4f7f0"]}],"mendeley":{"formattedCitation":"&lt;sup&gt;32&lt;/sup&gt;","plainTextFormattedCitation":"32","previouslyFormattedCitation":"&lt;sup&gt;32&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32</w:t>
            </w:r>
            <w:r>
              <w:rPr>
                <w:rFonts w:asciiTheme="majorHAnsi" w:hAnsiTheme="majorHAnsi" w:cstheme="majorHAnsi"/>
              </w:rPr>
              <w:fldChar w:fldCharType="end"/>
            </w:r>
          </w:p>
        </w:tc>
        <w:tc>
          <w:tcPr>
            <w:tcW w:w="5103" w:type="dxa"/>
            <w:gridSpan w:val="2"/>
            <w:vAlign w:val="center"/>
          </w:tcPr>
          <w:p w14:paraId="137F0AD5" w14:textId="669F8036" w:rsidR="007A654B" w:rsidRPr="0025653C" w:rsidRDefault="007A654B" w:rsidP="007A654B">
            <w:pPr>
              <w:rPr>
                <w:rFonts w:asciiTheme="majorHAnsi" w:hAnsiTheme="majorHAnsi" w:cstheme="majorHAnsi"/>
              </w:rPr>
            </w:pPr>
            <w:r w:rsidRPr="0025653C">
              <w:rPr>
                <w:rFonts w:asciiTheme="majorHAnsi" w:hAnsiTheme="majorHAnsi" w:cstheme="majorHAnsi"/>
              </w:rPr>
              <w:t>Hemodiálisis (sesión)</w:t>
            </w:r>
          </w:p>
        </w:tc>
        <w:tc>
          <w:tcPr>
            <w:tcW w:w="1134" w:type="dxa"/>
            <w:vAlign w:val="center"/>
          </w:tcPr>
          <w:p w14:paraId="0BCF4B7F" w14:textId="77777777"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295,80€</w:t>
            </w:r>
          </w:p>
        </w:tc>
        <w:tc>
          <w:tcPr>
            <w:tcW w:w="1417" w:type="dxa"/>
            <w:vAlign w:val="center"/>
          </w:tcPr>
          <w:p w14:paraId="2A9010DE"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Enero 2019</w:t>
            </w:r>
          </w:p>
        </w:tc>
        <w:tc>
          <w:tcPr>
            <w:tcW w:w="1512" w:type="dxa"/>
            <w:vAlign w:val="center"/>
          </w:tcPr>
          <w:p w14:paraId="73E3E44B" w14:textId="0980E552"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299,05€</w:t>
            </w:r>
          </w:p>
        </w:tc>
      </w:tr>
      <w:tr w:rsidR="007A654B" w:rsidRPr="0025653C" w14:paraId="03C422CC" w14:textId="77777777" w:rsidTr="007A654B">
        <w:tc>
          <w:tcPr>
            <w:tcW w:w="1560" w:type="dxa"/>
            <w:vAlign w:val="center"/>
          </w:tcPr>
          <w:p w14:paraId="490454CA" w14:textId="0403128E" w:rsidR="007A654B" w:rsidRPr="0025653C" w:rsidRDefault="007A654B" w:rsidP="0072361E">
            <w:pPr>
              <w:ind w:right="-28"/>
              <w:rPr>
                <w:rFonts w:asciiTheme="majorHAnsi" w:hAnsiTheme="majorHAnsi" w:cstheme="majorHAnsi"/>
              </w:rPr>
            </w:pPr>
            <w:r w:rsidRPr="00D611ED">
              <w:rPr>
                <w:rFonts w:asciiTheme="majorHAnsi" w:hAnsiTheme="majorHAnsi" w:cstheme="majorHAnsi"/>
              </w:rPr>
              <w:t>Valencia</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{"citationItems":[{"id":"ITEM-1","itemData":{"URL":"https://www.boe.es/","abstract":"Resolución de 18 de septiembre de 2013, del Instituto de Contabilidad y Auditoría de Cuentas, por la que se dictan normas de registro y valoración e información a incluir en la memoria de las cuentas anuales sobre el deterioro del valor de los activos.","accessed":{"date-parts":[["2021","1","17"]]},"id":"ITEM-1","issued":{"date-parts":[["2020"]]},"title":"Ley 20/2017, de 28 de diciembre, de tasas","type":"webpage"},"uris":["http://www.mendeley.com/documents/?uuid=3e2eae2b-00d2-4364-b009-d8f3f543d43a"]}],"mendeley":{"formattedCitation":"&lt;sup&gt;31&lt;/sup&gt;","plainTextFormattedCitation":"31","previouslyFormattedCitation":"&lt;sup&gt;31&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31</w:t>
            </w:r>
            <w:r>
              <w:rPr>
                <w:rFonts w:asciiTheme="majorHAnsi" w:hAnsiTheme="majorHAnsi" w:cstheme="majorHAnsi"/>
              </w:rPr>
              <w:fldChar w:fldCharType="end"/>
            </w:r>
          </w:p>
        </w:tc>
        <w:tc>
          <w:tcPr>
            <w:tcW w:w="5103" w:type="dxa"/>
            <w:gridSpan w:val="2"/>
            <w:vAlign w:val="center"/>
          </w:tcPr>
          <w:p w14:paraId="70BE9FDB" w14:textId="36ADEA5A" w:rsidR="007A654B" w:rsidRPr="0025653C" w:rsidRDefault="007A654B" w:rsidP="007A654B">
            <w:pPr>
              <w:rPr>
                <w:rFonts w:asciiTheme="majorHAnsi" w:hAnsiTheme="majorHAnsi" w:cstheme="majorHAnsi"/>
              </w:rPr>
            </w:pPr>
            <w:r w:rsidRPr="0025653C">
              <w:rPr>
                <w:rFonts w:asciiTheme="majorHAnsi" w:hAnsiTheme="majorHAnsi" w:cstheme="majorHAnsi"/>
              </w:rPr>
              <w:t>Sesión de hemodiálisis</w:t>
            </w:r>
          </w:p>
        </w:tc>
        <w:tc>
          <w:tcPr>
            <w:tcW w:w="1134" w:type="dxa"/>
            <w:vAlign w:val="center"/>
          </w:tcPr>
          <w:p w14:paraId="5C077C2F" w14:textId="77777777"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235,17€</w:t>
            </w:r>
          </w:p>
        </w:tc>
        <w:tc>
          <w:tcPr>
            <w:tcW w:w="1417" w:type="dxa"/>
            <w:vAlign w:val="center"/>
          </w:tcPr>
          <w:p w14:paraId="2633F902"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Febrero 2018</w:t>
            </w:r>
          </w:p>
        </w:tc>
        <w:tc>
          <w:tcPr>
            <w:tcW w:w="1512" w:type="dxa"/>
            <w:vAlign w:val="center"/>
          </w:tcPr>
          <w:p w14:paraId="32E484B7" w14:textId="43954835" w:rsidR="007A654B" w:rsidRPr="0025653C" w:rsidRDefault="007A654B" w:rsidP="007A654B">
            <w:pPr>
              <w:ind w:left="-2"/>
              <w:jc w:val="center"/>
              <w:rPr>
                <w:rFonts w:asciiTheme="majorHAnsi" w:hAnsiTheme="majorHAnsi" w:cstheme="majorHAnsi"/>
              </w:rPr>
            </w:pPr>
            <w:r>
              <w:rPr>
                <w:rFonts w:asciiTheme="majorHAnsi" w:hAnsiTheme="majorHAnsi" w:cstheme="majorHAnsi"/>
              </w:rPr>
              <w:t>240,11€</w:t>
            </w:r>
          </w:p>
        </w:tc>
      </w:tr>
      <w:tr w:rsidR="007A654B" w:rsidRPr="0025653C" w14:paraId="3038C57A" w14:textId="77777777" w:rsidTr="007A654B">
        <w:tc>
          <w:tcPr>
            <w:tcW w:w="1560" w:type="dxa"/>
            <w:vMerge w:val="restart"/>
            <w:vAlign w:val="center"/>
          </w:tcPr>
          <w:p w14:paraId="5EB5A518" w14:textId="38AFC312" w:rsidR="007A654B" w:rsidRPr="0025653C" w:rsidRDefault="007A654B" w:rsidP="0072361E">
            <w:pPr>
              <w:ind w:right="-28"/>
              <w:rPr>
                <w:rFonts w:asciiTheme="majorHAnsi" w:hAnsiTheme="majorHAnsi" w:cstheme="majorHAnsi"/>
              </w:rPr>
            </w:pPr>
            <w:r w:rsidRPr="00D611ED">
              <w:rPr>
                <w:rFonts w:asciiTheme="majorHAnsi" w:hAnsiTheme="majorHAnsi" w:cstheme="majorHAnsi"/>
              </w:rPr>
              <w:t>Cataluña</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{"citationItems":[{"id":"ITEM-1","itemData":{"URL":"https://dogc.gencat.cat/es/inici/","accessed":{"date-parts":[["2021","1","17"]]},"container-title":"Dogc","id":"ITEM-1","issued":{"date-parts":[["2013"]]},"page":"1-127","title":"Resolució SLT/353/2013, de 13 de febrer, sobre la revisió de preus públics corresponents als serveis sanitaris que presta l'Institut Català de la Salut","type":"webpage"},"uris":["http://www.mendeley.com/documents/?uuid=76fa7153-3bdc-4b5a-a7e5-ccb64292b2c1"]}],"mendeley":{"formattedCitation":"&lt;sup&gt;30&lt;/sup&gt;","plainTextFormattedCitation":"30","previouslyFormattedCitation":"&lt;sup&gt;30&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30</w:t>
            </w:r>
            <w:r>
              <w:rPr>
                <w:rFonts w:asciiTheme="majorHAnsi" w:hAnsiTheme="majorHAnsi" w:cstheme="majorHAnsi"/>
              </w:rPr>
              <w:fldChar w:fldCharType="end"/>
            </w:r>
          </w:p>
        </w:tc>
        <w:tc>
          <w:tcPr>
            <w:tcW w:w="5103" w:type="dxa"/>
            <w:gridSpan w:val="2"/>
            <w:vAlign w:val="center"/>
          </w:tcPr>
          <w:p w14:paraId="28F6BFC8" w14:textId="5082B0EE" w:rsidR="007A654B" w:rsidRPr="0025653C" w:rsidRDefault="007A654B" w:rsidP="007A654B">
            <w:pPr>
              <w:rPr>
                <w:rFonts w:asciiTheme="majorHAnsi" w:hAnsiTheme="majorHAnsi" w:cstheme="majorHAnsi"/>
              </w:rPr>
            </w:pPr>
            <w:r>
              <w:rPr>
                <w:rFonts w:asciiTheme="majorHAnsi" w:hAnsiTheme="majorHAnsi" w:cstheme="majorHAnsi"/>
              </w:rPr>
              <w:t>H</w:t>
            </w:r>
            <w:r w:rsidRPr="0025653C">
              <w:rPr>
                <w:rFonts w:asciiTheme="majorHAnsi" w:hAnsiTheme="majorHAnsi" w:cstheme="majorHAnsi"/>
              </w:rPr>
              <w:t>emodiálisis hospitalaria (ambulatoria) (sesión)</w:t>
            </w:r>
          </w:p>
        </w:tc>
        <w:tc>
          <w:tcPr>
            <w:tcW w:w="1134" w:type="dxa"/>
            <w:vAlign w:val="center"/>
          </w:tcPr>
          <w:p w14:paraId="1D281A4C" w14:textId="1DC925CA"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176</w:t>
            </w:r>
            <w:r>
              <w:rPr>
                <w:rFonts w:asciiTheme="majorHAnsi" w:hAnsiTheme="majorHAnsi" w:cstheme="majorHAnsi"/>
              </w:rPr>
              <w:t>,00</w:t>
            </w:r>
            <w:r w:rsidRPr="0025653C">
              <w:rPr>
                <w:rFonts w:asciiTheme="majorHAnsi" w:hAnsiTheme="majorHAnsi" w:cstheme="majorHAnsi"/>
              </w:rPr>
              <w:t>€</w:t>
            </w:r>
          </w:p>
        </w:tc>
        <w:tc>
          <w:tcPr>
            <w:tcW w:w="1417" w:type="dxa"/>
            <w:vMerge w:val="restart"/>
            <w:vAlign w:val="center"/>
          </w:tcPr>
          <w:p w14:paraId="2685A9C1"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Febrero 2013</w:t>
            </w:r>
          </w:p>
        </w:tc>
        <w:tc>
          <w:tcPr>
            <w:tcW w:w="1512" w:type="dxa"/>
            <w:vAlign w:val="center"/>
          </w:tcPr>
          <w:p w14:paraId="70CE2A46" w14:textId="6D4C7F8E" w:rsidR="007A654B" w:rsidRPr="0025653C" w:rsidRDefault="007A654B" w:rsidP="007A654B">
            <w:pPr>
              <w:ind w:left="-2"/>
              <w:jc w:val="center"/>
              <w:rPr>
                <w:rFonts w:asciiTheme="majorHAnsi" w:hAnsiTheme="majorHAnsi" w:cstheme="majorHAnsi"/>
              </w:rPr>
            </w:pPr>
            <w:r w:rsidRPr="00F01444">
              <w:rPr>
                <w:rFonts w:asciiTheme="majorHAnsi" w:hAnsiTheme="majorHAnsi" w:cstheme="majorHAnsi"/>
              </w:rPr>
              <w:t>182,86€</w:t>
            </w:r>
          </w:p>
        </w:tc>
      </w:tr>
      <w:tr w:rsidR="007A654B" w:rsidRPr="0025653C" w14:paraId="2685900E" w14:textId="77777777" w:rsidTr="007A654B">
        <w:tc>
          <w:tcPr>
            <w:tcW w:w="1560" w:type="dxa"/>
            <w:vMerge/>
            <w:vAlign w:val="center"/>
          </w:tcPr>
          <w:p w14:paraId="764E75E6" w14:textId="77777777" w:rsidR="007A654B" w:rsidRPr="0025653C" w:rsidRDefault="007A654B" w:rsidP="007A654B">
            <w:pPr>
              <w:ind w:right="-28"/>
              <w:rPr>
                <w:rFonts w:asciiTheme="majorHAnsi" w:hAnsiTheme="majorHAnsi" w:cstheme="majorHAnsi"/>
              </w:rPr>
            </w:pPr>
          </w:p>
        </w:tc>
        <w:tc>
          <w:tcPr>
            <w:tcW w:w="5103" w:type="dxa"/>
            <w:gridSpan w:val="2"/>
            <w:vAlign w:val="center"/>
          </w:tcPr>
          <w:p w14:paraId="0CFCB184" w14:textId="798B7683" w:rsidR="007A654B" w:rsidRPr="0025653C" w:rsidRDefault="007A654B" w:rsidP="007A654B">
            <w:pPr>
              <w:rPr>
                <w:rFonts w:asciiTheme="majorHAnsi" w:hAnsiTheme="majorHAnsi" w:cstheme="majorHAnsi"/>
              </w:rPr>
            </w:pPr>
            <w:r w:rsidRPr="0025653C">
              <w:rPr>
                <w:rFonts w:asciiTheme="majorHAnsi" w:hAnsiTheme="majorHAnsi" w:cstheme="majorHAnsi"/>
              </w:rPr>
              <w:t>Suplemento de hemofiltración en línea (HDF) (sesión)</w:t>
            </w:r>
          </w:p>
        </w:tc>
        <w:tc>
          <w:tcPr>
            <w:tcW w:w="1134" w:type="dxa"/>
            <w:vAlign w:val="center"/>
          </w:tcPr>
          <w:p w14:paraId="5532C069" w14:textId="24F9AB8C"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36</w:t>
            </w:r>
            <w:r>
              <w:rPr>
                <w:rFonts w:asciiTheme="majorHAnsi" w:hAnsiTheme="majorHAnsi" w:cstheme="majorHAnsi"/>
              </w:rPr>
              <w:t>,00</w:t>
            </w:r>
            <w:r w:rsidRPr="0025653C">
              <w:rPr>
                <w:rFonts w:asciiTheme="majorHAnsi" w:hAnsiTheme="majorHAnsi" w:cstheme="majorHAnsi"/>
              </w:rPr>
              <w:t>€</w:t>
            </w:r>
          </w:p>
        </w:tc>
        <w:tc>
          <w:tcPr>
            <w:tcW w:w="1417" w:type="dxa"/>
            <w:vMerge/>
            <w:vAlign w:val="center"/>
          </w:tcPr>
          <w:p w14:paraId="170C6379" w14:textId="77777777" w:rsidR="007A654B" w:rsidRPr="0025653C" w:rsidRDefault="007A654B" w:rsidP="007A654B">
            <w:pPr>
              <w:jc w:val="center"/>
              <w:rPr>
                <w:rFonts w:asciiTheme="majorHAnsi" w:hAnsiTheme="majorHAnsi" w:cstheme="majorHAnsi"/>
              </w:rPr>
            </w:pPr>
          </w:p>
        </w:tc>
        <w:tc>
          <w:tcPr>
            <w:tcW w:w="1512" w:type="dxa"/>
            <w:vAlign w:val="center"/>
          </w:tcPr>
          <w:p w14:paraId="5150DEF0" w14:textId="5DCE58DC"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3</w:t>
            </w:r>
            <w:r>
              <w:rPr>
                <w:rFonts w:asciiTheme="majorHAnsi" w:hAnsiTheme="majorHAnsi" w:cstheme="majorHAnsi"/>
              </w:rPr>
              <w:t>8</w:t>
            </w:r>
            <w:r w:rsidRPr="0025653C">
              <w:rPr>
                <w:rFonts w:asciiTheme="majorHAnsi" w:hAnsiTheme="majorHAnsi" w:cstheme="majorHAnsi"/>
              </w:rPr>
              <w:t>,</w:t>
            </w:r>
            <w:r>
              <w:rPr>
                <w:rFonts w:asciiTheme="majorHAnsi" w:hAnsiTheme="majorHAnsi" w:cstheme="majorHAnsi"/>
              </w:rPr>
              <w:t>52</w:t>
            </w:r>
            <w:r w:rsidRPr="0025653C">
              <w:rPr>
                <w:rFonts w:asciiTheme="majorHAnsi" w:hAnsiTheme="majorHAnsi" w:cstheme="majorHAnsi"/>
              </w:rPr>
              <w:t>€</w:t>
            </w:r>
          </w:p>
        </w:tc>
      </w:tr>
      <w:tr w:rsidR="007A654B" w:rsidRPr="0025653C" w14:paraId="739F465B" w14:textId="77777777" w:rsidTr="007A654B">
        <w:tc>
          <w:tcPr>
            <w:tcW w:w="1560" w:type="dxa"/>
            <w:vMerge w:val="restart"/>
            <w:vAlign w:val="center"/>
          </w:tcPr>
          <w:p w14:paraId="3958FDD1" w14:textId="1112D527" w:rsidR="007A654B" w:rsidRPr="0025653C" w:rsidRDefault="007A654B" w:rsidP="0072361E">
            <w:pPr>
              <w:ind w:right="-28"/>
              <w:rPr>
                <w:rFonts w:asciiTheme="majorHAnsi" w:hAnsiTheme="majorHAnsi" w:cstheme="majorHAnsi"/>
              </w:rPr>
            </w:pPr>
            <w:r>
              <w:rPr>
                <w:rFonts w:asciiTheme="majorHAnsi" w:hAnsiTheme="majorHAnsi" w:cstheme="majorHAnsi"/>
              </w:rPr>
              <w:t>Castilla y León</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{"citationItems":[{"id":"ITEM-1","itemData":{"URL":"https://bocyl.jcyl.es/","accessed":{"date-parts":[["2021","1","17"]]},"id":"ITEM-1","issued":{"date-parts":[["2011"]]},"title":"RESOLUCIÓN de 21 de noviembre de 2011, del Presidente de la Gerencia Regional de Salud, por la que se fijan las tarifas máximas y los porcentajes de revisión de las condiciones económicas aplicables en el año 2011, a la prestación de Servicios de Asistenc","type":"webpage"},"uris":["http://www.mendeley.com/documents/?uuid=d13f1ec3-3be7-4e93-82b8-89771ac7f5fd"]}],"mendeley":{"formattedCitation":"&lt;sup&gt;46&lt;/sup&gt;","plainTextFormattedCitation":"46","previouslyFormattedCitation":"&lt;sup&gt;46&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46</w:t>
            </w:r>
            <w:r>
              <w:rPr>
                <w:rFonts w:asciiTheme="majorHAnsi" w:hAnsiTheme="majorHAnsi" w:cstheme="majorHAnsi"/>
              </w:rPr>
              <w:fldChar w:fldCharType="end"/>
            </w:r>
          </w:p>
        </w:tc>
        <w:tc>
          <w:tcPr>
            <w:tcW w:w="5103" w:type="dxa"/>
            <w:gridSpan w:val="2"/>
            <w:vAlign w:val="center"/>
          </w:tcPr>
          <w:p w14:paraId="786A299A" w14:textId="0CCD4191" w:rsidR="007A654B" w:rsidRPr="0025653C" w:rsidRDefault="007A654B" w:rsidP="007A654B">
            <w:pPr>
              <w:rPr>
                <w:rFonts w:asciiTheme="majorHAnsi" w:hAnsiTheme="majorHAnsi" w:cstheme="majorHAnsi"/>
              </w:rPr>
            </w:pPr>
            <w:r w:rsidRPr="0025653C">
              <w:rPr>
                <w:rFonts w:asciiTheme="majorHAnsi" w:hAnsiTheme="majorHAnsi" w:cstheme="majorHAnsi"/>
              </w:rPr>
              <w:t>Sesión de hemodiálisis</w:t>
            </w:r>
          </w:p>
        </w:tc>
        <w:tc>
          <w:tcPr>
            <w:tcW w:w="1134" w:type="dxa"/>
            <w:vAlign w:val="center"/>
          </w:tcPr>
          <w:p w14:paraId="1BCADF00" w14:textId="098383E1"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1</w:t>
            </w:r>
            <w:r>
              <w:rPr>
                <w:rFonts w:asciiTheme="majorHAnsi" w:hAnsiTheme="majorHAnsi" w:cstheme="majorHAnsi"/>
              </w:rPr>
              <w:t>42</w:t>
            </w:r>
            <w:r w:rsidRPr="0025653C">
              <w:rPr>
                <w:rFonts w:asciiTheme="majorHAnsi" w:hAnsiTheme="majorHAnsi" w:cstheme="majorHAnsi"/>
              </w:rPr>
              <w:t>,2</w:t>
            </w:r>
            <w:r>
              <w:rPr>
                <w:rFonts w:asciiTheme="majorHAnsi" w:hAnsiTheme="majorHAnsi" w:cstheme="majorHAnsi"/>
              </w:rPr>
              <w:t>1</w:t>
            </w:r>
            <w:r w:rsidRPr="0025653C">
              <w:rPr>
                <w:rFonts w:asciiTheme="majorHAnsi" w:hAnsiTheme="majorHAnsi" w:cstheme="majorHAnsi"/>
              </w:rPr>
              <w:t>€</w:t>
            </w:r>
          </w:p>
        </w:tc>
        <w:tc>
          <w:tcPr>
            <w:tcW w:w="1417" w:type="dxa"/>
            <w:vMerge w:val="restart"/>
            <w:vAlign w:val="center"/>
          </w:tcPr>
          <w:p w14:paraId="50D9C5C3" w14:textId="057FC75F" w:rsidR="007A654B" w:rsidRPr="0025653C" w:rsidRDefault="007A654B" w:rsidP="007A654B">
            <w:pPr>
              <w:jc w:val="center"/>
              <w:rPr>
                <w:rFonts w:asciiTheme="majorHAnsi" w:hAnsiTheme="majorHAnsi" w:cstheme="majorHAnsi"/>
              </w:rPr>
            </w:pPr>
            <w:r>
              <w:rPr>
                <w:rFonts w:asciiTheme="majorHAnsi" w:hAnsiTheme="majorHAnsi" w:cstheme="majorHAnsi"/>
              </w:rPr>
              <w:t>Diciembre</w:t>
            </w:r>
            <w:r w:rsidRPr="0025653C">
              <w:rPr>
                <w:rFonts w:asciiTheme="majorHAnsi" w:hAnsiTheme="majorHAnsi" w:cstheme="majorHAnsi"/>
              </w:rPr>
              <w:t xml:space="preserve"> 201</w:t>
            </w:r>
            <w:r>
              <w:rPr>
                <w:rFonts w:asciiTheme="majorHAnsi" w:hAnsiTheme="majorHAnsi" w:cstheme="majorHAnsi"/>
              </w:rPr>
              <w:t>1</w:t>
            </w:r>
          </w:p>
        </w:tc>
        <w:tc>
          <w:tcPr>
            <w:tcW w:w="1512" w:type="dxa"/>
            <w:vAlign w:val="center"/>
          </w:tcPr>
          <w:p w14:paraId="4D849D9C" w14:textId="4CD318A5" w:rsidR="007A654B" w:rsidRPr="0025653C" w:rsidRDefault="00A271A2" w:rsidP="007A654B">
            <w:pPr>
              <w:ind w:left="-2"/>
              <w:jc w:val="center"/>
              <w:rPr>
                <w:rFonts w:asciiTheme="majorHAnsi" w:hAnsiTheme="majorHAnsi" w:cstheme="majorHAnsi"/>
              </w:rPr>
            </w:pPr>
            <w:r>
              <w:rPr>
                <w:rFonts w:asciiTheme="majorHAnsi" w:hAnsiTheme="majorHAnsi" w:cstheme="majorHAnsi"/>
              </w:rPr>
              <w:t>151,17</w:t>
            </w:r>
            <w:r w:rsidR="007A654B" w:rsidRPr="0025653C">
              <w:rPr>
                <w:rFonts w:asciiTheme="majorHAnsi" w:hAnsiTheme="majorHAnsi" w:cstheme="majorHAnsi"/>
              </w:rPr>
              <w:t>€</w:t>
            </w:r>
          </w:p>
        </w:tc>
      </w:tr>
      <w:tr w:rsidR="007A654B" w:rsidRPr="0025653C" w14:paraId="255C79B1" w14:textId="77777777" w:rsidTr="007A654B">
        <w:tc>
          <w:tcPr>
            <w:tcW w:w="1560" w:type="dxa"/>
            <w:vMerge/>
            <w:vAlign w:val="center"/>
          </w:tcPr>
          <w:p w14:paraId="1C10C24F" w14:textId="77777777" w:rsidR="007A654B" w:rsidRPr="00D611ED" w:rsidRDefault="007A654B" w:rsidP="007A654B">
            <w:pPr>
              <w:ind w:right="-28"/>
              <w:rPr>
                <w:rFonts w:asciiTheme="majorHAnsi" w:hAnsiTheme="majorHAnsi" w:cstheme="majorHAnsi"/>
              </w:rPr>
            </w:pPr>
          </w:p>
        </w:tc>
        <w:tc>
          <w:tcPr>
            <w:tcW w:w="2976" w:type="dxa"/>
            <w:vMerge w:val="restart"/>
            <w:vAlign w:val="center"/>
          </w:tcPr>
          <w:p w14:paraId="49FB109D" w14:textId="0423B522" w:rsidR="007A654B" w:rsidRPr="0025653C" w:rsidRDefault="007A654B" w:rsidP="007A654B">
            <w:pPr>
              <w:rPr>
                <w:rFonts w:asciiTheme="majorHAnsi" w:hAnsiTheme="majorHAnsi" w:cstheme="majorHAnsi"/>
              </w:rPr>
            </w:pPr>
            <w:r>
              <w:rPr>
                <w:rFonts w:asciiTheme="majorHAnsi" w:hAnsiTheme="majorHAnsi" w:cstheme="majorHAnsi"/>
              </w:rPr>
              <w:t>Club de diálisis (según sesiones de tratamiento</w:t>
            </w:r>
          </w:p>
        </w:tc>
        <w:tc>
          <w:tcPr>
            <w:tcW w:w="2127" w:type="dxa"/>
            <w:vAlign w:val="center"/>
          </w:tcPr>
          <w:p w14:paraId="261AADD2" w14:textId="619B9A5D" w:rsidR="007A654B" w:rsidRPr="0025653C" w:rsidRDefault="007A654B" w:rsidP="007A654B">
            <w:pPr>
              <w:rPr>
                <w:rFonts w:asciiTheme="majorHAnsi" w:hAnsiTheme="majorHAnsi" w:cstheme="majorHAnsi"/>
              </w:rPr>
            </w:pPr>
            <w:r>
              <w:rPr>
                <w:rFonts w:asciiTheme="majorHAnsi" w:hAnsiTheme="majorHAnsi" w:cstheme="majorHAnsi"/>
              </w:rPr>
              <w:t>≤250 sesiones</w:t>
            </w:r>
          </w:p>
        </w:tc>
        <w:tc>
          <w:tcPr>
            <w:tcW w:w="1134" w:type="dxa"/>
            <w:vAlign w:val="center"/>
          </w:tcPr>
          <w:p w14:paraId="3FB92E8D" w14:textId="1B017698" w:rsidR="007A654B" w:rsidRPr="0025653C" w:rsidRDefault="007A654B" w:rsidP="007A654B">
            <w:pPr>
              <w:ind w:left="-108"/>
              <w:jc w:val="center"/>
              <w:rPr>
                <w:rFonts w:asciiTheme="majorHAnsi" w:hAnsiTheme="majorHAnsi" w:cstheme="majorHAnsi"/>
              </w:rPr>
            </w:pPr>
            <w:r>
              <w:rPr>
                <w:rFonts w:asciiTheme="majorHAnsi" w:hAnsiTheme="majorHAnsi" w:cstheme="majorHAnsi"/>
              </w:rPr>
              <w:t>160,91€</w:t>
            </w:r>
          </w:p>
        </w:tc>
        <w:tc>
          <w:tcPr>
            <w:tcW w:w="1417" w:type="dxa"/>
            <w:vMerge/>
            <w:vAlign w:val="center"/>
          </w:tcPr>
          <w:p w14:paraId="3E3BB70E" w14:textId="77777777" w:rsidR="007A654B" w:rsidRDefault="007A654B" w:rsidP="007A654B">
            <w:pPr>
              <w:jc w:val="center"/>
              <w:rPr>
                <w:rFonts w:asciiTheme="majorHAnsi" w:hAnsiTheme="majorHAnsi" w:cstheme="majorHAnsi"/>
              </w:rPr>
            </w:pPr>
          </w:p>
        </w:tc>
        <w:tc>
          <w:tcPr>
            <w:tcW w:w="1512" w:type="dxa"/>
            <w:vAlign w:val="center"/>
          </w:tcPr>
          <w:p w14:paraId="13EA7A24" w14:textId="332E8D34" w:rsidR="007A654B" w:rsidRPr="0025653C" w:rsidRDefault="00A271A2" w:rsidP="00A271A2">
            <w:pPr>
              <w:ind w:left="-2"/>
              <w:jc w:val="center"/>
              <w:rPr>
                <w:rFonts w:asciiTheme="majorHAnsi" w:hAnsiTheme="majorHAnsi" w:cstheme="majorHAnsi"/>
              </w:rPr>
            </w:pPr>
            <w:r w:rsidRPr="00A271A2">
              <w:rPr>
                <w:rFonts w:asciiTheme="majorHAnsi" w:hAnsiTheme="majorHAnsi" w:cstheme="majorHAnsi"/>
              </w:rPr>
              <w:t>171,05€</w:t>
            </w:r>
          </w:p>
        </w:tc>
      </w:tr>
      <w:tr w:rsidR="007A654B" w:rsidRPr="0025653C" w14:paraId="5F384073" w14:textId="77777777" w:rsidTr="007A654B">
        <w:tc>
          <w:tcPr>
            <w:tcW w:w="1560" w:type="dxa"/>
            <w:vMerge/>
            <w:vAlign w:val="center"/>
          </w:tcPr>
          <w:p w14:paraId="60A940A9" w14:textId="77777777" w:rsidR="007A654B" w:rsidRPr="00D611ED" w:rsidRDefault="007A654B" w:rsidP="007A654B">
            <w:pPr>
              <w:ind w:right="-28"/>
              <w:rPr>
                <w:rFonts w:asciiTheme="majorHAnsi" w:hAnsiTheme="majorHAnsi" w:cstheme="majorHAnsi"/>
              </w:rPr>
            </w:pPr>
          </w:p>
        </w:tc>
        <w:tc>
          <w:tcPr>
            <w:tcW w:w="2976" w:type="dxa"/>
            <w:vMerge/>
            <w:vAlign w:val="center"/>
          </w:tcPr>
          <w:p w14:paraId="582285F5" w14:textId="7472021A" w:rsidR="007A654B" w:rsidRPr="00190A7A" w:rsidRDefault="007A654B" w:rsidP="007A654B">
            <w:pPr>
              <w:rPr>
                <w:rFonts w:asciiTheme="majorHAnsi" w:hAnsiTheme="majorHAnsi" w:cstheme="majorHAnsi"/>
              </w:rPr>
            </w:pPr>
          </w:p>
        </w:tc>
        <w:tc>
          <w:tcPr>
            <w:tcW w:w="2127" w:type="dxa"/>
            <w:vAlign w:val="center"/>
          </w:tcPr>
          <w:p w14:paraId="36BEFCD8" w14:textId="11DC4D04" w:rsidR="007A654B" w:rsidRPr="00190A7A" w:rsidRDefault="007A654B" w:rsidP="007A654B">
            <w:pPr>
              <w:rPr>
                <w:rFonts w:asciiTheme="majorHAnsi" w:hAnsiTheme="majorHAnsi" w:cstheme="majorHAnsi"/>
              </w:rPr>
            </w:pPr>
            <w:r>
              <w:rPr>
                <w:rFonts w:asciiTheme="majorHAnsi" w:hAnsiTheme="majorHAnsi" w:cstheme="majorHAnsi"/>
              </w:rPr>
              <w:t>251-390 sesiones</w:t>
            </w:r>
          </w:p>
        </w:tc>
        <w:tc>
          <w:tcPr>
            <w:tcW w:w="1134" w:type="dxa"/>
            <w:vAlign w:val="center"/>
          </w:tcPr>
          <w:p w14:paraId="3F79FDCB" w14:textId="0086354F" w:rsidR="007A654B" w:rsidRPr="0025653C" w:rsidRDefault="007A654B" w:rsidP="007A654B">
            <w:pPr>
              <w:ind w:left="-108"/>
              <w:jc w:val="center"/>
              <w:rPr>
                <w:rFonts w:asciiTheme="majorHAnsi" w:hAnsiTheme="majorHAnsi" w:cstheme="majorHAnsi"/>
              </w:rPr>
            </w:pPr>
            <w:r>
              <w:rPr>
                <w:rFonts w:asciiTheme="majorHAnsi" w:hAnsiTheme="majorHAnsi" w:cstheme="majorHAnsi"/>
              </w:rPr>
              <w:t>145,85€</w:t>
            </w:r>
          </w:p>
        </w:tc>
        <w:tc>
          <w:tcPr>
            <w:tcW w:w="1417" w:type="dxa"/>
            <w:vMerge/>
            <w:vAlign w:val="center"/>
          </w:tcPr>
          <w:p w14:paraId="460A1CE7" w14:textId="77777777" w:rsidR="007A654B" w:rsidRDefault="007A654B" w:rsidP="007A654B">
            <w:pPr>
              <w:jc w:val="center"/>
              <w:rPr>
                <w:rFonts w:asciiTheme="majorHAnsi" w:hAnsiTheme="majorHAnsi" w:cstheme="majorHAnsi"/>
              </w:rPr>
            </w:pPr>
          </w:p>
        </w:tc>
        <w:tc>
          <w:tcPr>
            <w:tcW w:w="1512" w:type="dxa"/>
            <w:vAlign w:val="center"/>
          </w:tcPr>
          <w:p w14:paraId="0D03A0B0" w14:textId="126CD2C2" w:rsidR="007A654B" w:rsidRPr="0025653C" w:rsidRDefault="00A271A2" w:rsidP="007A654B">
            <w:pPr>
              <w:ind w:left="-2"/>
              <w:jc w:val="center"/>
              <w:rPr>
                <w:rFonts w:asciiTheme="majorHAnsi" w:hAnsiTheme="majorHAnsi" w:cstheme="majorHAnsi"/>
              </w:rPr>
            </w:pPr>
            <w:r w:rsidRPr="00A271A2">
              <w:rPr>
                <w:rFonts w:asciiTheme="majorHAnsi" w:hAnsiTheme="majorHAnsi" w:cstheme="majorHAnsi"/>
              </w:rPr>
              <w:t>155,04€</w:t>
            </w:r>
          </w:p>
        </w:tc>
      </w:tr>
      <w:tr w:rsidR="007A654B" w:rsidRPr="0025653C" w14:paraId="04806137" w14:textId="77777777" w:rsidTr="007A654B">
        <w:tc>
          <w:tcPr>
            <w:tcW w:w="1560" w:type="dxa"/>
            <w:vMerge/>
            <w:vAlign w:val="center"/>
          </w:tcPr>
          <w:p w14:paraId="58912860" w14:textId="77777777" w:rsidR="007A654B" w:rsidRPr="00D611ED" w:rsidRDefault="007A654B" w:rsidP="007A654B">
            <w:pPr>
              <w:ind w:right="-28"/>
              <w:rPr>
                <w:rFonts w:asciiTheme="majorHAnsi" w:hAnsiTheme="majorHAnsi" w:cstheme="majorHAnsi"/>
              </w:rPr>
            </w:pPr>
          </w:p>
        </w:tc>
        <w:tc>
          <w:tcPr>
            <w:tcW w:w="2976" w:type="dxa"/>
            <w:vMerge/>
            <w:vAlign w:val="center"/>
          </w:tcPr>
          <w:p w14:paraId="53C6D2F3" w14:textId="77777777" w:rsidR="007A654B" w:rsidRPr="00190A7A" w:rsidRDefault="007A654B" w:rsidP="007A654B">
            <w:pPr>
              <w:rPr>
                <w:rFonts w:asciiTheme="majorHAnsi" w:hAnsiTheme="majorHAnsi" w:cstheme="majorHAnsi"/>
              </w:rPr>
            </w:pPr>
          </w:p>
        </w:tc>
        <w:tc>
          <w:tcPr>
            <w:tcW w:w="2127" w:type="dxa"/>
            <w:vAlign w:val="center"/>
          </w:tcPr>
          <w:p w14:paraId="68D6DEB6" w14:textId="7329B662" w:rsidR="007A654B" w:rsidRPr="00190A7A" w:rsidRDefault="007A654B" w:rsidP="007A654B">
            <w:pPr>
              <w:rPr>
                <w:rFonts w:asciiTheme="majorHAnsi" w:hAnsiTheme="majorHAnsi" w:cstheme="majorHAnsi"/>
              </w:rPr>
            </w:pPr>
            <w:r>
              <w:rPr>
                <w:rFonts w:asciiTheme="majorHAnsi" w:hAnsiTheme="majorHAnsi" w:cstheme="majorHAnsi"/>
              </w:rPr>
              <w:t>391-780 sesiones</w:t>
            </w:r>
          </w:p>
        </w:tc>
        <w:tc>
          <w:tcPr>
            <w:tcW w:w="1134" w:type="dxa"/>
            <w:vAlign w:val="center"/>
          </w:tcPr>
          <w:p w14:paraId="0D979995" w14:textId="37B7CF72" w:rsidR="007A654B" w:rsidRPr="0025653C" w:rsidRDefault="007A654B" w:rsidP="007A654B">
            <w:pPr>
              <w:ind w:left="-108"/>
              <w:jc w:val="center"/>
              <w:rPr>
                <w:rFonts w:asciiTheme="majorHAnsi" w:hAnsiTheme="majorHAnsi" w:cstheme="majorHAnsi"/>
              </w:rPr>
            </w:pPr>
            <w:r>
              <w:rPr>
                <w:rFonts w:asciiTheme="majorHAnsi" w:hAnsiTheme="majorHAnsi" w:cstheme="majorHAnsi"/>
              </w:rPr>
              <w:t>142,51€</w:t>
            </w:r>
          </w:p>
        </w:tc>
        <w:tc>
          <w:tcPr>
            <w:tcW w:w="1417" w:type="dxa"/>
            <w:vMerge/>
            <w:vAlign w:val="center"/>
          </w:tcPr>
          <w:p w14:paraId="0BEBB2C9" w14:textId="77777777" w:rsidR="007A654B" w:rsidRDefault="007A654B" w:rsidP="007A654B">
            <w:pPr>
              <w:jc w:val="center"/>
              <w:rPr>
                <w:rFonts w:asciiTheme="majorHAnsi" w:hAnsiTheme="majorHAnsi" w:cstheme="majorHAnsi"/>
              </w:rPr>
            </w:pPr>
          </w:p>
        </w:tc>
        <w:tc>
          <w:tcPr>
            <w:tcW w:w="1512" w:type="dxa"/>
            <w:vAlign w:val="center"/>
          </w:tcPr>
          <w:p w14:paraId="6C3691B3" w14:textId="591F4B0A" w:rsidR="007A654B" w:rsidRPr="0025653C" w:rsidRDefault="00A271A2" w:rsidP="007A654B">
            <w:pPr>
              <w:ind w:left="-2"/>
              <w:jc w:val="center"/>
              <w:rPr>
                <w:rFonts w:asciiTheme="majorHAnsi" w:hAnsiTheme="majorHAnsi" w:cstheme="majorHAnsi"/>
              </w:rPr>
            </w:pPr>
            <w:r w:rsidRPr="00A271A2">
              <w:rPr>
                <w:rFonts w:asciiTheme="majorHAnsi" w:hAnsiTheme="majorHAnsi" w:cstheme="majorHAnsi"/>
              </w:rPr>
              <w:t>151,49€</w:t>
            </w:r>
          </w:p>
        </w:tc>
      </w:tr>
      <w:tr w:rsidR="007A654B" w:rsidRPr="0025653C" w14:paraId="1A7D7ED0" w14:textId="77777777" w:rsidTr="007A654B">
        <w:tc>
          <w:tcPr>
            <w:tcW w:w="1560" w:type="dxa"/>
            <w:vMerge/>
            <w:vAlign w:val="center"/>
          </w:tcPr>
          <w:p w14:paraId="640E010B" w14:textId="77777777" w:rsidR="007A654B" w:rsidRPr="00D611ED" w:rsidRDefault="007A654B" w:rsidP="007A654B">
            <w:pPr>
              <w:ind w:right="-28"/>
              <w:rPr>
                <w:rFonts w:asciiTheme="majorHAnsi" w:hAnsiTheme="majorHAnsi" w:cstheme="majorHAnsi"/>
              </w:rPr>
            </w:pPr>
          </w:p>
        </w:tc>
        <w:tc>
          <w:tcPr>
            <w:tcW w:w="2976" w:type="dxa"/>
            <w:vMerge/>
            <w:vAlign w:val="center"/>
          </w:tcPr>
          <w:p w14:paraId="084AE12F" w14:textId="77777777" w:rsidR="007A654B" w:rsidRPr="00190A7A" w:rsidRDefault="007A654B" w:rsidP="007A654B">
            <w:pPr>
              <w:rPr>
                <w:rFonts w:asciiTheme="majorHAnsi" w:hAnsiTheme="majorHAnsi" w:cstheme="majorHAnsi"/>
              </w:rPr>
            </w:pPr>
          </w:p>
        </w:tc>
        <w:tc>
          <w:tcPr>
            <w:tcW w:w="2127" w:type="dxa"/>
            <w:vAlign w:val="center"/>
          </w:tcPr>
          <w:p w14:paraId="1D930C2C" w14:textId="73BF957B" w:rsidR="007A654B" w:rsidRPr="00190A7A" w:rsidRDefault="007A654B" w:rsidP="007A654B">
            <w:pPr>
              <w:rPr>
                <w:rFonts w:asciiTheme="majorHAnsi" w:hAnsiTheme="majorHAnsi" w:cstheme="majorHAnsi"/>
              </w:rPr>
            </w:pPr>
            <w:r>
              <w:rPr>
                <w:rFonts w:asciiTheme="majorHAnsi" w:hAnsiTheme="majorHAnsi" w:cstheme="majorHAnsi"/>
              </w:rPr>
              <w:t>&gt;780 sesiones</w:t>
            </w:r>
          </w:p>
        </w:tc>
        <w:tc>
          <w:tcPr>
            <w:tcW w:w="1134" w:type="dxa"/>
            <w:vAlign w:val="center"/>
          </w:tcPr>
          <w:p w14:paraId="3BAD87EA" w14:textId="219E27A7" w:rsidR="007A654B" w:rsidRPr="0025653C" w:rsidRDefault="007A654B" w:rsidP="007A654B">
            <w:pPr>
              <w:ind w:left="-108"/>
              <w:jc w:val="center"/>
              <w:rPr>
                <w:rFonts w:asciiTheme="majorHAnsi" w:hAnsiTheme="majorHAnsi" w:cstheme="majorHAnsi"/>
              </w:rPr>
            </w:pPr>
            <w:r>
              <w:rPr>
                <w:rFonts w:asciiTheme="majorHAnsi" w:hAnsiTheme="majorHAnsi" w:cstheme="majorHAnsi"/>
              </w:rPr>
              <w:t>139,21€</w:t>
            </w:r>
          </w:p>
        </w:tc>
        <w:tc>
          <w:tcPr>
            <w:tcW w:w="1417" w:type="dxa"/>
            <w:vMerge/>
            <w:vAlign w:val="center"/>
          </w:tcPr>
          <w:p w14:paraId="0B43EC8F" w14:textId="77777777" w:rsidR="007A654B" w:rsidRDefault="007A654B" w:rsidP="007A654B">
            <w:pPr>
              <w:jc w:val="center"/>
              <w:rPr>
                <w:rFonts w:asciiTheme="majorHAnsi" w:hAnsiTheme="majorHAnsi" w:cstheme="majorHAnsi"/>
              </w:rPr>
            </w:pPr>
          </w:p>
        </w:tc>
        <w:tc>
          <w:tcPr>
            <w:tcW w:w="1512" w:type="dxa"/>
            <w:vAlign w:val="center"/>
          </w:tcPr>
          <w:p w14:paraId="47D6E78A" w14:textId="68F706E1" w:rsidR="007A654B" w:rsidRPr="0025653C" w:rsidRDefault="00A271A2" w:rsidP="007A654B">
            <w:pPr>
              <w:ind w:left="-2"/>
              <w:jc w:val="center"/>
              <w:rPr>
                <w:rFonts w:asciiTheme="majorHAnsi" w:hAnsiTheme="majorHAnsi" w:cstheme="majorHAnsi"/>
              </w:rPr>
            </w:pPr>
            <w:r w:rsidRPr="00A271A2">
              <w:rPr>
                <w:rFonts w:asciiTheme="majorHAnsi" w:hAnsiTheme="majorHAnsi" w:cstheme="majorHAnsi"/>
              </w:rPr>
              <w:t>147,98€</w:t>
            </w:r>
          </w:p>
        </w:tc>
      </w:tr>
      <w:tr w:rsidR="007A654B" w:rsidRPr="0025653C" w14:paraId="08E0FE52" w14:textId="77777777" w:rsidTr="007A654B">
        <w:tc>
          <w:tcPr>
            <w:tcW w:w="1560" w:type="dxa"/>
            <w:vMerge/>
            <w:vAlign w:val="center"/>
          </w:tcPr>
          <w:p w14:paraId="7C3BEABA" w14:textId="77777777" w:rsidR="007A654B" w:rsidRPr="00D611ED" w:rsidRDefault="007A654B" w:rsidP="007A654B">
            <w:pPr>
              <w:ind w:right="-28"/>
              <w:rPr>
                <w:rFonts w:asciiTheme="majorHAnsi" w:hAnsiTheme="majorHAnsi" w:cstheme="majorHAnsi"/>
              </w:rPr>
            </w:pPr>
          </w:p>
        </w:tc>
        <w:tc>
          <w:tcPr>
            <w:tcW w:w="5103" w:type="dxa"/>
            <w:gridSpan w:val="2"/>
            <w:vAlign w:val="center"/>
          </w:tcPr>
          <w:p w14:paraId="67ADB1E1" w14:textId="7FA18CB9" w:rsidR="007A654B" w:rsidRDefault="007A654B" w:rsidP="007A654B">
            <w:pPr>
              <w:rPr>
                <w:rFonts w:asciiTheme="majorHAnsi" w:hAnsiTheme="majorHAnsi" w:cstheme="majorHAnsi"/>
              </w:rPr>
            </w:pPr>
            <w:r w:rsidRPr="00190A7A">
              <w:rPr>
                <w:rFonts w:asciiTheme="majorHAnsi" w:hAnsiTheme="majorHAnsi" w:cstheme="majorHAnsi"/>
              </w:rPr>
              <w:t>Centro satélite con personal sanitario de SACyL</w:t>
            </w:r>
          </w:p>
        </w:tc>
        <w:tc>
          <w:tcPr>
            <w:tcW w:w="1134" w:type="dxa"/>
            <w:vAlign w:val="center"/>
          </w:tcPr>
          <w:p w14:paraId="0D8DFFC6" w14:textId="78EB7132" w:rsidR="007A654B" w:rsidRDefault="007A654B" w:rsidP="007A654B">
            <w:pPr>
              <w:ind w:left="-108"/>
              <w:jc w:val="center"/>
              <w:rPr>
                <w:rFonts w:asciiTheme="majorHAnsi" w:hAnsiTheme="majorHAnsi" w:cstheme="majorHAnsi"/>
              </w:rPr>
            </w:pPr>
            <w:r w:rsidRPr="00B16C93">
              <w:rPr>
                <w:rFonts w:asciiTheme="majorHAnsi" w:hAnsiTheme="majorHAnsi" w:cstheme="majorHAnsi"/>
              </w:rPr>
              <w:t>111,47</w:t>
            </w:r>
            <w:r>
              <w:rPr>
                <w:rFonts w:asciiTheme="majorHAnsi" w:hAnsiTheme="majorHAnsi" w:cstheme="majorHAnsi"/>
              </w:rPr>
              <w:t>€</w:t>
            </w:r>
          </w:p>
        </w:tc>
        <w:tc>
          <w:tcPr>
            <w:tcW w:w="1417" w:type="dxa"/>
            <w:vMerge/>
            <w:vAlign w:val="center"/>
          </w:tcPr>
          <w:p w14:paraId="1B9A0C26" w14:textId="77777777" w:rsidR="007A654B" w:rsidRDefault="007A654B" w:rsidP="007A654B">
            <w:pPr>
              <w:jc w:val="center"/>
              <w:rPr>
                <w:rFonts w:asciiTheme="majorHAnsi" w:hAnsiTheme="majorHAnsi" w:cstheme="majorHAnsi"/>
              </w:rPr>
            </w:pPr>
          </w:p>
        </w:tc>
        <w:tc>
          <w:tcPr>
            <w:tcW w:w="1512" w:type="dxa"/>
            <w:vAlign w:val="center"/>
          </w:tcPr>
          <w:p w14:paraId="7FD0D0A3" w14:textId="04DB01EF" w:rsidR="007A654B" w:rsidRPr="0025653C" w:rsidRDefault="00A271A2" w:rsidP="007A654B">
            <w:pPr>
              <w:ind w:left="-2"/>
              <w:jc w:val="center"/>
              <w:rPr>
                <w:rFonts w:asciiTheme="majorHAnsi" w:hAnsiTheme="majorHAnsi" w:cstheme="majorHAnsi"/>
              </w:rPr>
            </w:pPr>
            <w:r w:rsidRPr="00A271A2">
              <w:rPr>
                <w:rFonts w:asciiTheme="majorHAnsi" w:hAnsiTheme="majorHAnsi" w:cstheme="majorHAnsi"/>
              </w:rPr>
              <w:t>118,49€</w:t>
            </w:r>
          </w:p>
        </w:tc>
      </w:tr>
      <w:tr w:rsidR="007A654B" w:rsidRPr="0025653C" w14:paraId="2D3043C6" w14:textId="77777777" w:rsidTr="007A654B">
        <w:tc>
          <w:tcPr>
            <w:tcW w:w="1560" w:type="dxa"/>
            <w:vMerge/>
            <w:vAlign w:val="center"/>
          </w:tcPr>
          <w:p w14:paraId="3CD9F3D8" w14:textId="77777777" w:rsidR="007A654B" w:rsidRPr="00D611ED" w:rsidRDefault="007A654B" w:rsidP="007A654B">
            <w:pPr>
              <w:ind w:right="-28"/>
              <w:rPr>
                <w:rFonts w:asciiTheme="majorHAnsi" w:hAnsiTheme="majorHAnsi" w:cstheme="majorHAnsi"/>
              </w:rPr>
            </w:pPr>
          </w:p>
        </w:tc>
        <w:tc>
          <w:tcPr>
            <w:tcW w:w="5103" w:type="dxa"/>
            <w:gridSpan w:val="2"/>
            <w:vAlign w:val="center"/>
          </w:tcPr>
          <w:p w14:paraId="106C781E" w14:textId="3377B435" w:rsidR="007A654B" w:rsidRPr="00190A7A" w:rsidRDefault="007A654B" w:rsidP="007A654B">
            <w:pPr>
              <w:rPr>
                <w:rFonts w:asciiTheme="majorHAnsi" w:hAnsiTheme="majorHAnsi" w:cstheme="majorHAnsi"/>
              </w:rPr>
            </w:pPr>
            <w:r w:rsidRPr="00B16C93">
              <w:rPr>
                <w:rFonts w:asciiTheme="majorHAnsi" w:hAnsiTheme="majorHAnsi" w:cstheme="majorHAnsi"/>
              </w:rPr>
              <w:t>Centro satélite con personal de la empresa concertada</w:t>
            </w:r>
          </w:p>
        </w:tc>
        <w:tc>
          <w:tcPr>
            <w:tcW w:w="1134" w:type="dxa"/>
            <w:vAlign w:val="center"/>
          </w:tcPr>
          <w:p w14:paraId="2C48D7CA" w14:textId="47F5AE40" w:rsidR="007A654B" w:rsidRPr="00B16C93" w:rsidRDefault="007A654B" w:rsidP="007A654B">
            <w:pPr>
              <w:ind w:left="-108"/>
              <w:jc w:val="center"/>
              <w:rPr>
                <w:rFonts w:asciiTheme="majorHAnsi" w:hAnsiTheme="majorHAnsi" w:cstheme="majorHAnsi"/>
              </w:rPr>
            </w:pPr>
            <w:r w:rsidRPr="00B16C93">
              <w:rPr>
                <w:rFonts w:asciiTheme="majorHAnsi" w:hAnsiTheme="majorHAnsi" w:cstheme="majorHAnsi"/>
              </w:rPr>
              <w:t>130,95</w:t>
            </w:r>
            <w:r>
              <w:rPr>
                <w:rFonts w:asciiTheme="majorHAnsi" w:hAnsiTheme="majorHAnsi" w:cstheme="majorHAnsi"/>
              </w:rPr>
              <w:t>€</w:t>
            </w:r>
          </w:p>
        </w:tc>
        <w:tc>
          <w:tcPr>
            <w:tcW w:w="1417" w:type="dxa"/>
            <w:vMerge/>
            <w:vAlign w:val="center"/>
          </w:tcPr>
          <w:p w14:paraId="018B1F67" w14:textId="77777777" w:rsidR="007A654B" w:rsidRDefault="007A654B" w:rsidP="007A654B">
            <w:pPr>
              <w:jc w:val="center"/>
              <w:rPr>
                <w:rFonts w:asciiTheme="majorHAnsi" w:hAnsiTheme="majorHAnsi" w:cstheme="majorHAnsi"/>
              </w:rPr>
            </w:pPr>
          </w:p>
        </w:tc>
        <w:tc>
          <w:tcPr>
            <w:tcW w:w="1512" w:type="dxa"/>
            <w:vAlign w:val="center"/>
          </w:tcPr>
          <w:p w14:paraId="51405CAD" w14:textId="621E5758" w:rsidR="007A654B" w:rsidRPr="0025653C" w:rsidRDefault="00A271A2" w:rsidP="007A654B">
            <w:pPr>
              <w:ind w:left="-2"/>
              <w:jc w:val="center"/>
              <w:rPr>
                <w:rFonts w:asciiTheme="majorHAnsi" w:hAnsiTheme="majorHAnsi" w:cstheme="majorHAnsi"/>
              </w:rPr>
            </w:pPr>
            <w:r w:rsidRPr="00A271A2">
              <w:rPr>
                <w:rFonts w:asciiTheme="majorHAnsi" w:hAnsiTheme="majorHAnsi" w:cstheme="majorHAnsi"/>
              </w:rPr>
              <w:t>139,20€</w:t>
            </w:r>
          </w:p>
        </w:tc>
      </w:tr>
      <w:tr w:rsidR="007A654B" w:rsidRPr="0025653C" w14:paraId="0EC2B8B8" w14:textId="77777777" w:rsidTr="007A654B">
        <w:tc>
          <w:tcPr>
            <w:tcW w:w="1560" w:type="dxa"/>
            <w:vMerge/>
            <w:vAlign w:val="center"/>
          </w:tcPr>
          <w:p w14:paraId="7B252DC8" w14:textId="77777777" w:rsidR="007A654B" w:rsidRPr="00D611ED" w:rsidRDefault="007A654B" w:rsidP="007A654B">
            <w:pPr>
              <w:ind w:right="-28"/>
              <w:rPr>
                <w:rFonts w:asciiTheme="majorHAnsi" w:hAnsiTheme="majorHAnsi" w:cstheme="majorHAnsi"/>
              </w:rPr>
            </w:pPr>
          </w:p>
        </w:tc>
        <w:tc>
          <w:tcPr>
            <w:tcW w:w="2976" w:type="dxa"/>
            <w:vMerge w:val="restart"/>
            <w:vAlign w:val="center"/>
          </w:tcPr>
          <w:p w14:paraId="5C5A4199" w14:textId="451C207E" w:rsidR="007A654B" w:rsidRPr="00B16C93" w:rsidRDefault="007A654B" w:rsidP="007A654B">
            <w:pPr>
              <w:rPr>
                <w:rFonts w:asciiTheme="majorHAnsi" w:hAnsiTheme="majorHAnsi" w:cstheme="majorHAnsi"/>
              </w:rPr>
            </w:pPr>
            <w:r>
              <w:rPr>
                <w:rFonts w:asciiTheme="majorHAnsi" w:hAnsiTheme="majorHAnsi" w:cstheme="majorHAnsi"/>
              </w:rPr>
              <w:t>En domicilio del paciente</w:t>
            </w:r>
          </w:p>
        </w:tc>
        <w:tc>
          <w:tcPr>
            <w:tcW w:w="2127" w:type="dxa"/>
            <w:vAlign w:val="center"/>
          </w:tcPr>
          <w:p w14:paraId="039CD6BC" w14:textId="1994DC04" w:rsidR="007A654B" w:rsidRPr="00B16C93" w:rsidRDefault="007A654B" w:rsidP="007A654B">
            <w:pPr>
              <w:rPr>
                <w:rFonts w:asciiTheme="majorHAnsi" w:hAnsiTheme="majorHAnsi" w:cstheme="majorHAnsi"/>
              </w:rPr>
            </w:pPr>
            <w:r w:rsidRPr="00B16C93">
              <w:rPr>
                <w:rFonts w:asciiTheme="majorHAnsi" w:hAnsiTheme="majorHAnsi" w:cstheme="majorHAnsi"/>
              </w:rPr>
              <w:t>convencional</w:t>
            </w:r>
          </w:p>
        </w:tc>
        <w:tc>
          <w:tcPr>
            <w:tcW w:w="1134" w:type="dxa"/>
            <w:vAlign w:val="center"/>
          </w:tcPr>
          <w:p w14:paraId="0D9372D0" w14:textId="57A01895" w:rsidR="007A654B" w:rsidRPr="00B16C93" w:rsidRDefault="007A654B" w:rsidP="007A654B">
            <w:pPr>
              <w:ind w:left="-108"/>
              <w:jc w:val="center"/>
              <w:rPr>
                <w:rFonts w:asciiTheme="majorHAnsi" w:hAnsiTheme="majorHAnsi" w:cstheme="majorHAnsi"/>
              </w:rPr>
            </w:pPr>
            <w:r w:rsidRPr="00B16C93">
              <w:rPr>
                <w:rFonts w:asciiTheme="majorHAnsi" w:hAnsiTheme="majorHAnsi" w:cstheme="majorHAnsi"/>
              </w:rPr>
              <w:t>136,77</w:t>
            </w:r>
            <w:r>
              <w:rPr>
                <w:rFonts w:asciiTheme="majorHAnsi" w:hAnsiTheme="majorHAnsi" w:cstheme="majorHAnsi"/>
              </w:rPr>
              <w:t>€</w:t>
            </w:r>
          </w:p>
        </w:tc>
        <w:tc>
          <w:tcPr>
            <w:tcW w:w="1417" w:type="dxa"/>
            <w:vMerge/>
            <w:vAlign w:val="center"/>
          </w:tcPr>
          <w:p w14:paraId="6CA83C13" w14:textId="77777777" w:rsidR="007A654B" w:rsidRDefault="007A654B" w:rsidP="007A654B">
            <w:pPr>
              <w:jc w:val="center"/>
              <w:rPr>
                <w:rFonts w:asciiTheme="majorHAnsi" w:hAnsiTheme="majorHAnsi" w:cstheme="majorHAnsi"/>
              </w:rPr>
            </w:pPr>
          </w:p>
        </w:tc>
        <w:tc>
          <w:tcPr>
            <w:tcW w:w="1512" w:type="dxa"/>
            <w:vAlign w:val="center"/>
          </w:tcPr>
          <w:p w14:paraId="0D158CAE" w14:textId="13E3B065" w:rsidR="007A654B" w:rsidRPr="0025653C" w:rsidRDefault="00A271A2" w:rsidP="007A654B">
            <w:pPr>
              <w:ind w:left="-2"/>
              <w:jc w:val="center"/>
              <w:rPr>
                <w:rFonts w:asciiTheme="majorHAnsi" w:hAnsiTheme="majorHAnsi" w:cstheme="majorHAnsi"/>
              </w:rPr>
            </w:pPr>
            <w:r w:rsidRPr="00A271A2">
              <w:rPr>
                <w:rFonts w:asciiTheme="majorHAnsi" w:hAnsiTheme="majorHAnsi" w:cstheme="majorHAnsi"/>
              </w:rPr>
              <w:t>145,39€</w:t>
            </w:r>
          </w:p>
        </w:tc>
      </w:tr>
      <w:tr w:rsidR="007A654B" w:rsidRPr="0025653C" w14:paraId="4E594A11" w14:textId="77777777" w:rsidTr="007A654B">
        <w:tc>
          <w:tcPr>
            <w:tcW w:w="1560" w:type="dxa"/>
            <w:vMerge/>
            <w:vAlign w:val="center"/>
          </w:tcPr>
          <w:p w14:paraId="604898D8" w14:textId="77777777" w:rsidR="007A654B" w:rsidRPr="00D611ED" w:rsidRDefault="007A654B" w:rsidP="007A654B">
            <w:pPr>
              <w:ind w:right="-28"/>
              <w:rPr>
                <w:rFonts w:asciiTheme="majorHAnsi" w:hAnsiTheme="majorHAnsi" w:cstheme="majorHAnsi"/>
              </w:rPr>
            </w:pPr>
          </w:p>
        </w:tc>
        <w:tc>
          <w:tcPr>
            <w:tcW w:w="2976" w:type="dxa"/>
            <w:vMerge/>
            <w:vAlign w:val="center"/>
          </w:tcPr>
          <w:p w14:paraId="5C1C6D3C" w14:textId="77777777" w:rsidR="007A654B" w:rsidRPr="00B16C93" w:rsidRDefault="007A654B" w:rsidP="007A654B">
            <w:pPr>
              <w:rPr>
                <w:rFonts w:asciiTheme="majorHAnsi" w:hAnsiTheme="majorHAnsi" w:cstheme="majorHAnsi"/>
              </w:rPr>
            </w:pPr>
          </w:p>
        </w:tc>
        <w:tc>
          <w:tcPr>
            <w:tcW w:w="2127" w:type="dxa"/>
            <w:vAlign w:val="center"/>
          </w:tcPr>
          <w:p w14:paraId="103F6263" w14:textId="179E546D" w:rsidR="007A654B" w:rsidRPr="00B16C93" w:rsidRDefault="007A654B" w:rsidP="007A654B">
            <w:pPr>
              <w:rPr>
                <w:rFonts w:asciiTheme="majorHAnsi" w:hAnsiTheme="majorHAnsi" w:cstheme="majorHAnsi"/>
              </w:rPr>
            </w:pPr>
            <w:r w:rsidRPr="00B16C93">
              <w:rPr>
                <w:rFonts w:asciiTheme="majorHAnsi" w:hAnsiTheme="majorHAnsi" w:cstheme="majorHAnsi"/>
              </w:rPr>
              <w:t>diaria corta</w:t>
            </w:r>
          </w:p>
        </w:tc>
        <w:tc>
          <w:tcPr>
            <w:tcW w:w="1134" w:type="dxa"/>
            <w:vAlign w:val="center"/>
          </w:tcPr>
          <w:p w14:paraId="49977DAC" w14:textId="33DBEC60" w:rsidR="007A654B" w:rsidRPr="00B16C93" w:rsidRDefault="007A654B" w:rsidP="007A654B">
            <w:pPr>
              <w:ind w:left="-108"/>
              <w:jc w:val="center"/>
              <w:rPr>
                <w:rFonts w:asciiTheme="majorHAnsi" w:hAnsiTheme="majorHAnsi" w:cstheme="majorHAnsi"/>
              </w:rPr>
            </w:pPr>
            <w:r w:rsidRPr="00B16C93">
              <w:rPr>
                <w:rFonts w:asciiTheme="majorHAnsi" w:hAnsiTheme="majorHAnsi" w:cstheme="majorHAnsi"/>
              </w:rPr>
              <w:t>122,68</w:t>
            </w:r>
            <w:r>
              <w:rPr>
                <w:rFonts w:asciiTheme="majorHAnsi" w:hAnsiTheme="majorHAnsi" w:cstheme="majorHAnsi"/>
              </w:rPr>
              <w:t>€</w:t>
            </w:r>
          </w:p>
        </w:tc>
        <w:tc>
          <w:tcPr>
            <w:tcW w:w="1417" w:type="dxa"/>
            <w:vMerge/>
            <w:vAlign w:val="center"/>
          </w:tcPr>
          <w:p w14:paraId="53BD1862" w14:textId="77777777" w:rsidR="007A654B" w:rsidRDefault="007A654B" w:rsidP="007A654B">
            <w:pPr>
              <w:jc w:val="center"/>
              <w:rPr>
                <w:rFonts w:asciiTheme="majorHAnsi" w:hAnsiTheme="majorHAnsi" w:cstheme="majorHAnsi"/>
              </w:rPr>
            </w:pPr>
          </w:p>
        </w:tc>
        <w:tc>
          <w:tcPr>
            <w:tcW w:w="1512" w:type="dxa"/>
            <w:vAlign w:val="center"/>
          </w:tcPr>
          <w:p w14:paraId="185D4CD5" w14:textId="4C646E06" w:rsidR="007A654B" w:rsidRPr="0025653C" w:rsidRDefault="00A271A2" w:rsidP="007A654B">
            <w:pPr>
              <w:ind w:left="-2"/>
              <w:jc w:val="center"/>
              <w:rPr>
                <w:rFonts w:asciiTheme="majorHAnsi" w:hAnsiTheme="majorHAnsi" w:cstheme="majorHAnsi"/>
              </w:rPr>
            </w:pPr>
            <w:r w:rsidRPr="00A271A2">
              <w:rPr>
                <w:rFonts w:asciiTheme="majorHAnsi" w:hAnsiTheme="majorHAnsi" w:cstheme="majorHAnsi"/>
              </w:rPr>
              <w:t>130,41€</w:t>
            </w:r>
          </w:p>
        </w:tc>
      </w:tr>
      <w:tr w:rsidR="007A654B" w:rsidRPr="0025653C" w14:paraId="518610AB" w14:textId="77777777" w:rsidTr="007A654B">
        <w:tc>
          <w:tcPr>
            <w:tcW w:w="1560" w:type="dxa"/>
            <w:vMerge/>
            <w:vAlign w:val="center"/>
          </w:tcPr>
          <w:p w14:paraId="0172C3C6" w14:textId="77777777" w:rsidR="007A654B" w:rsidRPr="00D611ED" w:rsidRDefault="007A654B" w:rsidP="007A654B">
            <w:pPr>
              <w:ind w:right="-28"/>
              <w:rPr>
                <w:rFonts w:asciiTheme="majorHAnsi" w:hAnsiTheme="majorHAnsi" w:cstheme="majorHAnsi"/>
              </w:rPr>
            </w:pPr>
          </w:p>
        </w:tc>
        <w:tc>
          <w:tcPr>
            <w:tcW w:w="2976" w:type="dxa"/>
            <w:vMerge w:val="restart"/>
            <w:vAlign w:val="center"/>
          </w:tcPr>
          <w:p w14:paraId="2ACD2B05" w14:textId="3F88E683" w:rsidR="007A654B" w:rsidRPr="00B16C93" w:rsidRDefault="007A654B" w:rsidP="007A654B">
            <w:pPr>
              <w:rPr>
                <w:rFonts w:asciiTheme="majorHAnsi" w:hAnsiTheme="majorHAnsi" w:cstheme="majorHAnsi"/>
              </w:rPr>
            </w:pPr>
            <w:r w:rsidRPr="00B16C93">
              <w:rPr>
                <w:rFonts w:asciiTheme="majorHAnsi" w:hAnsiTheme="majorHAnsi" w:cstheme="majorHAnsi"/>
              </w:rPr>
              <w:t>Diálisis domiciliaria con máquina de club de diálisis</w:t>
            </w:r>
          </w:p>
        </w:tc>
        <w:tc>
          <w:tcPr>
            <w:tcW w:w="2127" w:type="dxa"/>
            <w:vAlign w:val="center"/>
          </w:tcPr>
          <w:p w14:paraId="1BF8191D" w14:textId="68B56264" w:rsidR="007A654B" w:rsidRPr="00B16C93" w:rsidRDefault="007A654B" w:rsidP="007A654B">
            <w:pPr>
              <w:rPr>
                <w:rFonts w:asciiTheme="majorHAnsi" w:hAnsiTheme="majorHAnsi" w:cstheme="majorHAnsi"/>
              </w:rPr>
            </w:pPr>
            <w:r w:rsidRPr="00B16C93">
              <w:rPr>
                <w:rFonts w:asciiTheme="majorHAnsi" w:hAnsiTheme="majorHAnsi" w:cstheme="majorHAnsi"/>
              </w:rPr>
              <w:t>convencional</w:t>
            </w:r>
          </w:p>
        </w:tc>
        <w:tc>
          <w:tcPr>
            <w:tcW w:w="1134" w:type="dxa"/>
            <w:vAlign w:val="center"/>
          </w:tcPr>
          <w:p w14:paraId="17E838A7" w14:textId="1707F1C0" w:rsidR="007A654B" w:rsidRPr="00B16C93" w:rsidRDefault="007A654B" w:rsidP="007A654B">
            <w:pPr>
              <w:ind w:left="-108"/>
              <w:jc w:val="center"/>
              <w:rPr>
                <w:rFonts w:asciiTheme="majorHAnsi" w:hAnsiTheme="majorHAnsi" w:cstheme="majorHAnsi"/>
              </w:rPr>
            </w:pPr>
            <w:r w:rsidRPr="00B16C93">
              <w:rPr>
                <w:rFonts w:asciiTheme="majorHAnsi" w:hAnsiTheme="majorHAnsi" w:cstheme="majorHAnsi"/>
              </w:rPr>
              <w:t>136,77</w:t>
            </w:r>
            <w:r>
              <w:rPr>
                <w:rFonts w:asciiTheme="majorHAnsi" w:hAnsiTheme="majorHAnsi" w:cstheme="majorHAnsi"/>
              </w:rPr>
              <w:t>€</w:t>
            </w:r>
          </w:p>
        </w:tc>
        <w:tc>
          <w:tcPr>
            <w:tcW w:w="1417" w:type="dxa"/>
            <w:vMerge/>
            <w:vAlign w:val="center"/>
          </w:tcPr>
          <w:p w14:paraId="42D228F6" w14:textId="77777777" w:rsidR="007A654B" w:rsidRDefault="007A654B" w:rsidP="007A654B">
            <w:pPr>
              <w:jc w:val="center"/>
              <w:rPr>
                <w:rFonts w:asciiTheme="majorHAnsi" w:hAnsiTheme="majorHAnsi" w:cstheme="majorHAnsi"/>
              </w:rPr>
            </w:pPr>
          </w:p>
        </w:tc>
        <w:tc>
          <w:tcPr>
            <w:tcW w:w="1512" w:type="dxa"/>
            <w:vAlign w:val="center"/>
          </w:tcPr>
          <w:p w14:paraId="137A2FBD" w14:textId="1074B090" w:rsidR="007A654B" w:rsidRPr="0025653C" w:rsidRDefault="00A271A2" w:rsidP="007A654B">
            <w:pPr>
              <w:ind w:left="-2"/>
              <w:jc w:val="center"/>
              <w:rPr>
                <w:rFonts w:asciiTheme="majorHAnsi" w:hAnsiTheme="majorHAnsi" w:cstheme="majorHAnsi"/>
              </w:rPr>
            </w:pPr>
            <w:r w:rsidRPr="00A271A2">
              <w:rPr>
                <w:rFonts w:asciiTheme="majorHAnsi" w:hAnsiTheme="majorHAnsi" w:cstheme="majorHAnsi"/>
              </w:rPr>
              <w:t>145,39€</w:t>
            </w:r>
          </w:p>
        </w:tc>
      </w:tr>
      <w:tr w:rsidR="007A654B" w:rsidRPr="0025653C" w14:paraId="68D2981C" w14:textId="77777777" w:rsidTr="007A654B">
        <w:tc>
          <w:tcPr>
            <w:tcW w:w="1560" w:type="dxa"/>
            <w:vMerge/>
            <w:vAlign w:val="center"/>
          </w:tcPr>
          <w:p w14:paraId="14FD124E" w14:textId="77777777" w:rsidR="007A654B" w:rsidRPr="00D611ED" w:rsidRDefault="007A654B" w:rsidP="007A654B">
            <w:pPr>
              <w:ind w:right="-28"/>
              <w:rPr>
                <w:rFonts w:asciiTheme="majorHAnsi" w:hAnsiTheme="majorHAnsi" w:cstheme="majorHAnsi"/>
              </w:rPr>
            </w:pPr>
          </w:p>
        </w:tc>
        <w:tc>
          <w:tcPr>
            <w:tcW w:w="2976" w:type="dxa"/>
            <w:vMerge/>
            <w:vAlign w:val="center"/>
          </w:tcPr>
          <w:p w14:paraId="4BB3FFCB" w14:textId="77777777" w:rsidR="007A654B" w:rsidRPr="00B16C93" w:rsidRDefault="007A654B" w:rsidP="007A654B">
            <w:pPr>
              <w:rPr>
                <w:rFonts w:asciiTheme="majorHAnsi" w:hAnsiTheme="majorHAnsi" w:cstheme="majorHAnsi"/>
              </w:rPr>
            </w:pPr>
          </w:p>
        </w:tc>
        <w:tc>
          <w:tcPr>
            <w:tcW w:w="2127" w:type="dxa"/>
            <w:vAlign w:val="center"/>
          </w:tcPr>
          <w:p w14:paraId="5368F732" w14:textId="118C8094" w:rsidR="007A654B" w:rsidRPr="00B16C93" w:rsidRDefault="007A654B" w:rsidP="007A654B">
            <w:pPr>
              <w:rPr>
                <w:rFonts w:asciiTheme="majorHAnsi" w:hAnsiTheme="majorHAnsi" w:cstheme="majorHAnsi"/>
              </w:rPr>
            </w:pPr>
            <w:r w:rsidRPr="00B16C93">
              <w:rPr>
                <w:rFonts w:asciiTheme="majorHAnsi" w:hAnsiTheme="majorHAnsi" w:cstheme="majorHAnsi"/>
              </w:rPr>
              <w:t>diaria corta</w:t>
            </w:r>
          </w:p>
        </w:tc>
        <w:tc>
          <w:tcPr>
            <w:tcW w:w="1134" w:type="dxa"/>
            <w:vAlign w:val="center"/>
          </w:tcPr>
          <w:p w14:paraId="7CE01AF1" w14:textId="26D2022E" w:rsidR="007A654B" w:rsidRPr="00B16C93" w:rsidRDefault="007A654B" w:rsidP="007A654B">
            <w:pPr>
              <w:ind w:left="-108"/>
              <w:jc w:val="center"/>
              <w:rPr>
                <w:rFonts w:asciiTheme="majorHAnsi" w:hAnsiTheme="majorHAnsi" w:cstheme="majorHAnsi"/>
              </w:rPr>
            </w:pPr>
            <w:r w:rsidRPr="00B16C93">
              <w:rPr>
                <w:rFonts w:asciiTheme="majorHAnsi" w:hAnsiTheme="majorHAnsi" w:cstheme="majorHAnsi"/>
              </w:rPr>
              <w:t>122,68</w:t>
            </w:r>
            <w:r>
              <w:rPr>
                <w:rFonts w:asciiTheme="majorHAnsi" w:hAnsiTheme="majorHAnsi" w:cstheme="majorHAnsi"/>
              </w:rPr>
              <w:t>€</w:t>
            </w:r>
          </w:p>
        </w:tc>
        <w:tc>
          <w:tcPr>
            <w:tcW w:w="1417" w:type="dxa"/>
            <w:vMerge/>
            <w:vAlign w:val="center"/>
          </w:tcPr>
          <w:p w14:paraId="3C769154" w14:textId="77777777" w:rsidR="007A654B" w:rsidRDefault="007A654B" w:rsidP="007A654B">
            <w:pPr>
              <w:jc w:val="center"/>
              <w:rPr>
                <w:rFonts w:asciiTheme="majorHAnsi" w:hAnsiTheme="majorHAnsi" w:cstheme="majorHAnsi"/>
              </w:rPr>
            </w:pPr>
          </w:p>
        </w:tc>
        <w:tc>
          <w:tcPr>
            <w:tcW w:w="1512" w:type="dxa"/>
            <w:vAlign w:val="center"/>
          </w:tcPr>
          <w:p w14:paraId="2BB20E12" w14:textId="40C2DBD2" w:rsidR="007A654B" w:rsidRPr="0025653C" w:rsidRDefault="00A271A2" w:rsidP="007A654B">
            <w:pPr>
              <w:ind w:left="-2"/>
              <w:jc w:val="center"/>
              <w:rPr>
                <w:rFonts w:asciiTheme="majorHAnsi" w:hAnsiTheme="majorHAnsi" w:cstheme="majorHAnsi"/>
              </w:rPr>
            </w:pPr>
            <w:r w:rsidRPr="00A271A2">
              <w:rPr>
                <w:rFonts w:asciiTheme="majorHAnsi" w:hAnsiTheme="majorHAnsi" w:cstheme="majorHAnsi"/>
              </w:rPr>
              <w:t>130,41€</w:t>
            </w:r>
          </w:p>
        </w:tc>
      </w:tr>
      <w:tr w:rsidR="007A654B" w:rsidRPr="0025653C" w14:paraId="06C18CDF" w14:textId="77777777" w:rsidTr="007A654B">
        <w:tc>
          <w:tcPr>
            <w:tcW w:w="1560" w:type="dxa"/>
            <w:vAlign w:val="center"/>
          </w:tcPr>
          <w:p w14:paraId="4A0D5ADC" w14:textId="1DEED593" w:rsidR="007A654B" w:rsidRPr="0025653C" w:rsidRDefault="007A654B" w:rsidP="0072361E">
            <w:pPr>
              <w:ind w:right="-28"/>
              <w:rPr>
                <w:rFonts w:asciiTheme="majorHAnsi" w:hAnsiTheme="majorHAnsi" w:cstheme="majorHAnsi"/>
              </w:rPr>
            </w:pPr>
            <w:r w:rsidRPr="00D611ED">
              <w:rPr>
                <w:rFonts w:asciiTheme="majorHAnsi" w:hAnsiTheme="majorHAnsi" w:cstheme="majorHAnsi"/>
              </w:rPr>
              <w:t>Castilla la Mancha</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{"citationItems":[{"id":"ITEM-1","itemData":{"ISBN":"2015052100","ISSN":"1133-2654","URL":"https://docm.castillalamancha.es/","abstract":"Orden de 07/02/2011, de la Consejería de Agricultura y Medio Ambiente, por la que se modifica la Orden de 04/02/2010, de la Consejería de Industria, Energía y Medio Ambiente, por la que se aprueba el programa de ac-tuación aplicable a las zonas vulnerables a la contaminación por nitratos de origen agrario, designadas en la Comunidad Autónoma de Castilla-La Mancha. [2011/6075] La Directiva 91/676/CEE, del Consejo, de 12 de diciembre, relativa a la protección de las aguas contra la contaminación producida por nitratos procedentes de fuentes agrarias, establece la obligación de designar como zonas vulnerables todas aquellas áreas del territorio que por escorrentía o por percolación contribuyan a la citada contaminación. El Real Decreto 261/1996, de 16 de febrero, sobre protección de las aguas contra la contaminación producida por los nitratos procedentes de fuentes agrarias, supone la incorporación de la citada Directiva 91/676/CEE a nuestro ordena-miento jurídico, estableciéndose en su artículo 4 que corresponde a las Comunidades Autónomas la designación de las zonas vulnerables en sus respectivos ámbitos de competencia. En Castilla-La Mancha esta designación se lleva a cabo mediante las Resoluciones de 7 de agosto de 1998 y de 10 de febrero de 2003; y la Orden de 21 de mayo de 2009 en la que se ratifican las anteriores y se añade una nueva, \" Campo de Calatrava \" , además de un término municipal más.","accessed":{"date-parts":[["2021","1","17"]]},"id":"ITEM-1","issued":{"date-parts":[["2008"]]},"title":"Orden de 17/11/2014, de la Consejería de Sanidad y Asuntos Sociales, por la que se establecen los precios públicos de la asistencia sanitaria y de los servicios prestados en la red de centros sanitarios dependientes del Servicio de Salud de Castilla-La Ma","type":"webpage"},"uris":["http://www.mendeley.com/documents/?uuid=a2af8d2b-1527-48fc-92d2-d6656454cb7d"]}],"mendeley":{"formattedCitation":"&lt;sup&gt;45&lt;/sup&gt;","plainTextFormattedCitation":"45","previouslyFormattedCitation":"&lt;sup&gt;45&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45</w:t>
            </w:r>
            <w:r>
              <w:rPr>
                <w:rFonts w:asciiTheme="majorHAnsi" w:hAnsiTheme="majorHAnsi" w:cstheme="majorHAnsi"/>
              </w:rPr>
              <w:fldChar w:fldCharType="end"/>
            </w:r>
          </w:p>
        </w:tc>
        <w:tc>
          <w:tcPr>
            <w:tcW w:w="5103" w:type="dxa"/>
            <w:gridSpan w:val="2"/>
            <w:vAlign w:val="center"/>
          </w:tcPr>
          <w:p w14:paraId="0F4419D2" w14:textId="3FB62745" w:rsidR="007A654B" w:rsidRPr="0025653C" w:rsidRDefault="007A654B" w:rsidP="007A654B">
            <w:pPr>
              <w:rPr>
                <w:rFonts w:asciiTheme="majorHAnsi" w:hAnsiTheme="majorHAnsi" w:cstheme="majorHAnsi"/>
              </w:rPr>
            </w:pPr>
            <w:r w:rsidRPr="0025653C">
              <w:rPr>
                <w:rFonts w:asciiTheme="majorHAnsi" w:hAnsiTheme="majorHAnsi" w:cstheme="majorHAnsi"/>
              </w:rPr>
              <w:t>Hemodiálisis</w:t>
            </w:r>
          </w:p>
        </w:tc>
        <w:tc>
          <w:tcPr>
            <w:tcW w:w="1134" w:type="dxa"/>
            <w:vAlign w:val="center"/>
          </w:tcPr>
          <w:p w14:paraId="429F5778" w14:textId="77777777"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299,60€</w:t>
            </w:r>
          </w:p>
        </w:tc>
        <w:tc>
          <w:tcPr>
            <w:tcW w:w="1417" w:type="dxa"/>
            <w:vAlign w:val="center"/>
          </w:tcPr>
          <w:p w14:paraId="75EB69B0"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Noviembre 2014</w:t>
            </w:r>
          </w:p>
        </w:tc>
        <w:tc>
          <w:tcPr>
            <w:tcW w:w="1512" w:type="dxa"/>
            <w:vAlign w:val="center"/>
          </w:tcPr>
          <w:p w14:paraId="63426FA2" w14:textId="518D1F81"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31</w:t>
            </w:r>
            <w:r>
              <w:rPr>
                <w:rFonts w:asciiTheme="majorHAnsi" w:hAnsiTheme="majorHAnsi" w:cstheme="majorHAnsi"/>
              </w:rPr>
              <w:t>1</w:t>
            </w:r>
            <w:r w:rsidRPr="0025653C">
              <w:rPr>
                <w:rFonts w:asciiTheme="majorHAnsi" w:hAnsiTheme="majorHAnsi" w:cstheme="majorHAnsi"/>
              </w:rPr>
              <w:t>,</w:t>
            </w:r>
            <w:r>
              <w:rPr>
                <w:rFonts w:asciiTheme="majorHAnsi" w:hAnsiTheme="majorHAnsi" w:cstheme="majorHAnsi"/>
              </w:rPr>
              <w:t>5</w:t>
            </w:r>
            <w:r w:rsidRPr="0025653C">
              <w:rPr>
                <w:rFonts w:asciiTheme="majorHAnsi" w:hAnsiTheme="majorHAnsi" w:cstheme="majorHAnsi"/>
              </w:rPr>
              <w:t>8€</w:t>
            </w:r>
          </w:p>
        </w:tc>
      </w:tr>
      <w:tr w:rsidR="007A654B" w:rsidRPr="0025653C" w14:paraId="08C87AD1" w14:textId="77777777" w:rsidTr="007A654B">
        <w:tc>
          <w:tcPr>
            <w:tcW w:w="1560" w:type="dxa"/>
            <w:vAlign w:val="center"/>
          </w:tcPr>
          <w:p w14:paraId="3DF4D601" w14:textId="3715C6A0" w:rsidR="007A654B" w:rsidRPr="0025653C" w:rsidRDefault="007A654B" w:rsidP="0072361E">
            <w:pPr>
              <w:ind w:right="-28"/>
              <w:rPr>
                <w:rFonts w:asciiTheme="majorHAnsi" w:hAnsiTheme="majorHAnsi" w:cstheme="majorHAnsi"/>
              </w:rPr>
            </w:pPr>
            <w:r w:rsidRPr="00D611ED">
              <w:rPr>
                <w:rFonts w:asciiTheme="majorHAnsi" w:hAnsiTheme="majorHAnsi" w:cstheme="majorHAnsi"/>
              </w:rPr>
              <w:t>Cantabria</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{"citationItems":[{"id":"ITEM-1","itemData":{"URL":"https://boc.cantabria.es/boces/","accessed":{"date-parts":[["2021","1","17"]]},"id":"ITEM-1","issued":{"date-parts":[["0"]]},"title":"Orden SAN/35/2017, de 15 de diciembre, por la que se fi jan las cuan- tías de los Precios Públicos de los Servicios Sanitarios prestados por el Servicio Cántabro de Salud.","type":"webpage"},"uris":["http://www.mendeley.com/documents/?uuid=292702d2-9160-47c3-82fb-33927ee4d8d0"]}],"mendeley":{"formattedCitation":"&lt;sup&gt;44&lt;/sup&gt;","plainTextFormattedCitation":"44","previouslyFormattedCitation":"&lt;sup&gt;44&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44</w:t>
            </w:r>
            <w:r>
              <w:rPr>
                <w:rFonts w:asciiTheme="majorHAnsi" w:hAnsiTheme="majorHAnsi" w:cstheme="majorHAnsi"/>
              </w:rPr>
              <w:fldChar w:fldCharType="end"/>
            </w:r>
          </w:p>
        </w:tc>
        <w:tc>
          <w:tcPr>
            <w:tcW w:w="5103" w:type="dxa"/>
            <w:gridSpan w:val="2"/>
            <w:vAlign w:val="center"/>
          </w:tcPr>
          <w:p w14:paraId="138AA530" w14:textId="78DE767F" w:rsidR="007A654B" w:rsidRPr="0025653C" w:rsidRDefault="007A654B" w:rsidP="007A654B">
            <w:pPr>
              <w:jc w:val="both"/>
              <w:rPr>
                <w:rFonts w:asciiTheme="majorHAnsi" w:hAnsiTheme="majorHAnsi" w:cstheme="majorHAnsi"/>
              </w:rPr>
            </w:pPr>
            <w:r w:rsidRPr="0025653C">
              <w:rPr>
                <w:rFonts w:asciiTheme="majorHAnsi" w:hAnsiTheme="majorHAnsi" w:cstheme="majorHAnsi"/>
              </w:rPr>
              <w:t>Hemodiálisis en régimen ambulatorio (sesión). Tratamientos a pacientes con insuficiencia renal crónica sometidos a programas de diálisis en régimen ambulatorio. El precio comprende la analítica y radiología rutinarias, así como las transfusiones necesarias. Se contempla un precio por sesión, que incluir</w:t>
            </w:r>
            <w:r>
              <w:rPr>
                <w:rFonts w:asciiTheme="majorHAnsi" w:hAnsiTheme="majorHAnsi" w:cstheme="majorHAnsi"/>
              </w:rPr>
              <w:t>á el coste de la eritropoyetina</w:t>
            </w:r>
          </w:p>
        </w:tc>
        <w:tc>
          <w:tcPr>
            <w:tcW w:w="1134" w:type="dxa"/>
            <w:vAlign w:val="center"/>
          </w:tcPr>
          <w:p w14:paraId="48EFDC6F" w14:textId="27D7BCB4"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221</w:t>
            </w:r>
            <w:r>
              <w:rPr>
                <w:rFonts w:asciiTheme="majorHAnsi" w:hAnsiTheme="majorHAnsi" w:cstheme="majorHAnsi"/>
              </w:rPr>
              <w:t>,00</w:t>
            </w:r>
            <w:r w:rsidRPr="0025653C">
              <w:rPr>
                <w:rFonts w:asciiTheme="majorHAnsi" w:hAnsiTheme="majorHAnsi" w:cstheme="majorHAnsi"/>
              </w:rPr>
              <w:t>€</w:t>
            </w:r>
          </w:p>
        </w:tc>
        <w:tc>
          <w:tcPr>
            <w:tcW w:w="1417" w:type="dxa"/>
            <w:vAlign w:val="center"/>
          </w:tcPr>
          <w:p w14:paraId="34E8586E"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Diciembre 2017</w:t>
            </w:r>
          </w:p>
        </w:tc>
        <w:tc>
          <w:tcPr>
            <w:tcW w:w="1512" w:type="dxa"/>
            <w:vAlign w:val="center"/>
          </w:tcPr>
          <w:p w14:paraId="50954016" w14:textId="2CE64C95"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22</w:t>
            </w:r>
            <w:r>
              <w:rPr>
                <w:rFonts w:asciiTheme="majorHAnsi" w:hAnsiTheme="majorHAnsi" w:cstheme="majorHAnsi"/>
              </w:rPr>
              <w:t>6</w:t>
            </w:r>
            <w:r w:rsidRPr="0025653C">
              <w:rPr>
                <w:rFonts w:asciiTheme="majorHAnsi" w:hAnsiTheme="majorHAnsi" w:cstheme="majorHAnsi"/>
              </w:rPr>
              <w:t>,</w:t>
            </w:r>
            <w:r>
              <w:rPr>
                <w:rFonts w:asciiTheme="majorHAnsi" w:hAnsiTheme="majorHAnsi" w:cstheme="majorHAnsi"/>
              </w:rPr>
              <w:t>97</w:t>
            </w:r>
            <w:r w:rsidRPr="0025653C">
              <w:rPr>
                <w:rFonts w:asciiTheme="majorHAnsi" w:hAnsiTheme="majorHAnsi" w:cstheme="majorHAnsi"/>
              </w:rPr>
              <w:t>€</w:t>
            </w:r>
          </w:p>
        </w:tc>
      </w:tr>
      <w:tr w:rsidR="007A654B" w:rsidRPr="0025653C" w14:paraId="61A6DEC6" w14:textId="77777777" w:rsidTr="007A654B">
        <w:tc>
          <w:tcPr>
            <w:tcW w:w="1560" w:type="dxa"/>
            <w:vAlign w:val="center"/>
          </w:tcPr>
          <w:p w14:paraId="17CD5CAF" w14:textId="7E879D31" w:rsidR="007A654B" w:rsidRPr="0025653C" w:rsidRDefault="007A654B" w:rsidP="0072361E">
            <w:pPr>
              <w:ind w:right="-28"/>
              <w:rPr>
                <w:rFonts w:asciiTheme="majorHAnsi" w:hAnsiTheme="majorHAnsi" w:cstheme="majorHAnsi"/>
              </w:rPr>
            </w:pPr>
            <w:r>
              <w:rPr>
                <w:rFonts w:asciiTheme="majorHAnsi" w:hAnsiTheme="majorHAnsi" w:cstheme="majorHAnsi"/>
              </w:rPr>
              <w:t xml:space="preserve">Islas </w:t>
            </w:r>
            <w:r w:rsidRPr="00D611ED">
              <w:rPr>
                <w:rFonts w:asciiTheme="majorHAnsi" w:hAnsiTheme="majorHAnsi" w:cstheme="majorHAnsi"/>
              </w:rPr>
              <w:t>Canarias</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{"citationItems":[{"id":"ITEM-1","itemData":{"URL":"http://www.gobiernodecanarias.org/boc/","accessed":{"date-parts":[["2021","1","17"]]},"id":"ITEM-1","issued":{"date-parts":[["2017"]]},"title":"Resolución de 29 de marzo de 2017, del Director, por la que se modifica la cuantía de los precios públicos de servicios sanitarios previstos en el Decreto 81/2009, de 16 de junio, por el que se establecen los precios públicos de los servicios sanitarios p","type":"webpage"},"uris":["http://www.mendeley.com/documents/?uuid=a7b50020-9d0b-4043-adde-952774302740"]}],"mendeley":{"formattedCitation":"&lt;sup&gt;43&lt;/sup&gt;","plainTextFormattedCitation":"43","previouslyFormattedCitation":"&lt;sup&gt;43&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43</w:t>
            </w:r>
            <w:r>
              <w:rPr>
                <w:rFonts w:asciiTheme="majorHAnsi" w:hAnsiTheme="majorHAnsi" w:cstheme="majorHAnsi"/>
              </w:rPr>
              <w:fldChar w:fldCharType="end"/>
            </w:r>
          </w:p>
        </w:tc>
        <w:tc>
          <w:tcPr>
            <w:tcW w:w="5103" w:type="dxa"/>
            <w:gridSpan w:val="2"/>
            <w:vAlign w:val="center"/>
          </w:tcPr>
          <w:p w14:paraId="49F3B3E9" w14:textId="37FA48F3" w:rsidR="007A654B" w:rsidRPr="0025653C" w:rsidRDefault="007A654B" w:rsidP="007A654B">
            <w:pPr>
              <w:rPr>
                <w:rFonts w:asciiTheme="majorHAnsi" w:hAnsiTheme="majorHAnsi" w:cstheme="majorHAnsi"/>
              </w:rPr>
            </w:pPr>
            <w:r w:rsidRPr="0025653C">
              <w:rPr>
                <w:rFonts w:asciiTheme="majorHAnsi" w:hAnsiTheme="majorHAnsi" w:cstheme="majorHAnsi"/>
              </w:rPr>
              <w:t>Hemodiálisis Sesión</w:t>
            </w:r>
          </w:p>
        </w:tc>
        <w:tc>
          <w:tcPr>
            <w:tcW w:w="1134" w:type="dxa"/>
            <w:vAlign w:val="center"/>
          </w:tcPr>
          <w:p w14:paraId="2549D500" w14:textId="77777777"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374,33€</w:t>
            </w:r>
          </w:p>
        </w:tc>
        <w:tc>
          <w:tcPr>
            <w:tcW w:w="1417" w:type="dxa"/>
            <w:vAlign w:val="center"/>
          </w:tcPr>
          <w:p w14:paraId="1C7D354C"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Abril 2017</w:t>
            </w:r>
          </w:p>
        </w:tc>
        <w:tc>
          <w:tcPr>
            <w:tcW w:w="1512" w:type="dxa"/>
            <w:vAlign w:val="center"/>
          </w:tcPr>
          <w:p w14:paraId="0A72655A" w14:textId="044D0CC1"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384,</w:t>
            </w:r>
            <w:r>
              <w:rPr>
                <w:rFonts w:asciiTheme="majorHAnsi" w:hAnsiTheme="majorHAnsi" w:cstheme="majorHAnsi"/>
              </w:rPr>
              <w:t>44</w:t>
            </w:r>
            <w:r w:rsidRPr="0025653C">
              <w:rPr>
                <w:rFonts w:asciiTheme="majorHAnsi" w:hAnsiTheme="majorHAnsi" w:cstheme="majorHAnsi"/>
              </w:rPr>
              <w:t>€</w:t>
            </w:r>
          </w:p>
        </w:tc>
      </w:tr>
      <w:tr w:rsidR="007A654B" w:rsidRPr="0025653C" w14:paraId="0794FA0B" w14:textId="77777777" w:rsidTr="007A654B">
        <w:tc>
          <w:tcPr>
            <w:tcW w:w="1560" w:type="dxa"/>
            <w:vAlign w:val="center"/>
          </w:tcPr>
          <w:p w14:paraId="562D0637" w14:textId="0853A203" w:rsidR="007A654B" w:rsidRPr="00E269CA" w:rsidRDefault="007A654B" w:rsidP="00B57DD4">
            <w:pPr>
              <w:ind w:right="-28"/>
              <w:rPr>
                <w:rFonts w:asciiTheme="majorHAnsi" w:hAnsiTheme="majorHAnsi" w:cstheme="majorHAnsi"/>
              </w:rPr>
            </w:pPr>
            <w:r>
              <w:rPr>
                <w:rFonts w:asciiTheme="majorHAnsi" w:hAnsiTheme="majorHAnsi" w:cstheme="majorHAnsi"/>
              </w:rPr>
              <w:t>Islas Baleares</w:t>
            </w:r>
            <w:r>
              <w:rPr>
                <w:rFonts w:asciiTheme="majorHAnsi" w:hAnsiTheme="majorHAnsi" w:cstheme="majorHAnsi"/>
              </w:rPr>
              <w:fldChar w:fldCharType="begin" w:fldLock="1"/>
            </w:r>
            <w:r w:rsidR="00B57DD4">
              <w:rPr>
                <w:rFonts w:asciiTheme="majorHAnsi" w:hAnsiTheme="majorHAnsi" w:cstheme="majorHAnsi"/>
              </w:rPr>
              <w:instrText>ADDIN CSL_CITATION {"citationItems":[{"id":"ITEM-1","itemData":{"URL":"http://www.caib.es/eboibfront/","accessed":{"date-parts":[["2021","1","17"]]},"id":"ITEM-1","issued":{"date-parts":[["2018"]]},"title":"Resolución del director general del Servicio de Salud de las Islas Baleares por la que se modifica la Orden de la consejera de Salud y Consumo de 22 de diciembre de 2006 por la que se establecen los precios públicos a aplicar por los centros sanitarios de","type":"webpage"},"uris":["http://www.mendeley.com/documents/?uuid=fe18ffaa-9cca-4558-ab8f-c213b34299f2"]}],"mendeley":{"formattedCitation":"&lt;sup&gt;29&lt;/sup&gt;","plainTextFormattedCitation":"29","previouslyFormattedCitation":"&lt;sup&gt;29&lt;/sup&gt;"},"properties":{"noteIndex":0},"schema":"https://github.com/citation-style-language/schema/raw/master/csl-citation.json"}</w:instrText>
            </w:r>
            <w:r>
              <w:rPr>
                <w:rFonts w:asciiTheme="majorHAnsi" w:hAnsiTheme="majorHAnsi" w:cstheme="majorHAnsi"/>
              </w:rPr>
              <w:fldChar w:fldCharType="separate"/>
            </w:r>
            <w:r w:rsidR="00B57DD4" w:rsidRPr="00B57DD4">
              <w:rPr>
                <w:rFonts w:asciiTheme="majorHAnsi" w:hAnsiTheme="majorHAnsi" w:cstheme="majorHAnsi"/>
                <w:noProof/>
                <w:vertAlign w:val="superscript"/>
              </w:rPr>
              <w:t>29</w:t>
            </w:r>
            <w:r>
              <w:rPr>
                <w:rFonts w:asciiTheme="majorHAnsi" w:hAnsiTheme="majorHAnsi" w:cstheme="majorHAnsi"/>
              </w:rPr>
              <w:fldChar w:fldCharType="end"/>
            </w:r>
          </w:p>
        </w:tc>
        <w:tc>
          <w:tcPr>
            <w:tcW w:w="5103" w:type="dxa"/>
            <w:gridSpan w:val="2"/>
            <w:vAlign w:val="center"/>
          </w:tcPr>
          <w:p w14:paraId="18544260" w14:textId="3DC5BED5" w:rsidR="007A654B" w:rsidRPr="0025653C" w:rsidRDefault="007A654B" w:rsidP="007A654B">
            <w:pPr>
              <w:rPr>
                <w:rFonts w:asciiTheme="majorHAnsi" w:hAnsiTheme="majorHAnsi" w:cstheme="majorHAnsi"/>
              </w:rPr>
            </w:pPr>
            <w:r w:rsidRPr="0025653C">
              <w:rPr>
                <w:rFonts w:asciiTheme="majorHAnsi" w:hAnsiTheme="majorHAnsi" w:cstheme="majorHAnsi"/>
              </w:rPr>
              <w:t>Hemodiálisis</w:t>
            </w:r>
          </w:p>
        </w:tc>
        <w:tc>
          <w:tcPr>
            <w:tcW w:w="1134" w:type="dxa"/>
            <w:vAlign w:val="center"/>
          </w:tcPr>
          <w:p w14:paraId="738320E8" w14:textId="784935D8" w:rsidR="007A654B" w:rsidRPr="0025653C" w:rsidRDefault="007A654B" w:rsidP="007A654B">
            <w:pPr>
              <w:ind w:left="-108"/>
              <w:jc w:val="center"/>
              <w:rPr>
                <w:rFonts w:asciiTheme="majorHAnsi" w:hAnsiTheme="majorHAnsi" w:cstheme="majorHAnsi"/>
              </w:rPr>
            </w:pPr>
            <w:r>
              <w:rPr>
                <w:rFonts w:asciiTheme="majorHAnsi" w:hAnsiTheme="majorHAnsi" w:cstheme="majorHAnsi"/>
              </w:rPr>
              <w:t>262€</w:t>
            </w:r>
          </w:p>
        </w:tc>
        <w:tc>
          <w:tcPr>
            <w:tcW w:w="1417" w:type="dxa"/>
            <w:vAlign w:val="center"/>
          </w:tcPr>
          <w:p w14:paraId="089261CA" w14:textId="2B799E09" w:rsidR="007A654B" w:rsidRPr="0025653C" w:rsidRDefault="007A654B" w:rsidP="007A654B">
            <w:pPr>
              <w:jc w:val="center"/>
              <w:rPr>
                <w:rFonts w:asciiTheme="majorHAnsi" w:hAnsiTheme="majorHAnsi" w:cstheme="majorHAnsi"/>
              </w:rPr>
            </w:pPr>
            <w:r>
              <w:rPr>
                <w:rFonts w:asciiTheme="majorHAnsi" w:hAnsiTheme="majorHAnsi" w:cstheme="majorHAnsi"/>
              </w:rPr>
              <w:t>Enero 2018</w:t>
            </w:r>
          </w:p>
        </w:tc>
        <w:tc>
          <w:tcPr>
            <w:tcW w:w="1512" w:type="dxa"/>
            <w:vAlign w:val="center"/>
          </w:tcPr>
          <w:p w14:paraId="72BE3F72" w14:textId="5FB0C9B4" w:rsidR="007A654B" w:rsidRPr="0025653C" w:rsidRDefault="00A62E71" w:rsidP="007A654B">
            <w:pPr>
              <w:ind w:left="-2"/>
              <w:jc w:val="center"/>
              <w:rPr>
                <w:rFonts w:asciiTheme="majorHAnsi" w:hAnsiTheme="majorHAnsi" w:cstheme="majorHAnsi"/>
              </w:rPr>
            </w:pPr>
            <w:r w:rsidRPr="00A62E71">
              <w:rPr>
                <w:rFonts w:asciiTheme="majorHAnsi" w:hAnsiTheme="majorHAnsi" w:cstheme="majorHAnsi"/>
              </w:rPr>
              <w:t>267,50€</w:t>
            </w:r>
          </w:p>
        </w:tc>
      </w:tr>
      <w:tr w:rsidR="007A654B" w:rsidRPr="0025653C" w14:paraId="36ADA783" w14:textId="77777777" w:rsidTr="007A654B">
        <w:tc>
          <w:tcPr>
            <w:tcW w:w="1560" w:type="dxa"/>
            <w:vAlign w:val="center"/>
          </w:tcPr>
          <w:p w14:paraId="42DC572D" w14:textId="30D32F3F" w:rsidR="007A654B" w:rsidRPr="0025653C" w:rsidRDefault="007A654B" w:rsidP="0072361E">
            <w:pPr>
              <w:ind w:right="-28"/>
              <w:rPr>
                <w:rFonts w:asciiTheme="majorHAnsi" w:hAnsiTheme="majorHAnsi" w:cstheme="majorHAnsi"/>
              </w:rPr>
            </w:pPr>
            <w:r w:rsidRPr="00D611ED">
              <w:rPr>
                <w:rFonts w:asciiTheme="majorHAnsi" w:hAnsiTheme="majorHAnsi" w:cstheme="majorHAnsi"/>
              </w:rPr>
              <w:t>Asturias</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{"citationItems":[{"id":"ITEM-1","itemData":{"URL":"https://sede.asturias.es/servicios-del-bopa","accessed":{"date-parts":[["2021","1","17"]]},"id":"ITEM-1","issued":{"date-parts":[["2019"]]},"title":"Convenio singular de vinculación a la Red Hospitalaria Pública del Principado de Asturias, como Hospital de Distrito, suscrito entre el Servicio de Salud del Principado de Asturias y la Fundación Hospital de Jove para la prestación de atención sanitaria","type":"webpage"},"uris":["http://www.mendeley.com/documents/?uuid=f4bdfd66-07ba-4428-8cb8-9e886ad1667d"]}],"mendeley":{"formattedCitation":"&lt;sup&gt;42&lt;/sup&gt;","plainTextFormattedCitation":"42","previouslyFormattedCitation":"&lt;sup&gt;42&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42</w:t>
            </w:r>
            <w:r>
              <w:rPr>
                <w:rFonts w:asciiTheme="majorHAnsi" w:hAnsiTheme="majorHAnsi" w:cstheme="majorHAnsi"/>
              </w:rPr>
              <w:fldChar w:fldCharType="end"/>
            </w:r>
          </w:p>
        </w:tc>
        <w:tc>
          <w:tcPr>
            <w:tcW w:w="5103" w:type="dxa"/>
            <w:gridSpan w:val="2"/>
            <w:vAlign w:val="center"/>
          </w:tcPr>
          <w:p w14:paraId="058FEBD1" w14:textId="26F93E6B" w:rsidR="007A654B" w:rsidRPr="0025653C" w:rsidRDefault="007A654B" w:rsidP="007A654B">
            <w:pPr>
              <w:rPr>
                <w:rFonts w:asciiTheme="majorHAnsi" w:hAnsiTheme="majorHAnsi" w:cstheme="majorHAnsi"/>
              </w:rPr>
            </w:pPr>
            <w:r w:rsidRPr="0025653C">
              <w:rPr>
                <w:rFonts w:asciiTheme="majorHAnsi" w:hAnsiTheme="majorHAnsi" w:cstheme="majorHAnsi"/>
              </w:rPr>
              <w:t>Diálisis Sesión</w:t>
            </w:r>
          </w:p>
        </w:tc>
        <w:tc>
          <w:tcPr>
            <w:tcW w:w="1134" w:type="dxa"/>
            <w:vAlign w:val="center"/>
          </w:tcPr>
          <w:p w14:paraId="7D565DBB" w14:textId="77777777"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162,69€</w:t>
            </w:r>
          </w:p>
        </w:tc>
        <w:tc>
          <w:tcPr>
            <w:tcW w:w="1417" w:type="dxa"/>
            <w:vAlign w:val="center"/>
          </w:tcPr>
          <w:p w14:paraId="7556C099"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Febrero 2019</w:t>
            </w:r>
          </w:p>
        </w:tc>
        <w:tc>
          <w:tcPr>
            <w:tcW w:w="1512" w:type="dxa"/>
            <w:vAlign w:val="center"/>
          </w:tcPr>
          <w:p w14:paraId="1C279C8E" w14:textId="63E66A5A"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1</w:t>
            </w:r>
            <w:r>
              <w:rPr>
                <w:rFonts w:asciiTheme="majorHAnsi" w:hAnsiTheme="majorHAnsi" w:cstheme="majorHAnsi"/>
              </w:rPr>
              <w:t>64</w:t>
            </w:r>
            <w:r w:rsidRPr="0025653C">
              <w:rPr>
                <w:rFonts w:asciiTheme="majorHAnsi" w:hAnsiTheme="majorHAnsi" w:cstheme="majorHAnsi"/>
              </w:rPr>
              <w:t>,</w:t>
            </w:r>
            <w:r>
              <w:rPr>
                <w:rFonts w:asciiTheme="majorHAnsi" w:hAnsiTheme="majorHAnsi" w:cstheme="majorHAnsi"/>
              </w:rPr>
              <w:t>48</w:t>
            </w:r>
            <w:r w:rsidRPr="0025653C">
              <w:rPr>
                <w:rFonts w:asciiTheme="majorHAnsi" w:hAnsiTheme="majorHAnsi" w:cstheme="majorHAnsi"/>
              </w:rPr>
              <w:t>€</w:t>
            </w:r>
          </w:p>
        </w:tc>
      </w:tr>
      <w:tr w:rsidR="007A654B" w:rsidRPr="0025653C" w14:paraId="6177E685" w14:textId="77777777" w:rsidTr="007A654B">
        <w:tc>
          <w:tcPr>
            <w:tcW w:w="1560" w:type="dxa"/>
            <w:vAlign w:val="center"/>
          </w:tcPr>
          <w:p w14:paraId="57222916" w14:textId="198DE621" w:rsidR="007A654B" w:rsidRPr="0025653C" w:rsidRDefault="007A654B" w:rsidP="0072361E">
            <w:pPr>
              <w:ind w:right="-28"/>
              <w:rPr>
                <w:rFonts w:asciiTheme="majorHAnsi" w:hAnsiTheme="majorHAnsi" w:cstheme="majorHAnsi"/>
              </w:rPr>
            </w:pPr>
            <w:r w:rsidRPr="00D611ED">
              <w:rPr>
                <w:rFonts w:asciiTheme="majorHAnsi" w:hAnsiTheme="majorHAnsi" w:cstheme="majorHAnsi"/>
              </w:rPr>
              <w:t>Andalucía</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{"citationItems":[{"id":"ITEM-1","itemData":{"URL":"https://www.juntadeandalucia.es/boja/buscador/","accessed":{"date-parts":[["2021","1","17"]]},"container-title":"Boja","id":"ITEM-1","issued":{"date-parts":[["2015"]]},"title":"ORDEN de 18 de noviembre de 2015, por la que se modifica la Orden de 14 de octubre de 2005, por la que se fijan los precios públicos de los servicios sanitarios prestados por centros dependientes del Sistema Sanitario Público de Andalucía. BOJA núm.228.","type":"webpage"},"uris":["http://www.mendeley.com/documents/?uuid=9d0074ad-2f1c-4e9c-b461-88834bb78b8b"]}],"mendeley":{"formattedCitation":"&lt;sup&gt;38&lt;/sup&gt;","plainTextFormattedCitation":"38","previouslyFormattedCitation":"&lt;sup&gt;38&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38</w:t>
            </w:r>
            <w:r>
              <w:rPr>
                <w:rFonts w:asciiTheme="majorHAnsi" w:hAnsiTheme="majorHAnsi" w:cstheme="majorHAnsi"/>
              </w:rPr>
              <w:fldChar w:fldCharType="end"/>
            </w:r>
          </w:p>
        </w:tc>
        <w:tc>
          <w:tcPr>
            <w:tcW w:w="5103" w:type="dxa"/>
            <w:gridSpan w:val="2"/>
            <w:vAlign w:val="center"/>
          </w:tcPr>
          <w:p w14:paraId="34162EFA" w14:textId="288A27B6" w:rsidR="007A654B" w:rsidRPr="0025653C" w:rsidRDefault="007A654B" w:rsidP="007A654B">
            <w:pPr>
              <w:rPr>
                <w:rFonts w:asciiTheme="majorHAnsi" w:hAnsiTheme="majorHAnsi" w:cstheme="majorHAnsi"/>
              </w:rPr>
            </w:pPr>
            <w:r w:rsidRPr="0025653C">
              <w:rPr>
                <w:rFonts w:asciiTheme="majorHAnsi" w:hAnsiTheme="majorHAnsi" w:cstheme="majorHAnsi"/>
              </w:rPr>
              <w:t>Diálisis Sesión</w:t>
            </w:r>
          </w:p>
        </w:tc>
        <w:tc>
          <w:tcPr>
            <w:tcW w:w="1134" w:type="dxa"/>
            <w:vAlign w:val="center"/>
          </w:tcPr>
          <w:p w14:paraId="52150742" w14:textId="198AE546"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132,5</w:t>
            </w:r>
            <w:r>
              <w:rPr>
                <w:rFonts w:asciiTheme="majorHAnsi" w:hAnsiTheme="majorHAnsi" w:cstheme="majorHAnsi"/>
              </w:rPr>
              <w:t>0</w:t>
            </w:r>
            <w:r w:rsidRPr="0025653C">
              <w:rPr>
                <w:rFonts w:asciiTheme="majorHAnsi" w:hAnsiTheme="majorHAnsi" w:cstheme="majorHAnsi"/>
              </w:rPr>
              <w:t>€</w:t>
            </w:r>
          </w:p>
        </w:tc>
        <w:tc>
          <w:tcPr>
            <w:tcW w:w="1417" w:type="dxa"/>
            <w:vAlign w:val="center"/>
          </w:tcPr>
          <w:p w14:paraId="0BC45209"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Noviembre 2015</w:t>
            </w:r>
          </w:p>
        </w:tc>
        <w:tc>
          <w:tcPr>
            <w:tcW w:w="1512" w:type="dxa"/>
            <w:vAlign w:val="center"/>
          </w:tcPr>
          <w:p w14:paraId="058BDBB2" w14:textId="51ADDB77"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1</w:t>
            </w:r>
            <w:r>
              <w:rPr>
                <w:rFonts w:asciiTheme="majorHAnsi" w:hAnsiTheme="majorHAnsi" w:cstheme="majorHAnsi"/>
              </w:rPr>
              <w:t>39</w:t>
            </w:r>
            <w:r w:rsidRPr="0025653C">
              <w:rPr>
                <w:rFonts w:asciiTheme="majorHAnsi" w:hAnsiTheme="majorHAnsi" w:cstheme="majorHAnsi"/>
              </w:rPr>
              <w:t>,6</w:t>
            </w:r>
            <w:r>
              <w:rPr>
                <w:rFonts w:asciiTheme="majorHAnsi" w:hAnsiTheme="majorHAnsi" w:cstheme="majorHAnsi"/>
              </w:rPr>
              <w:t>6</w:t>
            </w:r>
            <w:r w:rsidRPr="0025653C">
              <w:rPr>
                <w:rFonts w:asciiTheme="majorHAnsi" w:hAnsiTheme="majorHAnsi" w:cstheme="majorHAnsi"/>
              </w:rPr>
              <w:t>€</w:t>
            </w:r>
          </w:p>
        </w:tc>
      </w:tr>
      <w:tr w:rsidR="007A654B" w:rsidRPr="0025653C" w14:paraId="00A826B0" w14:textId="77777777" w:rsidTr="007A654B">
        <w:tc>
          <w:tcPr>
            <w:tcW w:w="1560" w:type="dxa"/>
            <w:vMerge w:val="restart"/>
            <w:vAlign w:val="center"/>
          </w:tcPr>
          <w:p w14:paraId="2C9FD0EF" w14:textId="23F959C2" w:rsidR="007A654B" w:rsidRPr="0025653C" w:rsidRDefault="007A654B" w:rsidP="0072361E">
            <w:pPr>
              <w:ind w:right="-28"/>
              <w:rPr>
                <w:rFonts w:asciiTheme="majorHAnsi" w:hAnsiTheme="majorHAnsi" w:cstheme="majorHAnsi"/>
              </w:rPr>
            </w:pPr>
            <w:r w:rsidRPr="00D611ED">
              <w:rPr>
                <w:rFonts w:asciiTheme="majorHAnsi" w:hAnsiTheme="majorHAnsi" w:cstheme="majorHAnsi"/>
              </w:rPr>
              <w:t>Aragón</w:t>
            </w:r>
            <w:r>
              <w:rPr>
                <w:rFonts w:asciiTheme="majorHAnsi" w:hAnsiTheme="majorHAnsi" w:cstheme="majorHAnsi"/>
              </w:rPr>
              <w:fldChar w:fldCharType="begin" w:fldLock="1"/>
            </w:r>
            <w:r w:rsidR="0072361E">
              <w:rPr>
                <w:rFonts w:asciiTheme="majorHAnsi" w:hAnsiTheme="majorHAnsi" w:cstheme="majorHAnsi"/>
              </w:rPr>
              <w:instrText>ADDIN CSL_CITATION {"citationItems":[{"id":"ITEM-1","itemData":{"URL":"http://www.boa.aragon.es","accessed":{"date-parts":[["2021","1","17"]]},"id":"ITEM-1","issued":{"date-parts":[["2017"]]},"title":"ORDEN SAN/1221/2017, de 21 de julio, por la que se establecen los precios y tarifas máximas aplicables en la prestación de servicios sanitarios con medios ajenos al Sistema de Salud de Aragón.","type":"webpage"},"uris":["http://www.mendeley.com/documents/?uuid=ba2e75b2-7f98-433a-9f45-2476451115f8"]}],"mendeley":{"formattedCitation":"&lt;sup&gt;41&lt;/sup&gt;","plainTextFormattedCitation":"41","previouslyFormattedCitation":"&lt;sup&gt;41&lt;/sup&gt;"},"properties":{"noteIndex":0},"schema":"https://github.com/citation-style-language/schema/raw/master/csl-citation.json"}</w:instrText>
            </w:r>
            <w:r>
              <w:rPr>
                <w:rFonts w:asciiTheme="majorHAnsi" w:hAnsiTheme="majorHAnsi" w:cstheme="majorHAnsi"/>
              </w:rPr>
              <w:fldChar w:fldCharType="separate"/>
            </w:r>
            <w:r w:rsidR="0072361E" w:rsidRPr="0072361E">
              <w:rPr>
                <w:rFonts w:asciiTheme="majorHAnsi" w:hAnsiTheme="majorHAnsi" w:cstheme="majorHAnsi"/>
                <w:noProof/>
                <w:vertAlign w:val="superscript"/>
              </w:rPr>
              <w:t>41</w:t>
            </w:r>
            <w:r>
              <w:rPr>
                <w:rFonts w:asciiTheme="majorHAnsi" w:hAnsiTheme="majorHAnsi" w:cstheme="majorHAnsi"/>
              </w:rPr>
              <w:fldChar w:fldCharType="end"/>
            </w:r>
          </w:p>
        </w:tc>
        <w:tc>
          <w:tcPr>
            <w:tcW w:w="5103" w:type="dxa"/>
            <w:gridSpan w:val="2"/>
            <w:vAlign w:val="center"/>
          </w:tcPr>
          <w:p w14:paraId="50B547BA" w14:textId="4D4EECA0" w:rsidR="007A654B" w:rsidRPr="0025653C" w:rsidRDefault="007A654B" w:rsidP="007A654B">
            <w:pPr>
              <w:rPr>
                <w:rFonts w:asciiTheme="majorHAnsi" w:hAnsiTheme="majorHAnsi" w:cstheme="majorHAnsi"/>
              </w:rPr>
            </w:pPr>
            <w:r w:rsidRPr="0025653C">
              <w:rPr>
                <w:rFonts w:asciiTheme="majorHAnsi" w:hAnsiTheme="majorHAnsi" w:cstheme="majorHAnsi"/>
              </w:rPr>
              <w:t>Hemodiálisis en centros hospitalarios, incluye el coste</w:t>
            </w:r>
            <w:r>
              <w:rPr>
                <w:rFonts w:asciiTheme="majorHAnsi" w:hAnsiTheme="majorHAnsi" w:cstheme="majorHAnsi"/>
              </w:rPr>
              <w:t xml:space="preserve"> del concentrado de bicarbonato</w:t>
            </w:r>
          </w:p>
        </w:tc>
        <w:tc>
          <w:tcPr>
            <w:tcW w:w="1134" w:type="dxa"/>
            <w:vAlign w:val="center"/>
          </w:tcPr>
          <w:p w14:paraId="558D9AF6" w14:textId="1C83E405"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140</w:t>
            </w:r>
            <w:r>
              <w:rPr>
                <w:rFonts w:asciiTheme="majorHAnsi" w:hAnsiTheme="majorHAnsi" w:cstheme="majorHAnsi"/>
              </w:rPr>
              <w:t>,00</w:t>
            </w:r>
            <w:r w:rsidRPr="0025653C">
              <w:rPr>
                <w:rFonts w:asciiTheme="majorHAnsi" w:hAnsiTheme="majorHAnsi" w:cstheme="majorHAnsi"/>
              </w:rPr>
              <w:t>€</w:t>
            </w:r>
          </w:p>
        </w:tc>
        <w:tc>
          <w:tcPr>
            <w:tcW w:w="1417" w:type="dxa"/>
            <w:vMerge w:val="restart"/>
            <w:vAlign w:val="center"/>
          </w:tcPr>
          <w:p w14:paraId="347EBAE4"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Agosto 2017</w:t>
            </w:r>
          </w:p>
        </w:tc>
        <w:tc>
          <w:tcPr>
            <w:tcW w:w="1512" w:type="dxa"/>
            <w:vAlign w:val="center"/>
          </w:tcPr>
          <w:p w14:paraId="7CD48967" w14:textId="73AD5A4A"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143,</w:t>
            </w:r>
            <w:r>
              <w:rPr>
                <w:rFonts w:asciiTheme="majorHAnsi" w:hAnsiTheme="majorHAnsi" w:cstheme="majorHAnsi"/>
              </w:rPr>
              <w:t>78</w:t>
            </w:r>
            <w:r w:rsidRPr="0025653C">
              <w:rPr>
                <w:rFonts w:asciiTheme="majorHAnsi" w:hAnsiTheme="majorHAnsi" w:cstheme="majorHAnsi"/>
              </w:rPr>
              <w:t>€</w:t>
            </w:r>
          </w:p>
        </w:tc>
      </w:tr>
      <w:tr w:rsidR="007A654B" w:rsidRPr="0025653C" w14:paraId="7734F43E" w14:textId="77777777" w:rsidTr="007A654B">
        <w:tc>
          <w:tcPr>
            <w:tcW w:w="1560" w:type="dxa"/>
            <w:vMerge/>
            <w:vAlign w:val="center"/>
          </w:tcPr>
          <w:p w14:paraId="67B9245B" w14:textId="77777777" w:rsidR="007A654B" w:rsidRPr="0025653C" w:rsidRDefault="007A654B" w:rsidP="007A654B">
            <w:pPr>
              <w:ind w:right="-28"/>
              <w:rPr>
                <w:rFonts w:asciiTheme="majorHAnsi" w:hAnsiTheme="majorHAnsi" w:cstheme="majorHAnsi"/>
              </w:rPr>
            </w:pPr>
          </w:p>
        </w:tc>
        <w:tc>
          <w:tcPr>
            <w:tcW w:w="5103" w:type="dxa"/>
            <w:gridSpan w:val="2"/>
            <w:vAlign w:val="center"/>
          </w:tcPr>
          <w:p w14:paraId="4DE0E190" w14:textId="247FACFF" w:rsidR="007A654B" w:rsidRPr="0025653C" w:rsidRDefault="007A654B" w:rsidP="007A654B">
            <w:pPr>
              <w:rPr>
                <w:rFonts w:asciiTheme="majorHAnsi" w:hAnsiTheme="majorHAnsi" w:cstheme="majorHAnsi"/>
              </w:rPr>
            </w:pPr>
            <w:r w:rsidRPr="0025653C">
              <w:rPr>
                <w:rFonts w:asciiTheme="majorHAnsi" w:hAnsiTheme="majorHAnsi" w:cstheme="majorHAnsi"/>
              </w:rPr>
              <w:t>Hemodiálisis estándar, incluye el coste</w:t>
            </w:r>
            <w:r>
              <w:rPr>
                <w:rFonts w:asciiTheme="majorHAnsi" w:hAnsiTheme="majorHAnsi" w:cstheme="majorHAnsi"/>
              </w:rPr>
              <w:t xml:space="preserve"> del concentrado de bicarbonato</w:t>
            </w:r>
          </w:p>
        </w:tc>
        <w:tc>
          <w:tcPr>
            <w:tcW w:w="1134" w:type="dxa"/>
            <w:vAlign w:val="center"/>
          </w:tcPr>
          <w:p w14:paraId="473A30EC" w14:textId="5E3B451D"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140</w:t>
            </w:r>
            <w:r>
              <w:rPr>
                <w:rFonts w:asciiTheme="majorHAnsi" w:hAnsiTheme="majorHAnsi" w:cstheme="majorHAnsi"/>
              </w:rPr>
              <w:t>,00</w:t>
            </w:r>
            <w:r w:rsidRPr="0025653C">
              <w:rPr>
                <w:rFonts w:asciiTheme="majorHAnsi" w:hAnsiTheme="majorHAnsi" w:cstheme="majorHAnsi"/>
              </w:rPr>
              <w:t>€</w:t>
            </w:r>
          </w:p>
        </w:tc>
        <w:tc>
          <w:tcPr>
            <w:tcW w:w="1417" w:type="dxa"/>
            <w:vMerge/>
            <w:vAlign w:val="center"/>
          </w:tcPr>
          <w:p w14:paraId="1E73AA59" w14:textId="77777777" w:rsidR="007A654B" w:rsidRPr="0025653C" w:rsidRDefault="007A654B" w:rsidP="007A654B">
            <w:pPr>
              <w:jc w:val="center"/>
              <w:rPr>
                <w:rFonts w:asciiTheme="majorHAnsi" w:hAnsiTheme="majorHAnsi" w:cstheme="majorHAnsi"/>
              </w:rPr>
            </w:pPr>
          </w:p>
        </w:tc>
        <w:tc>
          <w:tcPr>
            <w:tcW w:w="1512" w:type="dxa"/>
            <w:vAlign w:val="center"/>
          </w:tcPr>
          <w:p w14:paraId="565ADF4A" w14:textId="7ABF1EEE"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143,</w:t>
            </w:r>
            <w:r>
              <w:rPr>
                <w:rFonts w:asciiTheme="majorHAnsi" w:hAnsiTheme="majorHAnsi" w:cstheme="majorHAnsi"/>
              </w:rPr>
              <w:t>78</w:t>
            </w:r>
            <w:r w:rsidRPr="0025653C">
              <w:rPr>
                <w:rFonts w:asciiTheme="majorHAnsi" w:hAnsiTheme="majorHAnsi" w:cstheme="majorHAnsi"/>
              </w:rPr>
              <w:t>€</w:t>
            </w:r>
          </w:p>
        </w:tc>
      </w:tr>
      <w:tr w:rsidR="007A654B" w:rsidRPr="0025653C" w14:paraId="3B3397D3" w14:textId="77777777" w:rsidTr="007A654B">
        <w:tc>
          <w:tcPr>
            <w:tcW w:w="1560" w:type="dxa"/>
            <w:vMerge/>
            <w:vAlign w:val="center"/>
          </w:tcPr>
          <w:p w14:paraId="6001E3E3" w14:textId="77777777" w:rsidR="007A654B" w:rsidRPr="0025653C" w:rsidRDefault="007A654B" w:rsidP="007A654B">
            <w:pPr>
              <w:ind w:right="-28"/>
              <w:rPr>
                <w:rFonts w:asciiTheme="majorHAnsi" w:hAnsiTheme="majorHAnsi" w:cstheme="majorHAnsi"/>
              </w:rPr>
            </w:pPr>
          </w:p>
        </w:tc>
        <w:tc>
          <w:tcPr>
            <w:tcW w:w="5103" w:type="dxa"/>
            <w:gridSpan w:val="2"/>
            <w:vAlign w:val="center"/>
          </w:tcPr>
          <w:p w14:paraId="458AF0F9" w14:textId="64DDB56A" w:rsidR="007A654B" w:rsidRPr="0025653C" w:rsidRDefault="007A654B" w:rsidP="007A654B">
            <w:pPr>
              <w:rPr>
                <w:rFonts w:asciiTheme="majorHAnsi" w:hAnsiTheme="majorHAnsi" w:cstheme="majorHAnsi"/>
              </w:rPr>
            </w:pPr>
            <w:r w:rsidRPr="0025653C">
              <w:rPr>
                <w:rFonts w:asciiTheme="majorHAnsi" w:hAnsiTheme="majorHAnsi" w:cstheme="majorHAnsi"/>
              </w:rPr>
              <w:t>Hemodiálisis de alto flujo, incluye el coste</w:t>
            </w:r>
            <w:r>
              <w:rPr>
                <w:rFonts w:asciiTheme="majorHAnsi" w:hAnsiTheme="majorHAnsi" w:cstheme="majorHAnsi"/>
              </w:rPr>
              <w:t xml:space="preserve"> del concentrado de bicarbonato</w:t>
            </w:r>
          </w:p>
        </w:tc>
        <w:tc>
          <w:tcPr>
            <w:tcW w:w="1134" w:type="dxa"/>
            <w:vAlign w:val="center"/>
          </w:tcPr>
          <w:p w14:paraId="7E4B636F" w14:textId="303E82ED"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140</w:t>
            </w:r>
            <w:r>
              <w:rPr>
                <w:rFonts w:asciiTheme="majorHAnsi" w:hAnsiTheme="majorHAnsi" w:cstheme="majorHAnsi"/>
              </w:rPr>
              <w:t>,00</w:t>
            </w:r>
            <w:r w:rsidRPr="0025653C">
              <w:rPr>
                <w:rFonts w:asciiTheme="majorHAnsi" w:hAnsiTheme="majorHAnsi" w:cstheme="majorHAnsi"/>
              </w:rPr>
              <w:t>€</w:t>
            </w:r>
          </w:p>
        </w:tc>
        <w:tc>
          <w:tcPr>
            <w:tcW w:w="1417" w:type="dxa"/>
            <w:vMerge/>
            <w:vAlign w:val="center"/>
          </w:tcPr>
          <w:p w14:paraId="2D329781" w14:textId="77777777" w:rsidR="007A654B" w:rsidRPr="0025653C" w:rsidRDefault="007A654B" w:rsidP="007A654B">
            <w:pPr>
              <w:jc w:val="center"/>
              <w:rPr>
                <w:rFonts w:asciiTheme="majorHAnsi" w:hAnsiTheme="majorHAnsi" w:cstheme="majorHAnsi"/>
              </w:rPr>
            </w:pPr>
          </w:p>
        </w:tc>
        <w:tc>
          <w:tcPr>
            <w:tcW w:w="1512" w:type="dxa"/>
            <w:vAlign w:val="center"/>
          </w:tcPr>
          <w:p w14:paraId="08EB0536" w14:textId="44A8FD39"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143,</w:t>
            </w:r>
            <w:r>
              <w:rPr>
                <w:rFonts w:asciiTheme="majorHAnsi" w:hAnsiTheme="majorHAnsi" w:cstheme="majorHAnsi"/>
              </w:rPr>
              <w:t>78</w:t>
            </w:r>
            <w:r w:rsidRPr="0025653C">
              <w:rPr>
                <w:rFonts w:asciiTheme="majorHAnsi" w:hAnsiTheme="majorHAnsi" w:cstheme="majorHAnsi"/>
              </w:rPr>
              <w:t>€</w:t>
            </w:r>
          </w:p>
        </w:tc>
      </w:tr>
      <w:tr w:rsidR="007A654B" w:rsidRPr="0025653C" w14:paraId="2450318F" w14:textId="77777777" w:rsidTr="007A654B">
        <w:tc>
          <w:tcPr>
            <w:tcW w:w="1560" w:type="dxa"/>
            <w:vMerge/>
            <w:vAlign w:val="center"/>
          </w:tcPr>
          <w:p w14:paraId="14A9718D" w14:textId="77777777" w:rsidR="007A654B" w:rsidRPr="0025653C" w:rsidRDefault="007A654B" w:rsidP="007A654B">
            <w:pPr>
              <w:ind w:right="-28"/>
              <w:rPr>
                <w:rFonts w:asciiTheme="majorHAnsi" w:hAnsiTheme="majorHAnsi" w:cstheme="majorHAnsi"/>
              </w:rPr>
            </w:pPr>
          </w:p>
        </w:tc>
        <w:tc>
          <w:tcPr>
            <w:tcW w:w="5103" w:type="dxa"/>
            <w:gridSpan w:val="2"/>
            <w:vAlign w:val="center"/>
          </w:tcPr>
          <w:p w14:paraId="45543DC3" w14:textId="290C2922" w:rsidR="007A654B" w:rsidRPr="0025653C" w:rsidRDefault="007A654B" w:rsidP="007A654B">
            <w:pPr>
              <w:rPr>
                <w:rFonts w:asciiTheme="majorHAnsi" w:hAnsiTheme="majorHAnsi" w:cstheme="majorHAnsi"/>
              </w:rPr>
            </w:pPr>
            <w:r w:rsidRPr="0025653C">
              <w:rPr>
                <w:rFonts w:asciiTheme="majorHAnsi" w:hAnsiTheme="majorHAnsi" w:cstheme="majorHAnsi"/>
              </w:rPr>
              <w:t>Hemodiáfiltración OnLine, incluye el coste</w:t>
            </w:r>
            <w:r>
              <w:rPr>
                <w:rFonts w:asciiTheme="majorHAnsi" w:hAnsiTheme="majorHAnsi" w:cstheme="majorHAnsi"/>
              </w:rPr>
              <w:t xml:space="preserve"> del concentrado de bicarbonato</w:t>
            </w:r>
          </w:p>
        </w:tc>
        <w:tc>
          <w:tcPr>
            <w:tcW w:w="1134" w:type="dxa"/>
            <w:vAlign w:val="center"/>
          </w:tcPr>
          <w:p w14:paraId="4BD23FF3" w14:textId="6BB4119F"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160</w:t>
            </w:r>
            <w:r>
              <w:rPr>
                <w:rFonts w:asciiTheme="majorHAnsi" w:hAnsiTheme="majorHAnsi" w:cstheme="majorHAnsi"/>
              </w:rPr>
              <w:t>,00</w:t>
            </w:r>
            <w:r w:rsidRPr="0025653C">
              <w:rPr>
                <w:rFonts w:asciiTheme="majorHAnsi" w:hAnsiTheme="majorHAnsi" w:cstheme="majorHAnsi"/>
              </w:rPr>
              <w:t>€</w:t>
            </w:r>
          </w:p>
        </w:tc>
        <w:tc>
          <w:tcPr>
            <w:tcW w:w="1417" w:type="dxa"/>
            <w:vMerge/>
            <w:vAlign w:val="center"/>
          </w:tcPr>
          <w:p w14:paraId="5BEC2C83" w14:textId="77777777" w:rsidR="007A654B" w:rsidRPr="0025653C" w:rsidRDefault="007A654B" w:rsidP="007A654B">
            <w:pPr>
              <w:jc w:val="center"/>
              <w:rPr>
                <w:rFonts w:asciiTheme="majorHAnsi" w:hAnsiTheme="majorHAnsi" w:cstheme="majorHAnsi"/>
              </w:rPr>
            </w:pPr>
          </w:p>
        </w:tc>
        <w:tc>
          <w:tcPr>
            <w:tcW w:w="1512" w:type="dxa"/>
            <w:vAlign w:val="center"/>
          </w:tcPr>
          <w:p w14:paraId="0E747243" w14:textId="06BEBFB1"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164</w:t>
            </w:r>
            <w:r>
              <w:rPr>
                <w:rFonts w:asciiTheme="majorHAnsi" w:hAnsiTheme="majorHAnsi" w:cstheme="majorHAnsi"/>
              </w:rPr>
              <w:t>,32</w:t>
            </w:r>
            <w:r w:rsidRPr="0025653C">
              <w:rPr>
                <w:rFonts w:asciiTheme="majorHAnsi" w:hAnsiTheme="majorHAnsi" w:cstheme="majorHAnsi"/>
              </w:rPr>
              <w:t>€</w:t>
            </w:r>
          </w:p>
        </w:tc>
      </w:tr>
      <w:tr w:rsidR="007A654B" w:rsidRPr="0025653C" w14:paraId="3DCA4768" w14:textId="77777777" w:rsidTr="007A654B">
        <w:tc>
          <w:tcPr>
            <w:tcW w:w="1560" w:type="dxa"/>
            <w:vMerge/>
            <w:vAlign w:val="center"/>
          </w:tcPr>
          <w:p w14:paraId="1F2C2180" w14:textId="77777777" w:rsidR="007A654B" w:rsidRPr="0025653C" w:rsidRDefault="007A654B" w:rsidP="007A654B">
            <w:pPr>
              <w:ind w:right="-28"/>
              <w:rPr>
                <w:rFonts w:asciiTheme="majorHAnsi" w:hAnsiTheme="majorHAnsi" w:cstheme="majorHAnsi"/>
              </w:rPr>
            </w:pPr>
          </w:p>
        </w:tc>
        <w:tc>
          <w:tcPr>
            <w:tcW w:w="5103" w:type="dxa"/>
            <w:gridSpan w:val="2"/>
            <w:vAlign w:val="center"/>
          </w:tcPr>
          <w:p w14:paraId="3389FDC9" w14:textId="4CE43010" w:rsidR="007A654B" w:rsidRPr="0025653C" w:rsidRDefault="007A654B" w:rsidP="007A654B">
            <w:pPr>
              <w:rPr>
                <w:rFonts w:asciiTheme="majorHAnsi" w:hAnsiTheme="majorHAnsi" w:cstheme="majorHAnsi"/>
              </w:rPr>
            </w:pPr>
            <w:r w:rsidRPr="0025653C">
              <w:rPr>
                <w:rFonts w:asciiTheme="majorHAnsi" w:hAnsiTheme="majorHAnsi" w:cstheme="majorHAnsi"/>
              </w:rPr>
              <w:t>Hemodiálisis a domicilio con máquina (</w:t>
            </w:r>
            <w:r>
              <w:rPr>
                <w:rFonts w:asciiTheme="majorHAnsi" w:hAnsiTheme="majorHAnsi" w:cstheme="majorHAnsi"/>
              </w:rPr>
              <w:t>s</w:t>
            </w:r>
            <w:r w:rsidRPr="0025653C">
              <w:rPr>
                <w:rFonts w:asciiTheme="majorHAnsi" w:hAnsiTheme="majorHAnsi" w:cstheme="majorHAnsi"/>
              </w:rPr>
              <w:t xml:space="preserve">e incluyen: </w:t>
            </w:r>
            <w:r>
              <w:rPr>
                <w:rFonts w:asciiTheme="majorHAnsi" w:hAnsiTheme="majorHAnsi" w:cstheme="majorHAnsi"/>
              </w:rPr>
              <w:t>m</w:t>
            </w:r>
            <w:r w:rsidRPr="0025653C">
              <w:rPr>
                <w:rFonts w:asciiTheme="majorHAnsi" w:hAnsiTheme="majorHAnsi" w:cstheme="majorHAnsi"/>
              </w:rPr>
              <w:t xml:space="preserve">aterial de </w:t>
            </w:r>
            <w:r>
              <w:rPr>
                <w:rFonts w:asciiTheme="majorHAnsi" w:hAnsiTheme="majorHAnsi" w:cstheme="majorHAnsi"/>
              </w:rPr>
              <w:t>h</w:t>
            </w:r>
            <w:r w:rsidRPr="0025653C">
              <w:rPr>
                <w:rFonts w:asciiTheme="majorHAnsi" w:hAnsiTheme="majorHAnsi" w:cstheme="majorHAnsi"/>
              </w:rPr>
              <w:t xml:space="preserve">emodiálisis, </w:t>
            </w:r>
            <w:r>
              <w:rPr>
                <w:rFonts w:asciiTheme="majorHAnsi" w:hAnsiTheme="majorHAnsi" w:cstheme="majorHAnsi"/>
              </w:rPr>
              <w:t>lí</w:t>
            </w:r>
            <w:r w:rsidRPr="0025653C">
              <w:rPr>
                <w:rFonts w:asciiTheme="majorHAnsi" w:hAnsiTheme="majorHAnsi" w:cstheme="majorHAnsi"/>
              </w:rPr>
              <w:t xml:space="preserve">quido de </w:t>
            </w:r>
            <w:r>
              <w:rPr>
                <w:rFonts w:asciiTheme="majorHAnsi" w:hAnsiTheme="majorHAnsi" w:cstheme="majorHAnsi"/>
              </w:rPr>
              <w:t>d</w:t>
            </w:r>
            <w:r w:rsidRPr="0025653C">
              <w:rPr>
                <w:rFonts w:asciiTheme="majorHAnsi" w:hAnsiTheme="majorHAnsi" w:cstheme="majorHAnsi"/>
              </w:rPr>
              <w:t xml:space="preserve">iálisis, </w:t>
            </w:r>
            <w:r>
              <w:rPr>
                <w:rFonts w:asciiTheme="majorHAnsi" w:hAnsiTheme="majorHAnsi" w:cstheme="majorHAnsi"/>
              </w:rPr>
              <w:t>m</w:t>
            </w:r>
            <w:r w:rsidRPr="0025653C">
              <w:rPr>
                <w:rFonts w:asciiTheme="majorHAnsi" w:hAnsiTheme="majorHAnsi" w:cstheme="majorHAnsi"/>
              </w:rPr>
              <w:t xml:space="preserve">onitores de </w:t>
            </w:r>
            <w:r>
              <w:rPr>
                <w:rFonts w:asciiTheme="majorHAnsi" w:hAnsiTheme="majorHAnsi" w:cstheme="majorHAnsi"/>
              </w:rPr>
              <w:t>d</w:t>
            </w:r>
            <w:r w:rsidRPr="0025653C">
              <w:rPr>
                <w:rFonts w:asciiTheme="majorHAnsi" w:hAnsiTheme="majorHAnsi" w:cstheme="majorHAnsi"/>
              </w:rPr>
              <w:t xml:space="preserve">iálisis y </w:t>
            </w:r>
            <w:r>
              <w:rPr>
                <w:rFonts w:asciiTheme="majorHAnsi" w:hAnsiTheme="majorHAnsi" w:cstheme="majorHAnsi"/>
              </w:rPr>
              <w:t>m</w:t>
            </w:r>
            <w:r w:rsidRPr="0025653C">
              <w:rPr>
                <w:rFonts w:asciiTheme="majorHAnsi" w:hAnsiTheme="majorHAnsi" w:cstheme="majorHAnsi"/>
              </w:rPr>
              <w:t>aterial de re</w:t>
            </w:r>
            <w:r>
              <w:rPr>
                <w:rFonts w:asciiTheme="majorHAnsi" w:hAnsiTheme="majorHAnsi" w:cstheme="majorHAnsi"/>
              </w:rPr>
              <w:t>animación cardiopulmonar propio)</w:t>
            </w:r>
          </w:p>
        </w:tc>
        <w:tc>
          <w:tcPr>
            <w:tcW w:w="1134" w:type="dxa"/>
            <w:vAlign w:val="center"/>
          </w:tcPr>
          <w:p w14:paraId="4FD9E2C2" w14:textId="7614F0DA"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137,9</w:t>
            </w:r>
            <w:r>
              <w:rPr>
                <w:rFonts w:asciiTheme="majorHAnsi" w:hAnsiTheme="majorHAnsi" w:cstheme="majorHAnsi"/>
              </w:rPr>
              <w:t>0€</w:t>
            </w:r>
          </w:p>
        </w:tc>
        <w:tc>
          <w:tcPr>
            <w:tcW w:w="1417" w:type="dxa"/>
            <w:vMerge/>
            <w:vAlign w:val="center"/>
          </w:tcPr>
          <w:p w14:paraId="74DD050A" w14:textId="77777777" w:rsidR="007A654B" w:rsidRPr="0025653C" w:rsidRDefault="007A654B" w:rsidP="007A654B">
            <w:pPr>
              <w:jc w:val="center"/>
              <w:rPr>
                <w:rFonts w:asciiTheme="majorHAnsi" w:hAnsiTheme="majorHAnsi" w:cstheme="majorHAnsi"/>
              </w:rPr>
            </w:pPr>
          </w:p>
        </w:tc>
        <w:tc>
          <w:tcPr>
            <w:tcW w:w="1512" w:type="dxa"/>
            <w:vAlign w:val="center"/>
          </w:tcPr>
          <w:p w14:paraId="5E17454B" w14:textId="31233713" w:rsidR="007A654B" w:rsidRPr="0025653C" w:rsidRDefault="007A654B" w:rsidP="007A654B">
            <w:pPr>
              <w:ind w:left="-2"/>
              <w:jc w:val="center"/>
              <w:rPr>
                <w:rFonts w:asciiTheme="majorHAnsi" w:hAnsiTheme="majorHAnsi" w:cstheme="majorHAnsi"/>
              </w:rPr>
            </w:pPr>
            <w:r w:rsidRPr="0025653C">
              <w:rPr>
                <w:rFonts w:asciiTheme="majorHAnsi" w:hAnsiTheme="majorHAnsi" w:cstheme="majorHAnsi"/>
              </w:rPr>
              <w:t>141,</w:t>
            </w:r>
            <w:r>
              <w:rPr>
                <w:rFonts w:asciiTheme="majorHAnsi" w:hAnsiTheme="majorHAnsi" w:cstheme="majorHAnsi"/>
              </w:rPr>
              <w:t>62</w:t>
            </w:r>
            <w:r w:rsidRPr="0025653C">
              <w:rPr>
                <w:rFonts w:asciiTheme="majorHAnsi" w:hAnsiTheme="majorHAnsi" w:cstheme="majorHAnsi"/>
              </w:rPr>
              <w:t>€</w:t>
            </w:r>
          </w:p>
        </w:tc>
      </w:tr>
      <w:tr w:rsidR="007A654B" w:rsidRPr="0025653C" w14:paraId="4DE3C0B1" w14:textId="77777777" w:rsidTr="007A654B">
        <w:tc>
          <w:tcPr>
            <w:tcW w:w="1560" w:type="dxa"/>
            <w:vAlign w:val="center"/>
          </w:tcPr>
          <w:p w14:paraId="29614F4C" w14:textId="71A76898" w:rsidR="007A654B" w:rsidRPr="0025653C" w:rsidRDefault="007A654B" w:rsidP="00B57DD4">
            <w:pPr>
              <w:ind w:right="-28"/>
              <w:rPr>
                <w:rFonts w:asciiTheme="majorHAnsi" w:hAnsiTheme="majorHAnsi" w:cstheme="majorHAnsi"/>
              </w:rPr>
            </w:pPr>
            <w:r w:rsidRPr="00D611ED">
              <w:rPr>
                <w:rFonts w:asciiTheme="majorHAnsi" w:hAnsiTheme="majorHAnsi" w:cstheme="majorHAnsi"/>
              </w:rPr>
              <w:t>Ceuta y Melilla</w:t>
            </w:r>
            <w:r>
              <w:rPr>
                <w:rFonts w:asciiTheme="majorHAnsi" w:hAnsiTheme="majorHAnsi" w:cstheme="majorHAnsi"/>
              </w:rPr>
              <w:fldChar w:fldCharType="begin" w:fldLock="1"/>
            </w:r>
            <w:r w:rsidR="00B57DD4">
              <w:rPr>
                <w:rFonts w:asciiTheme="majorHAnsi" w:hAnsiTheme="majorHAnsi" w:cstheme="majorHAnsi"/>
              </w:rPr>
              <w:instrText>ADDIN CSL_CITATION {"citationItems":[{"id":"ITEM-1","itemData":{"ISBN":"0212-033X","ISSN":"0212-033X","URL":"http://www.boe.es","abstract":"Núm. 144 Miércoles 17 de junio de 2015 Sec. I. Pág. 50319 I. DISPOSICIONES GENERALES MINISTERIO DE EDUCACIÓN, CULTURA Y DEPORTE 6705 Real Decreto 415/2015, de 29 de mayo, por el que se modifica el Real Decreto 1312/2007, de 5 de octubre, por el que se establece la acreditación nacional para el acceso a los cuerpos docentes universitarios. Los procedimientos de evaluación dirigidos a obtener la acreditación necesaria para poder acceder a los cuerpos docentes universitarios tienen como objetivo que las universidades puedan seleccionar a los mejores profesionales, con vocación de servicio público, para la docencia e investigación en la Universidad. Con este real decreto se pretende llevar a cabo una simplificación normativa y una mejora regulatoria de los procedimientos de acreditación del profesorado universitario; también se busca garantizar mayor objetividad y transparencia en la acreditación del personal docente universitario, así como potenciar el uso de las tecnologías de la información y de la comunicación en dichos procedimientos. La Ley Orgánica 4/2007, de 12 de abril, por la que se modifica la Ley Orgánica 6/2001, de 21 de diciembre, de Universidades, estructura el personal docente universitario en dos cuerpos de funcionarios, el de Catedráticos de Universidad y el de Profesores Titulares de Universidad. Junto a ello, estableció un nuevo modelo de acreditación del profesorado, en el que, a diferencia de la habilitación hasta entonces vigente, se eliminó la oferta de un número de plazas previamente delimitadas. El Real Decreto 1312/2007, de 5 de octubre, por el que se establece la acreditación nacional para el acceso a los cuerpos docentes universitarios, desarrolla este segundo elemento, inspirado en la tradición académica de la evaluación por pares. La presente modificación del sistema de acreditación nacional para el acceso a los cuerpos docentes universitarios es resultado de la experiencia acumulada por la Agencia Nacional de Evaluación de la Calidad y Acreditación (ANECA) durante los 6 años de vigencia del sistema de acreditación. Partiendo de dicha experiencia, y de los aspectos susceptibles de mejora, se plantean los cambios que recoge esta norma, siguiendo además el modelo de otros países de nuestro entorno. La primera novedad que se introduce consiste en la supresión del concepto de acreditación universal, conforme al cual los interesados, independientemente de la rama de conocimiento por la que hubieran decidido ser evaluados, resultaba…","accessed":{"date-parts":[["2021","1","17"]]},"id":"ITEM-1","issued":{"date-parts":[["2013"]]},"title":"Resolución de 19 de julio de 2013, del Instituto Nacional de Gestión Sanitaria, sobre revisión de precios a aplicar por los centros sanitarios del Instituto Nacional de Gestión Sanitaria en Ceuta y Melilla, por las asistencias.","type":"webpage"},"uris":["http://www.mendeley.com/documents/?uuid=c32b6685-ef3c-41fb-8c35-0734faa95c7e"]}],"mendeley":{"formattedCitation":"&lt;sup&gt;28&lt;/sup&gt;","plainTextFormattedCitation":"28","previouslyFormattedCitation":"&lt;sup&gt;28&lt;/sup&gt;"},"properties":{"noteIndex":0},"schema":"https://github.com/citation-style-language/schema/raw/master/csl-citation.json"}</w:instrText>
            </w:r>
            <w:r>
              <w:rPr>
                <w:rFonts w:asciiTheme="majorHAnsi" w:hAnsiTheme="majorHAnsi" w:cstheme="majorHAnsi"/>
              </w:rPr>
              <w:fldChar w:fldCharType="separate"/>
            </w:r>
            <w:r w:rsidR="00B57DD4" w:rsidRPr="00B57DD4">
              <w:rPr>
                <w:rFonts w:asciiTheme="majorHAnsi" w:hAnsiTheme="majorHAnsi" w:cstheme="majorHAnsi"/>
                <w:noProof/>
                <w:vertAlign w:val="superscript"/>
              </w:rPr>
              <w:t>28</w:t>
            </w:r>
            <w:r>
              <w:rPr>
                <w:rFonts w:asciiTheme="majorHAnsi" w:hAnsiTheme="majorHAnsi" w:cstheme="majorHAnsi"/>
              </w:rPr>
              <w:fldChar w:fldCharType="end"/>
            </w:r>
          </w:p>
        </w:tc>
        <w:tc>
          <w:tcPr>
            <w:tcW w:w="5103" w:type="dxa"/>
            <w:gridSpan w:val="2"/>
            <w:vAlign w:val="center"/>
          </w:tcPr>
          <w:p w14:paraId="58DF8B0C" w14:textId="6C350558" w:rsidR="007A654B" w:rsidRPr="0025653C" w:rsidRDefault="007A654B" w:rsidP="007A654B">
            <w:pPr>
              <w:rPr>
                <w:rFonts w:asciiTheme="majorHAnsi" w:hAnsiTheme="majorHAnsi" w:cstheme="majorHAnsi"/>
              </w:rPr>
            </w:pPr>
            <w:r>
              <w:rPr>
                <w:rFonts w:asciiTheme="majorHAnsi" w:hAnsiTheme="majorHAnsi" w:cstheme="majorHAnsi"/>
              </w:rPr>
              <w:t>Hemodiálisis</w:t>
            </w:r>
          </w:p>
        </w:tc>
        <w:tc>
          <w:tcPr>
            <w:tcW w:w="1134" w:type="dxa"/>
            <w:vAlign w:val="center"/>
          </w:tcPr>
          <w:p w14:paraId="12E63815" w14:textId="401732BE" w:rsidR="007A654B" w:rsidRPr="0025653C" w:rsidRDefault="007A654B" w:rsidP="007A654B">
            <w:pPr>
              <w:ind w:left="-108"/>
              <w:jc w:val="center"/>
              <w:rPr>
                <w:rFonts w:asciiTheme="majorHAnsi" w:hAnsiTheme="majorHAnsi" w:cstheme="majorHAnsi"/>
              </w:rPr>
            </w:pPr>
            <w:r w:rsidRPr="0025653C">
              <w:rPr>
                <w:rFonts w:asciiTheme="majorHAnsi" w:hAnsiTheme="majorHAnsi" w:cstheme="majorHAnsi"/>
              </w:rPr>
              <w:t>257,66</w:t>
            </w:r>
            <w:r>
              <w:rPr>
                <w:rFonts w:asciiTheme="majorHAnsi" w:hAnsiTheme="majorHAnsi" w:cstheme="majorHAnsi"/>
              </w:rPr>
              <w:t>€</w:t>
            </w:r>
          </w:p>
        </w:tc>
        <w:tc>
          <w:tcPr>
            <w:tcW w:w="1417" w:type="dxa"/>
            <w:vAlign w:val="center"/>
          </w:tcPr>
          <w:p w14:paraId="2502469C" w14:textId="77777777" w:rsidR="007A654B" w:rsidRPr="0025653C" w:rsidRDefault="007A654B" w:rsidP="007A654B">
            <w:pPr>
              <w:jc w:val="center"/>
              <w:rPr>
                <w:rFonts w:asciiTheme="majorHAnsi" w:hAnsiTheme="majorHAnsi" w:cstheme="majorHAnsi"/>
              </w:rPr>
            </w:pPr>
            <w:r w:rsidRPr="0025653C">
              <w:rPr>
                <w:rFonts w:asciiTheme="majorHAnsi" w:hAnsiTheme="majorHAnsi" w:cstheme="majorHAnsi"/>
              </w:rPr>
              <w:t>Julio 2013</w:t>
            </w:r>
          </w:p>
        </w:tc>
        <w:tc>
          <w:tcPr>
            <w:tcW w:w="1512" w:type="dxa"/>
            <w:vAlign w:val="center"/>
          </w:tcPr>
          <w:p w14:paraId="635BA55D" w14:textId="0B6F64F5" w:rsidR="007A654B" w:rsidRPr="0025653C" w:rsidRDefault="007A654B" w:rsidP="007A654B">
            <w:pPr>
              <w:ind w:left="-2"/>
              <w:jc w:val="center"/>
              <w:rPr>
                <w:rFonts w:asciiTheme="majorHAnsi" w:hAnsiTheme="majorHAnsi" w:cstheme="majorHAnsi"/>
              </w:rPr>
            </w:pPr>
            <w:r>
              <w:rPr>
                <w:rFonts w:asciiTheme="majorHAnsi" w:hAnsiTheme="majorHAnsi" w:cstheme="majorHAnsi"/>
              </w:rPr>
              <w:t>268</w:t>
            </w:r>
            <w:r w:rsidRPr="0025653C">
              <w:rPr>
                <w:rFonts w:asciiTheme="majorHAnsi" w:hAnsiTheme="majorHAnsi" w:cstheme="majorHAnsi"/>
              </w:rPr>
              <w:t>,</w:t>
            </w:r>
            <w:r>
              <w:rPr>
                <w:rFonts w:asciiTheme="majorHAnsi" w:hAnsiTheme="majorHAnsi" w:cstheme="majorHAnsi"/>
              </w:rPr>
              <w:t>48</w:t>
            </w:r>
            <w:r w:rsidRPr="0025653C">
              <w:rPr>
                <w:rFonts w:asciiTheme="majorHAnsi" w:hAnsiTheme="majorHAnsi" w:cstheme="majorHAnsi"/>
              </w:rPr>
              <w:t>€</w:t>
            </w:r>
          </w:p>
        </w:tc>
      </w:tr>
    </w:tbl>
    <w:p w14:paraId="40583582" w14:textId="77777777" w:rsidR="00E269CA" w:rsidRDefault="003B6D44" w:rsidP="007A654B">
      <w:pPr>
        <w:spacing w:after="0" w:line="240" w:lineRule="auto"/>
        <w:ind w:left="284" w:right="-851"/>
        <w:jc w:val="both"/>
        <w:rPr>
          <w:rFonts w:asciiTheme="majorHAnsi" w:hAnsiTheme="majorHAnsi" w:cstheme="majorHAnsi"/>
          <w:sz w:val="20"/>
        </w:rPr>
      </w:pPr>
      <w:r>
        <w:rPr>
          <w:rFonts w:asciiTheme="majorHAnsi" w:hAnsiTheme="majorHAnsi" w:cstheme="majorHAnsi"/>
        </w:rPr>
        <w:t>*</w:t>
      </w:r>
      <w:r w:rsidRPr="00F276F8">
        <w:rPr>
          <w:rFonts w:asciiTheme="majorHAnsi" w:hAnsiTheme="majorHAnsi" w:cstheme="majorHAnsi"/>
          <w:sz w:val="20"/>
        </w:rPr>
        <w:t>El precio de las tari</w:t>
      </w:r>
      <w:r w:rsidR="00817A76" w:rsidRPr="00F276F8">
        <w:rPr>
          <w:rFonts w:asciiTheme="majorHAnsi" w:hAnsiTheme="majorHAnsi" w:cstheme="majorHAnsi"/>
          <w:sz w:val="20"/>
        </w:rPr>
        <w:t>f</w:t>
      </w:r>
      <w:r w:rsidRPr="00F276F8">
        <w:rPr>
          <w:rFonts w:asciiTheme="majorHAnsi" w:hAnsiTheme="majorHAnsi" w:cstheme="majorHAnsi"/>
          <w:sz w:val="20"/>
        </w:rPr>
        <w:t xml:space="preserve">as públicas fueron actualizadas al </w:t>
      </w:r>
      <w:r w:rsidR="00EF3410" w:rsidRPr="00F276F8">
        <w:rPr>
          <w:rFonts w:asciiTheme="majorHAnsi" w:hAnsiTheme="majorHAnsi" w:cstheme="majorHAnsi"/>
          <w:sz w:val="20"/>
        </w:rPr>
        <w:t xml:space="preserve">enero del </w:t>
      </w:r>
      <w:r w:rsidRPr="00F276F8">
        <w:rPr>
          <w:rFonts w:asciiTheme="majorHAnsi" w:hAnsiTheme="majorHAnsi" w:cstheme="majorHAnsi"/>
          <w:sz w:val="20"/>
        </w:rPr>
        <w:t>año 20</w:t>
      </w:r>
      <w:r w:rsidR="00BB1639" w:rsidRPr="00F276F8">
        <w:rPr>
          <w:rFonts w:asciiTheme="majorHAnsi" w:hAnsiTheme="majorHAnsi" w:cstheme="majorHAnsi"/>
          <w:sz w:val="20"/>
        </w:rPr>
        <w:t>20 según el Índice de Precios al Consumo, disponible en https://www.ine.es/calcula/</w:t>
      </w:r>
      <w:r w:rsidRPr="00F276F8">
        <w:rPr>
          <w:rFonts w:asciiTheme="majorHAnsi" w:hAnsiTheme="majorHAnsi" w:cstheme="majorHAnsi"/>
          <w:sz w:val="20"/>
        </w:rPr>
        <w:t xml:space="preserve">. </w:t>
      </w:r>
    </w:p>
    <w:p w14:paraId="0959FD84" w14:textId="256FA795" w:rsidR="00E269CA" w:rsidRDefault="00E269CA" w:rsidP="007A654B">
      <w:pPr>
        <w:spacing w:after="0" w:line="240" w:lineRule="auto"/>
        <w:ind w:left="284" w:right="-851"/>
        <w:jc w:val="both"/>
        <w:rPr>
          <w:rFonts w:asciiTheme="majorHAnsi" w:hAnsiTheme="majorHAnsi" w:cstheme="majorHAnsi"/>
          <w:sz w:val="20"/>
        </w:rPr>
      </w:pPr>
      <w:r>
        <w:rPr>
          <w:rFonts w:asciiTheme="majorHAnsi" w:hAnsiTheme="majorHAnsi" w:cstheme="majorHAnsi"/>
          <w:sz w:val="20"/>
        </w:rPr>
        <w:t xml:space="preserve">Muface: </w:t>
      </w:r>
      <w:r w:rsidRPr="00E269CA">
        <w:rPr>
          <w:rFonts w:asciiTheme="majorHAnsi" w:hAnsiTheme="majorHAnsi" w:cstheme="majorHAnsi"/>
          <w:sz w:val="20"/>
        </w:rPr>
        <w:t>La Mutualidad General de Funcionarios Civiles del Estado de España</w:t>
      </w:r>
      <w:r w:rsidR="007A654B">
        <w:rPr>
          <w:rFonts w:asciiTheme="majorHAnsi" w:hAnsiTheme="majorHAnsi" w:cstheme="majorHAnsi"/>
          <w:sz w:val="20"/>
        </w:rPr>
        <w:t>.</w:t>
      </w:r>
    </w:p>
    <w:p w14:paraId="477CC21D" w14:textId="0E0DB444" w:rsidR="007A654B" w:rsidRDefault="007A654B" w:rsidP="007A654B">
      <w:pPr>
        <w:spacing w:after="0" w:line="240" w:lineRule="auto"/>
        <w:ind w:left="284" w:right="-851"/>
        <w:jc w:val="both"/>
        <w:rPr>
          <w:rFonts w:asciiTheme="majorHAnsi" w:hAnsiTheme="majorHAnsi" w:cstheme="majorHAnsi"/>
          <w:sz w:val="20"/>
        </w:rPr>
      </w:pPr>
      <w:r>
        <w:rPr>
          <w:rFonts w:asciiTheme="majorHAnsi" w:hAnsiTheme="majorHAnsi" w:cstheme="majorHAnsi"/>
          <w:sz w:val="20"/>
        </w:rPr>
        <w:t>ISFAS: I</w:t>
      </w:r>
      <w:r w:rsidRPr="007A654B">
        <w:rPr>
          <w:rFonts w:asciiTheme="majorHAnsi" w:hAnsiTheme="majorHAnsi" w:cstheme="majorHAnsi"/>
          <w:sz w:val="20"/>
        </w:rPr>
        <w:t xml:space="preserve">nstituto </w:t>
      </w:r>
      <w:r>
        <w:rPr>
          <w:rFonts w:asciiTheme="majorHAnsi" w:hAnsiTheme="majorHAnsi" w:cstheme="majorHAnsi"/>
          <w:sz w:val="20"/>
        </w:rPr>
        <w:t>S</w:t>
      </w:r>
      <w:r w:rsidRPr="007A654B">
        <w:rPr>
          <w:rFonts w:asciiTheme="majorHAnsi" w:hAnsiTheme="majorHAnsi" w:cstheme="majorHAnsi"/>
          <w:sz w:val="20"/>
        </w:rPr>
        <w:t xml:space="preserve">ocial de las </w:t>
      </w:r>
      <w:r>
        <w:rPr>
          <w:rFonts w:asciiTheme="majorHAnsi" w:hAnsiTheme="majorHAnsi" w:cstheme="majorHAnsi"/>
          <w:sz w:val="20"/>
        </w:rPr>
        <w:t>F</w:t>
      </w:r>
      <w:r w:rsidRPr="007A654B">
        <w:rPr>
          <w:rFonts w:asciiTheme="majorHAnsi" w:hAnsiTheme="majorHAnsi" w:cstheme="majorHAnsi"/>
          <w:sz w:val="20"/>
        </w:rPr>
        <w:t xml:space="preserve">uerzas </w:t>
      </w:r>
      <w:r>
        <w:rPr>
          <w:rFonts w:asciiTheme="majorHAnsi" w:hAnsiTheme="majorHAnsi" w:cstheme="majorHAnsi"/>
          <w:sz w:val="20"/>
        </w:rPr>
        <w:t>A</w:t>
      </w:r>
      <w:r w:rsidRPr="007A654B">
        <w:rPr>
          <w:rFonts w:asciiTheme="majorHAnsi" w:hAnsiTheme="majorHAnsi" w:cstheme="majorHAnsi"/>
          <w:sz w:val="20"/>
        </w:rPr>
        <w:t>rmadas</w:t>
      </w:r>
    </w:p>
    <w:p w14:paraId="3EC95883" w14:textId="77777777" w:rsidR="006D33DE" w:rsidRDefault="006D33DE" w:rsidP="007A654B">
      <w:pPr>
        <w:spacing w:after="0" w:line="240" w:lineRule="auto"/>
        <w:ind w:left="284" w:right="-851"/>
        <w:jc w:val="both"/>
        <w:rPr>
          <w:rFonts w:asciiTheme="majorHAnsi" w:hAnsiTheme="majorHAnsi" w:cstheme="majorHAnsi"/>
          <w:sz w:val="20"/>
        </w:rPr>
      </w:pPr>
    </w:p>
    <w:p w14:paraId="604D4301" w14:textId="77777777" w:rsidR="00240D36" w:rsidRDefault="00240D36" w:rsidP="00E269CA">
      <w:pPr>
        <w:ind w:left="284" w:right="-852"/>
        <w:jc w:val="both"/>
        <w:rPr>
          <w:rFonts w:asciiTheme="majorHAnsi" w:hAnsiTheme="majorHAnsi" w:cstheme="majorHAnsi"/>
        </w:rPr>
        <w:sectPr w:rsidR="00240D36" w:rsidSect="00062BE9">
          <w:pgSz w:w="11906" w:h="16838"/>
          <w:pgMar w:top="536" w:right="1701" w:bottom="567" w:left="567" w:header="708" w:footer="708" w:gutter="0"/>
          <w:cols w:space="708"/>
          <w:docGrid w:linePitch="360"/>
        </w:sectPr>
      </w:pPr>
    </w:p>
    <w:p w14:paraId="4E802957" w14:textId="0F105615" w:rsidR="003B6D44" w:rsidRDefault="003B6D44" w:rsidP="00E269CA">
      <w:pPr>
        <w:ind w:left="284" w:right="-852"/>
        <w:jc w:val="both"/>
        <w:rPr>
          <w:rFonts w:asciiTheme="majorHAnsi" w:hAnsiTheme="majorHAnsi" w:cstheme="majorHAnsi"/>
        </w:rPr>
      </w:pPr>
    </w:p>
    <w:p w14:paraId="0F3F05E4" w14:textId="77777777" w:rsidR="00240D36" w:rsidRPr="00FF47F5" w:rsidRDefault="00240D36" w:rsidP="00240D36">
      <w:pPr>
        <w:spacing w:after="0"/>
        <w:rPr>
          <w:rFonts w:asciiTheme="majorHAnsi" w:hAnsiTheme="majorHAnsi" w:cstheme="majorHAnsi"/>
        </w:rPr>
      </w:pPr>
    </w:p>
    <w:p w14:paraId="7FD1C674" w14:textId="77777777" w:rsidR="00240D36" w:rsidRPr="00D611ED" w:rsidRDefault="00240D36" w:rsidP="00240D36">
      <w:pPr>
        <w:spacing w:after="0" w:line="360" w:lineRule="auto"/>
        <w:ind w:firstLine="567"/>
        <w:rPr>
          <w:rFonts w:asciiTheme="majorHAnsi" w:hAnsiTheme="majorHAnsi" w:cstheme="majorHAnsi"/>
          <w:b/>
          <w:sz w:val="20"/>
          <w:szCs w:val="20"/>
        </w:rPr>
      </w:pPr>
      <w:r w:rsidRPr="00D611ED">
        <w:rPr>
          <w:rFonts w:asciiTheme="majorHAnsi" w:hAnsiTheme="majorHAnsi" w:cstheme="majorHAnsi"/>
          <w:b/>
          <w:sz w:val="20"/>
          <w:szCs w:val="20"/>
        </w:rPr>
        <w:t>A</w:t>
      </w:r>
      <w:r>
        <w:rPr>
          <w:rFonts w:asciiTheme="majorHAnsi" w:hAnsiTheme="majorHAnsi" w:cstheme="majorHAnsi"/>
          <w:b/>
          <w:sz w:val="20"/>
          <w:szCs w:val="20"/>
        </w:rPr>
        <w:t>nexo 1</w:t>
      </w:r>
      <w:r w:rsidRPr="00D611ED">
        <w:rPr>
          <w:rFonts w:asciiTheme="majorHAnsi" w:hAnsiTheme="majorHAnsi" w:cstheme="majorHAnsi"/>
          <w:sz w:val="20"/>
          <w:szCs w:val="20"/>
        </w:rPr>
        <w:t xml:space="preserve">: Etapas de investigación y métodos para la revisión </w:t>
      </w:r>
      <w:r>
        <w:rPr>
          <w:rFonts w:asciiTheme="majorHAnsi" w:hAnsiTheme="majorHAnsi" w:cstheme="majorHAnsi"/>
          <w:sz w:val="20"/>
          <w:szCs w:val="20"/>
        </w:rPr>
        <w:t>de alcance</w:t>
      </w:r>
      <w:r w:rsidRPr="00D611ED">
        <w:rPr>
          <w:rFonts w:asciiTheme="majorHAnsi" w:hAnsiTheme="majorHAnsi" w:cstheme="majorHAnsi"/>
          <w:sz w:val="20"/>
          <w:szCs w:val="20"/>
        </w:rPr>
        <w:t>.</w:t>
      </w: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946"/>
        <w:gridCol w:w="1559"/>
      </w:tblGrid>
      <w:tr w:rsidR="00240D36" w:rsidRPr="00C3498E" w14:paraId="27372E71" w14:textId="77777777" w:rsidTr="00240D36">
        <w:tc>
          <w:tcPr>
            <w:tcW w:w="1560" w:type="dxa"/>
            <w:shd w:val="clear" w:color="auto" w:fill="auto"/>
          </w:tcPr>
          <w:p w14:paraId="2DB74D0C" w14:textId="77777777" w:rsidR="00240D36" w:rsidRPr="00D611ED" w:rsidRDefault="00240D36" w:rsidP="005720C5">
            <w:pPr>
              <w:tabs>
                <w:tab w:val="left" w:pos="233"/>
              </w:tabs>
              <w:spacing w:after="0" w:line="240" w:lineRule="auto"/>
              <w:jc w:val="center"/>
              <w:rPr>
                <w:rFonts w:asciiTheme="majorHAnsi" w:hAnsiTheme="majorHAnsi" w:cstheme="majorHAnsi"/>
                <w:b/>
                <w:sz w:val="20"/>
                <w:szCs w:val="20"/>
              </w:rPr>
            </w:pPr>
            <w:r w:rsidRPr="00D611ED">
              <w:rPr>
                <w:rFonts w:asciiTheme="majorHAnsi" w:hAnsiTheme="majorHAnsi" w:cstheme="majorHAnsi"/>
                <w:b/>
                <w:sz w:val="20"/>
                <w:szCs w:val="20"/>
              </w:rPr>
              <w:t>Paso</w:t>
            </w:r>
          </w:p>
        </w:tc>
        <w:tc>
          <w:tcPr>
            <w:tcW w:w="6946" w:type="dxa"/>
            <w:shd w:val="clear" w:color="auto" w:fill="auto"/>
          </w:tcPr>
          <w:p w14:paraId="6C139767" w14:textId="77777777" w:rsidR="00240D36" w:rsidRPr="00D611ED" w:rsidRDefault="00240D36" w:rsidP="005720C5">
            <w:pPr>
              <w:spacing w:after="0" w:line="240" w:lineRule="auto"/>
              <w:jc w:val="center"/>
              <w:rPr>
                <w:rFonts w:asciiTheme="majorHAnsi" w:hAnsiTheme="majorHAnsi" w:cstheme="majorHAnsi"/>
                <w:b/>
                <w:sz w:val="20"/>
                <w:szCs w:val="20"/>
              </w:rPr>
            </w:pPr>
            <w:r w:rsidRPr="00D611ED">
              <w:rPr>
                <w:rFonts w:asciiTheme="majorHAnsi" w:hAnsiTheme="majorHAnsi" w:cstheme="majorHAnsi"/>
                <w:b/>
                <w:sz w:val="20"/>
                <w:szCs w:val="20"/>
              </w:rPr>
              <w:t>Actividades</w:t>
            </w:r>
          </w:p>
        </w:tc>
        <w:tc>
          <w:tcPr>
            <w:tcW w:w="1559" w:type="dxa"/>
            <w:shd w:val="clear" w:color="auto" w:fill="auto"/>
          </w:tcPr>
          <w:p w14:paraId="46A446A6" w14:textId="77777777" w:rsidR="00240D36" w:rsidRPr="00D611ED" w:rsidRDefault="00240D36" w:rsidP="005720C5">
            <w:pPr>
              <w:spacing w:after="0" w:line="240" w:lineRule="auto"/>
              <w:jc w:val="center"/>
              <w:rPr>
                <w:rFonts w:asciiTheme="majorHAnsi" w:hAnsiTheme="majorHAnsi" w:cstheme="majorHAnsi"/>
                <w:b/>
                <w:sz w:val="20"/>
                <w:szCs w:val="20"/>
              </w:rPr>
            </w:pPr>
            <w:r w:rsidRPr="00D611ED">
              <w:rPr>
                <w:rFonts w:asciiTheme="majorHAnsi" w:hAnsiTheme="majorHAnsi" w:cstheme="majorHAnsi"/>
                <w:b/>
                <w:sz w:val="20"/>
                <w:szCs w:val="20"/>
              </w:rPr>
              <w:t xml:space="preserve">Autor responsable </w:t>
            </w:r>
          </w:p>
        </w:tc>
      </w:tr>
      <w:tr w:rsidR="00240D36" w:rsidRPr="000E7A28" w14:paraId="1169A2E7" w14:textId="77777777" w:rsidTr="00240D36">
        <w:tc>
          <w:tcPr>
            <w:tcW w:w="1560" w:type="dxa"/>
            <w:shd w:val="clear" w:color="auto" w:fill="auto"/>
          </w:tcPr>
          <w:p w14:paraId="0AFD5A41" w14:textId="77777777" w:rsidR="00240D36" w:rsidRPr="00D611ED" w:rsidRDefault="00240D36" w:rsidP="00240D36">
            <w:pPr>
              <w:pStyle w:val="Prrafodelista"/>
              <w:numPr>
                <w:ilvl w:val="0"/>
                <w:numId w:val="3"/>
              </w:numPr>
              <w:tabs>
                <w:tab w:val="left" w:pos="233"/>
              </w:tabs>
              <w:spacing w:after="0" w:line="240" w:lineRule="auto"/>
              <w:ind w:left="0" w:firstLine="0"/>
              <w:rPr>
                <w:rFonts w:asciiTheme="majorHAnsi" w:hAnsiTheme="majorHAnsi" w:cstheme="majorHAnsi"/>
                <w:sz w:val="20"/>
                <w:szCs w:val="20"/>
              </w:rPr>
            </w:pPr>
            <w:r w:rsidRPr="00D611ED">
              <w:rPr>
                <w:rFonts w:asciiTheme="majorHAnsi" w:hAnsiTheme="majorHAnsi" w:cstheme="majorHAnsi"/>
                <w:sz w:val="20"/>
                <w:szCs w:val="20"/>
              </w:rPr>
              <w:t>Determinación de la pregunta</w:t>
            </w:r>
          </w:p>
        </w:tc>
        <w:tc>
          <w:tcPr>
            <w:tcW w:w="6946" w:type="dxa"/>
            <w:shd w:val="clear" w:color="auto" w:fill="auto"/>
          </w:tcPr>
          <w:p w14:paraId="347C21BE" w14:textId="77777777" w:rsidR="00240D36" w:rsidRPr="00D611ED" w:rsidRDefault="00240D36" w:rsidP="005720C5">
            <w:pPr>
              <w:spacing w:after="0" w:line="240" w:lineRule="auto"/>
              <w:jc w:val="both"/>
              <w:rPr>
                <w:rFonts w:asciiTheme="majorHAnsi" w:hAnsiTheme="majorHAnsi" w:cstheme="majorHAnsi"/>
                <w:sz w:val="20"/>
                <w:szCs w:val="20"/>
              </w:rPr>
            </w:pPr>
            <w:r>
              <w:rPr>
                <w:rFonts w:asciiTheme="majorHAnsi" w:hAnsiTheme="majorHAnsi" w:cstheme="majorHAnsi"/>
                <w:sz w:val="20"/>
                <w:szCs w:val="20"/>
              </w:rPr>
              <w:t>S</w:t>
            </w:r>
            <w:r w:rsidRPr="00D611ED">
              <w:rPr>
                <w:rFonts w:asciiTheme="majorHAnsi" w:hAnsiTheme="majorHAnsi" w:cstheme="majorHAnsi"/>
                <w:sz w:val="20"/>
                <w:szCs w:val="20"/>
              </w:rPr>
              <w:t xml:space="preserve">e celebraron varias reuniones para </w:t>
            </w:r>
            <w:r>
              <w:rPr>
                <w:rFonts w:asciiTheme="majorHAnsi" w:hAnsiTheme="majorHAnsi" w:cstheme="majorHAnsi"/>
                <w:sz w:val="20"/>
                <w:szCs w:val="20"/>
              </w:rPr>
              <w:t>consensuar</w:t>
            </w:r>
            <w:r w:rsidRPr="00D611ED">
              <w:rPr>
                <w:rFonts w:asciiTheme="majorHAnsi" w:hAnsiTheme="majorHAnsi" w:cstheme="majorHAnsi"/>
                <w:sz w:val="20"/>
                <w:szCs w:val="20"/>
              </w:rPr>
              <w:t xml:space="preserve"> </w:t>
            </w:r>
            <w:r>
              <w:rPr>
                <w:rFonts w:asciiTheme="majorHAnsi" w:hAnsiTheme="majorHAnsi" w:cstheme="majorHAnsi"/>
                <w:sz w:val="20"/>
                <w:szCs w:val="20"/>
              </w:rPr>
              <w:t xml:space="preserve">el objetivo y </w:t>
            </w:r>
            <w:r w:rsidRPr="00D611ED">
              <w:rPr>
                <w:rFonts w:asciiTheme="majorHAnsi" w:hAnsiTheme="majorHAnsi" w:cstheme="majorHAnsi"/>
                <w:sz w:val="20"/>
                <w:szCs w:val="20"/>
              </w:rPr>
              <w:t xml:space="preserve">las definiciones de </w:t>
            </w:r>
            <w:r>
              <w:rPr>
                <w:rFonts w:asciiTheme="majorHAnsi" w:hAnsiTheme="majorHAnsi" w:cstheme="majorHAnsi"/>
                <w:sz w:val="20"/>
                <w:szCs w:val="20"/>
              </w:rPr>
              <w:t>l</w:t>
            </w:r>
            <w:r w:rsidRPr="00D611ED">
              <w:rPr>
                <w:rFonts w:asciiTheme="majorHAnsi" w:hAnsiTheme="majorHAnsi" w:cstheme="majorHAnsi"/>
                <w:sz w:val="20"/>
                <w:szCs w:val="20"/>
              </w:rPr>
              <w:t xml:space="preserve">a revisión. </w:t>
            </w:r>
            <w:r>
              <w:rPr>
                <w:rFonts w:asciiTheme="majorHAnsi" w:hAnsiTheme="majorHAnsi" w:cstheme="majorHAnsi"/>
                <w:sz w:val="20"/>
                <w:szCs w:val="20"/>
              </w:rPr>
              <w:t>Se realizaron varias consultas bibliográficas para la</w:t>
            </w:r>
            <w:r w:rsidRPr="00D611ED">
              <w:rPr>
                <w:rFonts w:asciiTheme="majorHAnsi" w:hAnsiTheme="majorHAnsi" w:cstheme="majorHAnsi"/>
                <w:sz w:val="20"/>
                <w:szCs w:val="20"/>
              </w:rPr>
              <w:t xml:space="preserve"> identificaron </w:t>
            </w:r>
            <w:r>
              <w:rPr>
                <w:rFonts w:asciiTheme="majorHAnsi" w:hAnsiTheme="majorHAnsi" w:cstheme="majorHAnsi"/>
                <w:sz w:val="20"/>
                <w:szCs w:val="20"/>
              </w:rPr>
              <w:t xml:space="preserve">de </w:t>
            </w:r>
            <w:r w:rsidRPr="00D611ED">
              <w:rPr>
                <w:rFonts w:asciiTheme="majorHAnsi" w:hAnsiTheme="majorHAnsi" w:cstheme="majorHAnsi"/>
                <w:sz w:val="20"/>
                <w:szCs w:val="20"/>
              </w:rPr>
              <w:t xml:space="preserve">términos clave. </w:t>
            </w:r>
            <w:r>
              <w:rPr>
                <w:rFonts w:asciiTheme="majorHAnsi" w:hAnsiTheme="majorHAnsi" w:cstheme="majorHAnsi"/>
                <w:sz w:val="20"/>
                <w:szCs w:val="20"/>
              </w:rPr>
              <w:t>T</w:t>
            </w:r>
            <w:r w:rsidRPr="00D611ED">
              <w:rPr>
                <w:rFonts w:asciiTheme="majorHAnsi" w:hAnsiTheme="majorHAnsi" w:cstheme="majorHAnsi"/>
                <w:sz w:val="20"/>
                <w:szCs w:val="20"/>
              </w:rPr>
              <w:t>eniendo en cuenta los resultados de búsqueda y los objetivos de</w:t>
            </w:r>
            <w:r>
              <w:rPr>
                <w:rFonts w:asciiTheme="majorHAnsi" w:hAnsiTheme="majorHAnsi" w:cstheme="majorHAnsi"/>
                <w:sz w:val="20"/>
                <w:szCs w:val="20"/>
              </w:rPr>
              <w:t>l</w:t>
            </w:r>
            <w:r w:rsidRPr="00D611ED">
              <w:rPr>
                <w:rFonts w:asciiTheme="majorHAnsi" w:hAnsiTheme="majorHAnsi" w:cstheme="majorHAnsi"/>
                <w:sz w:val="20"/>
                <w:szCs w:val="20"/>
              </w:rPr>
              <w:t xml:space="preserve"> estudio, </w:t>
            </w:r>
            <w:r>
              <w:rPr>
                <w:rFonts w:asciiTheme="majorHAnsi" w:hAnsiTheme="majorHAnsi" w:cstheme="majorHAnsi"/>
                <w:sz w:val="20"/>
                <w:szCs w:val="20"/>
              </w:rPr>
              <w:t xml:space="preserve">se decidió </w:t>
            </w:r>
            <w:r w:rsidRPr="00D611ED">
              <w:rPr>
                <w:rFonts w:asciiTheme="majorHAnsi" w:hAnsiTheme="majorHAnsi" w:cstheme="majorHAnsi"/>
                <w:sz w:val="20"/>
                <w:szCs w:val="20"/>
              </w:rPr>
              <w:t xml:space="preserve">que el método </w:t>
            </w:r>
            <w:r>
              <w:rPr>
                <w:rFonts w:asciiTheme="majorHAnsi" w:hAnsiTheme="majorHAnsi" w:cstheme="majorHAnsi"/>
                <w:sz w:val="20"/>
                <w:szCs w:val="20"/>
              </w:rPr>
              <w:t xml:space="preserve">más apropiado para la síntesis de la evidencia </w:t>
            </w:r>
            <w:r w:rsidRPr="00D611ED">
              <w:rPr>
                <w:rFonts w:asciiTheme="majorHAnsi" w:hAnsiTheme="majorHAnsi" w:cstheme="majorHAnsi"/>
                <w:sz w:val="20"/>
                <w:szCs w:val="20"/>
              </w:rPr>
              <w:t xml:space="preserve">era </w:t>
            </w:r>
            <w:r>
              <w:rPr>
                <w:rFonts w:asciiTheme="majorHAnsi" w:hAnsiTheme="majorHAnsi" w:cstheme="majorHAnsi"/>
                <w:sz w:val="20"/>
                <w:szCs w:val="20"/>
              </w:rPr>
              <w:t xml:space="preserve">la </w:t>
            </w:r>
            <w:r w:rsidRPr="00D611ED">
              <w:rPr>
                <w:rFonts w:asciiTheme="majorHAnsi" w:hAnsiTheme="majorHAnsi" w:cstheme="majorHAnsi"/>
                <w:sz w:val="20"/>
                <w:szCs w:val="20"/>
              </w:rPr>
              <w:t xml:space="preserve">revisión </w:t>
            </w:r>
            <w:r>
              <w:rPr>
                <w:rFonts w:asciiTheme="majorHAnsi" w:hAnsiTheme="majorHAnsi" w:cstheme="majorHAnsi"/>
                <w:sz w:val="20"/>
                <w:szCs w:val="20"/>
              </w:rPr>
              <w:t>de alcance</w:t>
            </w:r>
            <w:r w:rsidRPr="00D611ED">
              <w:rPr>
                <w:rFonts w:asciiTheme="majorHAnsi" w:hAnsiTheme="majorHAnsi" w:cstheme="majorHAnsi"/>
                <w:sz w:val="20"/>
                <w:szCs w:val="20"/>
              </w:rPr>
              <w:t>.</w:t>
            </w:r>
          </w:p>
        </w:tc>
        <w:tc>
          <w:tcPr>
            <w:tcW w:w="1559" w:type="dxa"/>
            <w:shd w:val="clear" w:color="auto" w:fill="auto"/>
          </w:tcPr>
          <w:p w14:paraId="19273D5C" w14:textId="77777777" w:rsidR="00240D36" w:rsidRPr="000E7A28" w:rsidRDefault="00240D36" w:rsidP="005720C5">
            <w:pPr>
              <w:spacing w:after="0" w:line="240" w:lineRule="auto"/>
              <w:rPr>
                <w:rFonts w:asciiTheme="majorHAnsi" w:hAnsiTheme="majorHAnsi" w:cstheme="majorHAnsi"/>
                <w:sz w:val="20"/>
                <w:szCs w:val="20"/>
              </w:rPr>
            </w:pPr>
            <w:r w:rsidRPr="000E7A28">
              <w:rPr>
                <w:rFonts w:asciiTheme="majorHAnsi" w:hAnsiTheme="majorHAnsi" w:cstheme="majorHAnsi"/>
                <w:sz w:val="20"/>
                <w:szCs w:val="20"/>
              </w:rPr>
              <w:t xml:space="preserve">AOL, MPV </w:t>
            </w:r>
            <w:r>
              <w:rPr>
                <w:rFonts w:asciiTheme="majorHAnsi" w:hAnsiTheme="majorHAnsi" w:cstheme="majorHAnsi"/>
                <w:sz w:val="20"/>
                <w:szCs w:val="20"/>
              </w:rPr>
              <w:t>y</w:t>
            </w:r>
            <w:r w:rsidRPr="000E7A28">
              <w:rPr>
                <w:rFonts w:asciiTheme="majorHAnsi" w:hAnsiTheme="majorHAnsi" w:cstheme="majorHAnsi"/>
                <w:sz w:val="20"/>
                <w:szCs w:val="20"/>
              </w:rPr>
              <w:t xml:space="preserve"> personal independiente</w:t>
            </w:r>
            <w:r w:rsidRPr="000E7A28">
              <w:rPr>
                <w:rFonts w:asciiTheme="majorHAnsi" w:hAnsiTheme="majorHAnsi" w:cstheme="majorHAnsi"/>
                <w:sz w:val="20"/>
                <w:szCs w:val="20"/>
                <w:vertAlign w:val="superscript"/>
              </w:rPr>
              <w:t>*</w:t>
            </w:r>
          </w:p>
        </w:tc>
      </w:tr>
      <w:tr w:rsidR="00240D36" w:rsidRPr="00C3498E" w14:paraId="0FF2A2B7" w14:textId="77777777" w:rsidTr="00240D36">
        <w:tc>
          <w:tcPr>
            <w:tcW w:w="1560" w:type="dxa"/>
            <w:shd w:val="clear" w:color="auto" w:fill="auto"/>
          </w:tcPr>
          <w:p w14:paraId="1C9B3F67" w14:textId="77777777" w:rsidR="00240D36" w:rsidRPr="00D611ED" w:rsidRDefault="00240D36" w:rsidP="00240D36">
            <w:pPr>
              <w:pStyle w:val="Prrafodelista"/>
              <w:numPr>
                <w:ilvl w:val="0"/>
                <w:numId w:val="3"/>
              </w:numPr>
              <w:tabs>
                <w:tab w:val="left" w:pos="233"/>
              </w:tabs>
              <w:spacing w:after="0" w:line="240" w:lineRule="auto"/>
              <w:ind w:left="0" w:firstLine="0"/>
              <w:rPr>
                <w:rFonts w:asciiTheme="majorHAnsi" w:hAnsiTheme="majorHAnsi" w:cstheme="majorHAnsi"/>
                <w:sz w:val="20"/>
                <w:szCs w:val="20"/>
                <w:lang w:val="en-GB"/>
              </w:rPr>
            </w:pPr>
            <w:r w:rsidRPr="00D611ED">
              <w:rPr>
                <w:rFonts w:asciiTheme="majorHAnsi" w:hAnsiTheme="majorHAnsi" w:cstheme="majorHAnsi"/>
                <w:sz w:val="20"/>
                <w:szCs w:val="20"/>
              </w:rPr>
              <w:t>Identificación de estudios relevantes.</w:t>
            </w:r>
          </w:p>
        </w:tc>
        <w:tc>
          <w:tcPr>
            <w:tcW w:w="6946" w:type="dxa"/>
            <w:shd w:val="clear" w:color="auto" w:fill="auto"/>
          </w:tcPr>
          <w:p w14:paraId="0ADC10D6" w14:textId="77777777" w:rsidR="00240D36" w:rsidRPr="00D611ED" w:rsidRDefault="00240D36" w:rsidP="005720C5">
            <w:pPr>
              <w:spacing w:after="0" w:line="240" w:lineRule="auto"/>
              <w:jc w:val="both"/>
              <w:rPr>
                <w:rFonts w:asciiTheme="majorHAnsi" w:hAnsiTheme="majorHAnsi" w:cstheme="majorHAnsi"/>
                <w:sz w:val="20"/>
                <w:szCs w:val="20"/>
              </w:rPr>
            </w:pPr>
            <w:r w:rsidRPr="00D611ED">
              <w:rPr>
                <w:rFonts w:asciiTheme="majorHAnsi" w:hAnsiTheme="majorHAnsi" w:cstheme="majorHAnsi"/>
                <w:sz w:val="20"/>
                <w:szCs w:val="20"/>
              </w:rPr>
              <w:t xml:space="preserve">Los criterios </w:t>
            </w:r>
            <w:r>
              <w:rPr>
                <w:rFonts w:asciiTheme="majorHAnsi" w:hAnsiTheme="majorHAnsi" w:cstheme="majorHAnsi"/>
                <w:sz w:val="20"/>
                <w:szCs w:val="20"/>
              </w:rPr>
              <w:t xml:space="preserve">de </w:t>
            </w:r>
            <w:r w:rsidRPr="00D611ED">
              <w:rPr>
                <w:rFonts w:asciiTheme="majorHAnsi" w:hAnsiTheme="majorHAnsi" w:cstheme="majorHAnsi"/>
                <w:sz w:val="20"/>
                <w:szCs w:val="20"/>
              </w:rPr>
              <w:t>inclu</w:t>
            </w:r>
            <w:r>
              <w:rPr>
                <w:rFonts w:asciiTheme="majorHAnsi" w:hAnsiTheme="majorHAnsi" w:cstheme="majorHAnsi"/>
                <w:sz w:val="20"/>
                <w:szCs w:val="20"/>
              </w:rPr>
              <w:t>sión y ex</w:t>
            </w:r>
            <w:r w:rsidRPr="00D611ED">
              <w:rPr>
                <w:rFonts w:asciiTheme="majorHAnsi" w:hAnsiTheme="majorHAnsi" w:cstheme="majorHAnsi"/>
                <w:sz w:val="20"/>
                <w:szCs w:val="20"/>
              </w:rPr>
              <w:t>clu</w:t>
            </w:r>
            <w:r>
              <w:rPr>
                <w:rFonts w:asciiTheme="majorHAnsi" w:hAnsiTheme="majorHAnsi" w:cstheme="majorHAnsi"/>
                <w:sz w:val="20"/>
                <w:szCs w:val="20"/>
              </w:rPr>
              <w:t xml:space="preserve">sión </w:t>
            </w:r>
            <w:r w:rsidRPr="00D611ED">
              <w:rPr>
                <w:rFonts w:asciiTheme="majorHAnsi" w:hAnsiTheme="majorHAnsi" w:cstheme="majorHAnsi"/>
                <w:sz w:val="20"/>
                <w:szCs w:val="20"/>
              </w:rPr>
              <w:t xml:space="preserve">se desarrollaron y revisaron de forma iterativa. La búsqueda de literatura se complementó con otras bases de datos y literatura gris, y se </w:t>
            </w:r>
            <w:r>
              <w:rPr>
                <w:rFonts w:asciiTheme="majorHAnsi" w:hAnsiTheme="majorHAnsi" w:cstheme="majorHAnsi"/>
                <w:sz w:val="20"/>
                <w:szCs w:val="20"/>
              </w:rPr>
              <w:t>gestionó</w:t>
            </w:r>
            <w:r w:rsidRPr="00D611ED">
              <w:rPr>
                <w:rFonts w:asciiTheme="majorHAnsi" w:hAnsiTheme="majorHAnsi" w:cstheme="majorHAnsi"/>
                <w:sz w:val="20"/>
                <w:szCs w:val="20"/>
              </w:rPr>
              <w:t xml:space="preserve"> con </w:t>
            </w:r>
            <w:r>
              <w:rPr>
                <w:rFonts w:asciiTheme="majorHAnsi" w:hAnsiTheme="majorHAnsi" w:cstheme="majorHAnsi"/>
                <w:sz w:val="20"/>
                <w:szCs w:val="20"/>
              </w:rPr>
              <w:t xml:space="preserve">gestor documental </w:t>
            </w:r>
            <w:r w:rsidRPr="00D611ED">
              <w:rPr>
                <w:rFonts w:asciiTheme="majorHAnsi" w:hAnsiTheme="majorHAnsi" w:cstheme="majorHAnsi"/>
                <w:sz w:val="20"/>
                <w:szCs w:val="20"/>
              </w:rPr>
              <w:t>Mendeley.</w:t>
            </w:r>
          </w:p>
        </w:tc>
        <w:tc>
          <w:tcPr>
            <w:tcW w:w="1559" w:type="dxa"/>
            <w:shd w:val="clear" w:color="auto" w:fill="auto"/>
          </w:tcPr>
          <w:p w14:paraId="377EA0FC" w14:textId="77777777" w:rsidR="00240D36" w:rsidRPr="00D611ED" w:rsidRDefault="00240D36" w:rsidP="005720C5">
            <w:pPr>
              <w:spacing w:after="0" w:line="240" w:lineRule="auto"/>
              <w:rPr>
                <w:rFonts w:asciiTheme="majorHAnsi" w:hAnsiTheme="majorHAnsi" w:cstheme="majorHAnsi"/>
                <w:sz w:val="20"/>
                <w:szCs w:val="20"/>
                <w:lang w:val="en-GB"/>
              </w:rPr>
            </w:pPr>
            <w:r w:rsidRPr="00D611ED">
              <w:rPr>
                <w:rFonts w:asciiTheme="majorHAnsi" w:hAnsiTheme="majorHAnsi" w:cstheme="majorHAnsi"/>
                <w:sz w:val="20"/>
                <w:szCs w:val="20"/>
                <w:lang w:val="en-GB"/>
              </w:rPr>
              <w:t xml:space="preserve">AOL, </w:t>
            </w:r>
            <w:r>
              <w:rPr>
                <w:rFonts w:asciiTheme="majorHAnsi" w:hAnsiTheme="majorHAnsi" w:cstheme="majorHAnsi"/>
                <w:sz w:val="20"/>
                <w:szCs w:val="20"/>
                <w:lang w:val="en-GB"/>
              </w:rPr>
              <w:t>ACM</w:t>
            </w:r>
            <w:r w:rsidRPr="00D611ED">
              <w:rPr>
                <w:rFonts w:asciiTheme="majorHAnsi" w:hAnsiTheme="majorHAnsi" w:cstheme="majorHAnsi"/>
                <w:sz w:val="20"/>
                <w:szCs w:val="20"/>
                <w:lang w:val="en-GB"/>
              </w:rPr>
              <w:t xml:space="preserve"> </w:t>
            </w:r>
            <w:r>
              <w:rPr>
                <w:rFonts w:asciiTheme="majorHAnsi" w:hAnsiTheme="majorHAnsi" w:cstheme="majorHAnsi"/>
                <w:sz w:val="20"/>
                <w:szCs w:val="20"/>
                <w:lang w:val="en-GB"/>
              </w:rPr>
              <w:t>y</w:t>
            </w:r>
            <w:r w:rsidRPr="00D611ED">
              <w:rPr>
                <w:rFonts w:asciiTheme="majorHAnsi" w:hAnsiTheme="majorHAnsi" w:cstheme="majorHAnsi"/>
                <w:sz w:val="20"/>
                <w:szCs w:val="20"/>
                <w:lang w:val="en-GB"/>
              </w:rPr>
              <w:t xml:space="preserve"> </w:t>
            </w:r>
            <w:r>
              <w:rPr>
                <w:rFonts w:asciiTheme="majorHAnsi" w:hAnsiTheme="majorHAnsi" w:cstheme="majorHAnsi"/>
                <w:sz w:val="20"/>
                <w:szCs w:val="20"/>
                <w:lang w:val="en-GB"/>
              </w:rPr>
              <w:t>MdAGV</w:t>
            </w:r>
          </w:p>
        </w:tc>
      </w:tr>
      <w:tr w:rsidR="00240D36" w:rsidRPr="00C3498E" w14:paraId="3DE84229" w14:textId="77777777" w:rsidTr="00240D36">
        <w:tc>
          <w:tcPr>
            <w:tcW w:w="1560" w:type="dxa"/>
            <w:shd w:val="clear" w:color="auto" w:fill="auto"/>
          </w:tcPr>
          <w:p w14:paraId="6A58FEAD" w14:textId="77777777" w:rsidR="00240D36" w:rsidRPr="00D611ED" w:rsidRDefault="00240D36" w:rsidP="00240D36">
            <w:pPr>
              <w:pStyle w:val="Prrafodelista"/>
              <w:numPr>
                <w:ilvl w:val="0"/>
                <w:numId w:val="3"/>
              </w:numPr>
              <w:tabs>
                <w:tab w:val="left" w:pos="233"/>
              </w:tabs>
              <w:spacing w:after="0" w:line="240" w:lineRule="auto"/>
              <w:ind w:left="0" w:firstLine="0"/>
              <w:rPr>
                <w:rFonts w:asciiTheme="majorHAnsi" w:hAnsiTheme="majorHAnsi" w:cstheme="majorHAnsi"/>
                <w:sz w:val="20"/>
                <w:szCs w:val="20"/>
                <w:lang w:val="en-GB"/>
              </w:rPr>
            </w:pPr>
            <w:r w:rsidRPr="00D611ED">
              <w:rPr>
                <w:rFonts w:asciiTheme="majorHAnsi" w:hAnsiTheme="majorHAnsi" w:cstheme="majorHAnsi"/>
                <w:sz w:val="20"/>
                <w:szCs w:val="20"/>
              </w:rPr>
              <w:t>Selección de estudios.</w:t>
            </w:r>
          </w:p>
        </w:tc>
        <w:tc>
          <w:tcPr>
            <w:tcW w:w="6946" w:type="dxa"/>
            <w:shd w:val="clear" w:color="auto" w:fill="auto"/>
          </w:tcPr>
          <w:p w14:paraId="732F1587" w14:textId="77777777" w:rsidR="00240D36" w:rsidRPr="00D611ED" w:rsidRDefault="00240D36" w:rsidP="005720C5">
            <w:pPr>
              <w:spacing w:after="0" w:line="240" w:lineRule="auto"/>
              <w:jc w:val="both"/>
              <w:rPr>
                <w:rFonts w:asciiTheme="majorHAnsi" w:hAnsiTheme="majorHAnsi" w:cstheme="majorHAnsi"/>
                <w:sz w:val="20"/>
                <w:szCs w:val="20"/>
              </w:rPr>
            </w:pPr>
            <w:r w:rsidRPr="00D611ED">
              <w:rPr>
                <w:rFonts w:asciiTheme="majorHAnsi" w:hAnsiTheme="majorHAnsi" w:cstheme="majorHAnsi"/>
                <w:sz w:val="20"/>
                <w:szCs w:val="20"/>
              </w:rPr>
              <w:t xml:space="preserve">Los títulos y los resúmenes se revisaron de forma independiente, teniendo en cuenta los criterios de inclusión y exclusión predeterminados. Luego, se revisó el texto completo de los artículos que eran relevantes para cumplir los objetivos, y cualquier desacuerdo se resolvió </w:t>
            </w:r>
            <w:r>
              <w:rPr>
                <w:rFonts w:asciiTheme="majorHAnsi" w:hAnsiTheme="majorHAnsi" w:cstheme="majorHAnsi"/>
                <w:sz w:val="20"/>
                <w:szCs w:val="20"/>
              </w:rPr>
              <w:t xml:space="preserve">mediante </w:t>
            </w:r>
            <w:r w:rsidRPr="00D611ED">
              <w:rPr>
                <w:rFonts w:asciiTheme="majorHAnsi" w:hAnsiTheme="majorHAnsi" w:cstheme="majorHAnsi"/>
                <w:sz w:val="20"/>
                <w:szCs w:val="20"/>
              </w:rPr>
              <w:t>consenso.</w:t>
            </w:r>
          </w:p>
        </w:tc>
        <w:tc>
          <w:tcPr>
            <w:tcW w:w="1559" w:type="dxa"/>
            <w:shd w:val="clear" w:color="auto" w:fill="auto"/>
          </w:tcPr>
          <w:p w14:paraId="7059BE59" w14:textId="7BD0798D" w:rsidR="00240D36" w:rsidRPr="00D611ED" w:rsidRDefault="00240D36" w:rsidP="00240D36">
            <w:pPr>
              <w:spacing w:after="0" w:line="240" w:lineRule="auto"/>
              <w:rPr>
                <w:rFonts w:asciiTheme="majorHAnsi" w:hAnsiTheme="majorHAnsi" w:cstheme="majorHAnsi"/>
                <w:sz w:val="20"/>
                <w:szCs w:val="20"/>
                <w:lang w:val="en-US"/>
              </w:rPr>
            </w:pPr>
            <w:r w:rsidRPr="00D611ED">
              <w:rPr>
                <w:rFonts w:asciiTheme="majorHAnsi" w:hAnsiTheme="majorHAnsi" w:cstheme="majorHAnsi"/>
                <w:sz w:val="20"/>
                <w:szCs w:val="20"/>
                <w:lang w:val="en-GB"/>
              </w:rPr>
              <w:t xml:space="preserve">AOL, </w:t>
            </w:r>
            <w:r w:rsidRPr="00AF442B">
              <w:rPr>
                <w:rFonts w:asciiTheme="majorHAnsi" w:hAnsiTheme="majorHAnsi" w:cstheme="majorHAnsi"/>
                <w:sz w:val="20"/>
                <w:szCs w:val="20"/>
                <w:lang w:val="en-GB"/>
              </w:rPr>
              <w:t xml:space="preserve">MdAGV </w:t>
            </w:r>
            <w:r>
              <w:rPr>
                <w:rFonts w:asciiTheme="majorHAnsi" w:hAnsiTheme="majorHAnsi" w:cstheme="majorHAnsi"/>
                <w:sz w:val="20"/>
                <w:szCs w:val="20"/>
                <w:lang w:val="en-GB"/>
              </w:rPr>
              <w:t>y</w:t>
            </w:r>
            <w:r w:rsidRPr="00D611ED">
              <w:rPr>
                <w:rFonts w:asciiTheme="majorHAnsi" w:hAnsiTheme="majorHAnsi" w:cstheme="majorHAnsi"/>
                <w:sz w:val="20"/>
                <w:szCs w:val="20"/>
                <w:lang w:val="en-GB"/>
              </w:rPr>
              <w:t xml:space="preserve"> </w:t>
            </w:r>
            <w:r>
              <w:rPr>
                <w:rFonts w:asciiTheme="majorHAnsi" w:hAnsiTheme="majorHAnsi" w:cstheme="majorHAnsi"/>
                <w:sz w:val="20"/>
                <w:szCs w:val="20"/>
                <w:lang w:val="en-GB"/>
              </w:rPr>
              <w:t>MCVC</w:t>
            </w:r>
          </w:p>
        </w:tc>
      </w:tr>
      <w:tr w:rsidR="00240D36" w:rsidRPr="00111633" w14:paraId="3C0727DD" w14:textId="77777777" w:rsidTr="00240D36">
        <w:trPr>
          <w:trHeight w:val="811"/>
        </w:trPr>
        <w:tc>
          <w:tcPr>
            <w:tcW w:w="1560" w:type="dxa"/>
            <w:shd w:val="clear" w:color="auto" w:fill="auto"/>
          </w:tcPr>
          <w:p w14:paraId="123EF30B" w14:textId="77777777" w:rsidR="00240D36" w:rsidRPr="00D611ED" w:rsidRDefault="00240D36" w:rsidP="00240D36">
            <w:pPr>
              <w:pStyle w:val="Prrafodelista"/>
              <w:numPr>
                <w:ilvl w:val="0"/>
                <w:numId w:val="3"/>
              </w:numPr>
              <w:tabs>
                <w:tab w:val="left" w:pos="233"/>
              </w:tabs>
              <w:spacing w:after="0" w:line="240" w:lineRule="auto"/>
              <w:ind w:left="0" w:firstLine="0"/>
              <w:rPr>
                <w:rFonts w:asciiTheme="majorHAnsi" w:hAnsiTheme="majorHAnsi" w:cstheme="majorHAnsi"/>
                <w:sz w:val="20"/>
                <w:szCs w:val="20"/>
              </w:rPr>
            </w:pPr>
            <w:r w:rsidRPr="00D611ED">
              <w:rPr>
                <w:rFonts w:asciiTheme="majorHAnsi" w:hAnsiTheme="majorHAnsi" w:cstheme="majorHAnsi"/>
                <w:sz w:val="20"/>
                <w:szCs w:val="20"/>
              </w:rPr>
              <w:t>Extracción de información y resultados de redacción.</w:t>
            </w:r>
          </w:p>
        </w:tc>
        <w:tc>
          <w:tcPr>
            <w:tcW w:w="6946" w:type="dxa"/>
            <w:shd w:val="clear" w:color="auto" w:fill="auto"/>
          </w:tcPr>
          <w:p w14:paraId="13FE9FCD" w14:textId="77777777" w:rsidR="00240D36" w:rsidRPr="00D611ED" w:rsidRDefault="00240D36" w:rsidP="005720C5">
            <w:pPr>
              <w:spacing w:after="0" w:line="240" w:lineRule="auto"/>
              <w:jc w:val="both"/>
              <w:rPr>
                <w:rFonts w:asciiTheme="majorHAnsi" w:hAnsiTheme="majorHAnsi" w:cstheme="majorHAnsi"/>
                <w:sz w:val="20"/>
                <w:szCs w:val="20"/>
              </w:rPr>
            </w:pPr>
            <w:r w:rsidRPr="00D611ED">
              <w:rPr>
                <w:rFonts w:asciiTheme="majorHAnsi" w:hAnsiTheme="majorHAnsi" w:cstheme="majorHAnsi"/>
                <w:sz w:val="20"/>
                <w:szCs w:val="20"/>
              </w:rPr>
              <w:t>La extracción de información se realizó por consenso. Luego, una persona independiente verificó que la información extraída fuera completa y precisa. La información en los estudios identificados se categorizó, y posteriormente se redactó el documento.</w:t>
            </w:r>
          </w:p>
        </w:tc>
        <w:tc>
          <w:tcPr>
            <w:tcW w:w="1559" w:type="dxa"/>
            <w:shd w:val="clear" w:color="auto" w:fill="auto"/>
          </w:tcPr>
          <w:p w14:paraId="2A4534CB" w14:textId="77777777" w:rsidR="00240D36" w:rsidRPr="00D611ED" w:rsidRDefault="00240D36" w:rsidP="005720C5">
            <w:pPr>
              <w:spacing w:after="0" w:line="240" w:lineRule="auto"/>
              <w:rPr>
                <w:rFonts w:asciiTheme="majorHAnsi" w:hAnsiTheme="majorHAnsi" w:cstheme="majorHAnsi"/>
                <w:sz w:val="20"/>
                <w:szCs w:val="20"/>
                <w:lang w:val="en-GB"/>
              </w:rPr>
            </w:pPr>
            <w:r w:rsidRPr="002625DD">
              <w:rPr>
                <w:rFonts w:asciiTheme="majorHAnsi" w:hAnsiTheme="majorHAnsi" w:cstheme="majorHAnsi"/>
                <w:sz w:val="20"/>
                <w:szCs w:val="20"/>
                <w:lang w:val="en-GB"/>
              </w:rPr>
              <w:t xml:space="preserve">AOL, </w:t>
            </w:r>
            <w:r>
              <w:rPr>
                <w:rFonts w:asciiTheme="majorHAnsi" w:hAnsiTheme="majorHAnsi" w:cstheme="majorHAnsi"/>
                <w:sz w:val="20"/>
                <w:szCs w:val="20"/>
                <w:lang w:val="en-GB"/>
              </w:rPr>
              <w:t>ACM</w:t>
            </w:r>
            <w:r w:rsidRPr="002625DD">
              <w:rPr>
                <w:rFonts w:asciiTheme="majorHAnsi" w:hAnsiTheme="majorHAnsi" w:cstheme="majorHAnsi"/>
                <w:sz w:val="20"/>
                <w:szCs w:val="20"/>
                <w:lang w:val="en-GB"/>
              </w:rPr>
              <w:t xml:space="preserve"> </w:t>
            </w:r>
            <w:r>
              <w:rPr>
                <w:rFonts w:asciiTheme="majorHAnsi" w:hAnsiTheme="majorHAnsi" w:cstheme="majorHAnsi"/>
                <w:sz w:val="20"/>
                <w:szCs w:val="20"/>
                <w:lang w:val="en-GB"/>
              </w:rPr>
              <w:t>y</w:t>
            </w:r>
            <w:r w:rsidRPr="002625DD">
              <w:rPr>
                <w:rFonts w:asciiTheme="majorHAnsi" w:hAnsiTheme="majorHAnsi" w:cstheme="majorHAnsi"/>
                <w:sz w:val="20"/>
                <w:szCs w:val="20"/>
                <w:lang w:val="en-GB"/>
              </w:rPr>
              <w:t xml:space="preserve"> </w:t>
            </w:r>
            <w:r>
              <w:rPr>
                <w:rFonts w:asciiTheme="majorHAnsi" w:hAnsiTheme="majorHAnsi" w:cstheme="majorHAnsi"/>
                <w:sz w:val="20"/>
                <w:szCs w:val="20"/>
                <w:lang w:val="en-GB"/>
              </w:rPr>
              <w:t>MdAGV</w:t>
            </w:r>
          </w:p>
        </w:tc>
      </w:tr>
      <w:tr w:rsidR="00240D36" w:rsidRPr="00C3498E" w14:paraId="793B0269" w14:textId="77777777" w:rsidTr="00240D36">
        <w:tc>
          <w:tcPr>
            <w:tcW w:w="1560" w:type="dxa"/>
            <w:shd w:val="clear" w:color="auto" w:fill="auto"/>
          </w:tcPr>
          <w:p w14:paraId="79911423" w14:textId="77777777" w:rsidR="00240D36" w:rsidRPr="00D611ED" w:rsidRDefault="00240D36" w:rsidP="00240D36">
            <w:pPr>
              <w:pStyle w:val="Prrafodelista"/>
              <w:numPr>
                <w:ilvl w:val="0"/>
                <w:numId w:val="3"/>
              </w:numPr>
              <w:tabs>
                <w:tab w:val="left" w:pos="233"/>
              </w:tabs>
              <w:spacing w:after="0" w:line="240" w:lineRule="auto"/>
              <w:ind w:left="0" w:firstLine="0"/>
              <w:rPr>
                <w:rFonts w:asciiTheme="majorHAnsi" w:hAnsiTheme="majorHAnsi" w:cstheme="majorHAnsi"/>
                <w:sz w:val="20"/>
                <w:szCs w:val="20"/>
              </w:rPr>
            </w:pPr>
            <w:r w:rsidRPr="00D611ED">
              <w:rPr>
                <w:rFonts w:asciiTheme="majorHAnsi" w:hAnsiTheme="majorHAnsi" w:cstheme="majorHAnsi"/>
                <w:sz w:val="20"/>
                <w:szCs w:val="20"/>
              </w:rPr>
              <w:t>Participación de las partes interesadas.</w:t>
            </w:r>
          </w:p>
        </w:tc>
        <w:tc>
          <w:tcPr>
            <w:tcW w:w="6946" w:type="dxa"/>
            <w:shd w:val="clear" w:color="auto" w:fill="auto"/>
          </w:tcPr>
          <w:p w14:paraId="4DBE6E29" w14:textId="77777777" w:rsidR="00240D36" w:rsidRPr="00D611ED" w:rsidRDefault="00240D36" w:rsidP="005720C5">
            <w:pPr>
              <w:spacing w:after="0" w:line="240" w:lineRule="auto"/>
              <w:jc w:val="both"/>
              <w:rPr>
                <w:rFonts w:asciiTheme="majorHAnsi" w:hAnsiTheme="majorHAnsi" w:cstheme="majorHAnsi"/>
                <w:sz w:val="20"/>
                <w:szCs w:val="20"/>
              </w:rPr>
            </w:pPr>
            <w:r w:rsidRPr="00D611ED">
              <w:rPr>
                <w:rFonts w:asciiTheme="majorHAnsi" w:hAnsiTheme="majorHAnsi" w:cstheme="majorHAnsi"/>
                <w:sz w:val="20"/>
                <w:szCs w:val="20"/>
              </w:rPr>
              <w:t xml:space="preserve">Los resultados de esta revisión forman parte de un proyecto más amplio que se lleva a cabo </w:t>
            </w:r>
            <w:r>
              <w:rPr>
                <w:rFonts w:asciiTheme="majorHAnsi" w:hAnsiTheme="majorHAnsi" w:cstheme="majorHAnsi"/>
                <w:sz w:val="20"/>
                <w:szCs w:val="20"/>
              </w:rPr>
              <w:t xml:space="preserve">para establecer criterios para la evaluación de la diálisis </w:t>
            </w:r>
            <w:r w:rsidRPr="00D611ED">
              <w:rPr>
                <w:rFonts w:asciiTheme="majorHAnsi" w:hAnsiTheme="majorHAnsi" w:cstheme="majorHAnsi"/>
                <w:sz w:val="20"/>
                <w:szCs w:val="20"/>
              </w:rPr>
              <w:t>con</w:t>
            </w:r>
            <w:r>
              <w:rPr>
                <w:rFonts w:asciiTheme="majorHAnsi" w:hAnsiTheme="majorHAnsi" w:cstheme="majorHAnsi"/>
                <w:sz w:val="20"/>
                <w:szCs w:val="20"/>
              </w:rPr>
              <w:t xml:space="preserve">certada mediante un análisis de decisión multicriterio. Destacar que se </w:t>
            </w:r>
            <w:r w:rsidRPr="00D611ED">
              <w:rPr>
                <w:rFonts w:asciiTheme="majorHAnsi" w:hAnsiTheme="majorHAnsi" w:cstheme="majorHAnsi"/>
                <w:sz w:val="20"/>
                <w:szCs w:val="20"/>
              </w:rPr>
              <w:t xml:space="preserve">realizará </w:t>
            </w:r>
            <w:r>
              <w:rPr>
                <w:rFonts w:asciiTheme="majorHAnsi" w:hAnsiTheme="majorHAnsi" w:cstheme="majorHAnsi"/>
                <w:sz w:val="20"/>
                <w:szCs w:val="20"/>
              </w:rPr>
              <w:t xml:space="preserve">al menos una </w:t>
            </w:r>
            <w:r w:rsidRPr="00D611ED">
              <w:rPr>
                <w:rFonts w:asciiTheme="majorHAnsi" w:hAnsiTheme="majorHAnsi" w:cstheme="majorHAnsi"/>
                <w:sz w:val="20"/>
                <w:szCs w:val="20"/>
              </w:rPr>
              <w:t>presentaci</w:t>
            </w:r>
            <w:r>
              <w:rPr>
                <w:rFonts w:asciiTheme="majorHAnsi" w:hAnsiTheme="majorHAnsi" w:cstheme="majorHAnsi"/>
                <w:sz w:val="20"/>
                <w:szCs w:val="20"/>
              </w:rPr>
              <w:t>ón a diferentes partes interesadas (</w:t>
            </w:r>
            <w:r w:rsidRPr="00D611ED">
              <w:rPr>
                <w:rFonts w:asciiTheme="majorHAnsi" w:hAnsiTheme="majorHAnsi" w:cstheme="majorHAnsi"/>
                <w:sz w:val="20"/>
                <w:szCs w:val="20"/>
              </w:rPr>
              <w:t xml:space="preserve">tanto profesionales </w:t>
            </w:r>
            <w:r>
              <w:rPr>
                <w:rFonts w:asciiTheme="majorHAnsi" w:hAnsiTheme="majorHAnsi" w:cstheme="majorHAnsi"/>
                <w:sz w:val="20"/>
                <w:szCs w:val="20"/>
              </w:rPr>
              <w:t xml:space="preserve">sanitarios </w:t>
            </w:r>
            <w:r w:rsidRPr="00D611ED">
              <w:rPr>
                <w:rFonts w:asciiTheme="majorHAnsi" w:hAnsiTheme="majorHAnsi" w:cstheme="majorHAnsi"/>
                <w:sz w:val="20"/>
                <w:szCs w:val="20"/>
              </w:rPr>
              <w:t>como a los responsables políticos</w:t>
            </w:r>
            <w:r>
              <w:rPr>
                <w:rFonts w:asciiTheme="majorHAnsi" w:hAnsiTheme="majorHAnsi" w:cstheme="majorHAnsi"/>
                <w:sz w:val="20"/>
                <w:szCs w:val="20"/>
              </w:rPr>
              <w:t xml:space="preserve"> y pacientes) que permitirán recoger </w:t>
            </w:r>
            <w:r w:rsidRPr="00D611ED">
              <w:rPr>
                <w:rFonts w:asciiTheme="majorHAnsi" w:hAnsiTheme="majorHAnsi" w:cstheme="majorHAnsi"/>
                <w:sz w:val="20"/>
                <w:szCs w:val="20"/>
              </w:rPr>
              <w:t>.</w:t>
            </w:r>
          </w:p>
        </w:tc>
        <w:tc>
          <w:tcPr>
            <w:tcW w:w="1559" w:type="dxa"/>
            <w:shd w:val="clear" w:color="auto" w:fill="auto"/>
          </w:tcPr>
          <w:p w14:paraId="1D950705" w14:textId="77777777" w:rsidR="00240D36" w:rsidRPr="00D611ED" w:rsidRDefault="00240D36" w:rsidP="005720C5">
            <w:pPr>
              <w:spacing w:after="0" w:line="240" w:lineRule="auto"/>
              <w:rPr>
                <w:rFonts w:asciiTheme="majorHAnsi" w:hAnsiTheme="majorHAnsi" w:cstheme="majorHAnsi"/>
                <w:sz w:val="20"/>
                <w:szCs w:val="20"/>
                <w:lang w:val="en-GB"/>
              </w:rPr>
            </w:pPr>
            <w:r w:rsidRPr="00D611ED">
              <w:rPr>
                <w:rFonts w:asciiTheme="majorHAnsi" w:hAnsiTheme="majorHAnsi" w:cstheme="majorHAnsi"/>
                <w:sz w:val="20"/>
                <w:szCs w:val="20"/>
                <w:lang w:val="en-GB"/>
              </w:rPr>
              <w:t>T</w:t>
            </w:r>
            <w:r>
              <w:rPr>
                <w:rFonts w:asciiTheme="majorHAnsi" w:hAnsiTheme="majorHAnsi" w:cstheme="majorHAnsi"/>
                <w:sz w:val="20"/>
                <w:szCs w:val="20"/>
                <w:lang w:val="en-GB"/>
              </w:rPr>
              <w:t>odo el equipo</w:t>
            </w:r>
          </w:p>
        </w:tc>
      </w:tr>
    </w:tbl>
    <w:p w14:paraId="67D86DCE" w14:textId="77777777" w:rsidR="00240D36" w:rsidRDefault="00240D36" w:rsidP="00240D36">
      <w:pPr>
        <w:widowControl w:val="0"/>
        <w:autoSpaceDE w:val="0"/>
        <w:autoSpaceDN w:val="0"/>
        <w:adjustRightInd w:val="0"/>
        <w:spacing w:line="240" w:lineRule="auto"/>
        <w:ind w:left="426"/>
        <w:jc w:val="both"/>
        <w:rPr>
          <w:rFonts w:asciiTheme="majorHAnsi" w:eastAsia="Times New Roman" w:hAnsiTheme="majorHAnsi" w:cstheme="majorHAnsi"/>
          <w:color w:val="000000"/>
          <w:sz w:val="20"/>
          <w:szCs w:val="20"/>
        </w:rPr>
      </w:pPr>
      <w:r w:rsidRPr="00D611ED">
        <w:rPr>
          <w:rFonts w:asciiTheme="majorHAnsi" w:eastAsia="Times New Roman" w:hAnsiTheme="majorHAnsi" w:cstheme="majorHAnsi"/>
          <w:color w:val="000000"/>
          <w:sz w:val="20"/>
          <w:szCs w:val="20"/>
        </w:rPr>
        <w:t>* La estrategia de búsqueda fue verificada por un</w:t>
      </w:r>
      <w:r>
        <w:rPr>
          <w:rFonts w:asciiTheme="majorHAnsi" w:eastAsia="Times New Roman" w:hAnsiTheme="majorHAnsi" w:cstheme="majorHAnsi"/>
          <w:color w:val="000000"/>
          <w:sz w:val="20"/>
          <w:szCs w:val="20"/>
        </w:rPr>
        <w:t>a</w:t>
      </w:r>
      <w:r w:rsidRPr="00D611ED">
        <w:rPr>
          <w:rFonts w:asciiTheme="majorHAnsi" w:eastAsia="Times New Roman" w:hAnsiTheme="majorHAnsi" w:cstheme="majorHAnsi"/>
          <w:color w:val="000000"/>
          <w:sz w:val="20"/>
          <w:szCs w:val="20"/>
        </w:rPr>
        <w:t xml:space="preserve"> bibliotecari</w:t>
      </w:r>
      <w:r>
        <w:rPr>
          <w:rFonts w:asciiTheme="majorHAnsi" w:eastAsia="Times New Roman" w:hAnsiTheme="majorHAnsi" w:cstheme="majorHAnsi"/>
          <w:color w:val="000000"/>
          <w:sz w:val="20"/>
          <w:szCs w:val="20"/>
        </w:rPr>
        <w:t>a</w:t>
      </w:r>
      <w:r w:rsidRPr="00D611ED">
        <w:rPr>
          <w:rFonts w:asciiTheme="majorHAnsi" w:eastAsia="Times New Roman" w:hAnsiTheme="majorHAnsi" w:cstheme="majorHAnsi"/>
          <w:color w:val="000000"/>
          <w:sz w:val="20"/>
          <w:szCs w:val="20"/>
        </w:rPr>
        <w:t xml:space="preserve"> con amplia experiencia en el ámbito de la salud pública</w:t>
      </w:r>
      <w:r>
        <w:rPr>
          <w:rFonts w:asciiTheme="majorHAnsi" w:eastAsia="Times New Roman" w:hAnsiTheme="majorHAnsi" w:cstheme="majorHAnsi"/>
          <w:color w:val="000000"/>
          <w:sz w:val="20"/>
          <w:szCs w:val="20"/>
        </w:rPr>
        <w:t xml:space="preserve"> (Camila Higueras Callejón)</w:t>
      </w:r>
      <w:r w:rsidRPr="00D611ED">
        <w:rPr>
          <w:rFonts w:asciiTheme="majorHAnsi" w:eastAsia="Times New Roman" w:hAnsiTheme="majorHAnsi" w:cstheme="majorHAnsi"/>
          <w:color w:val="000000"/>
          <w:sz w:val="20"/>
          <w:szCs w:val="20"/>
        </w:rPr>
        <w:t>.</w:t>
      </w:r>
    </w:p>
    <w:p w14:paraId="74F954D2" w14:textId="77777777" w:rsidR="00240D36" w:rsidRDefault="00240D36" w:rsidP="00240D36">
      <w:pPr>
        <w:widowControl w:val="0"/>
        <w:autoSpaceDE w:val="0"/>
        <w:autoSpaceDN w:val="0"/>
        <w:adjustRightInd w:val="0"/>
        <w:spacing w:line="240" w:lineRule="auto"/>
        <w:rPr>
          <w:rFonts w:asciiTheme="majorHAnsi" w:eastAsia="Times New Roman" w:hAnsiTheme="majorHAnsi" w:cstheme="majorHAnsi"/>
          <w:color w:val="000000"/>
          <w:sz w:val="20"/>
          <w:szCs w:val="20"/>
        </w:rPr>
      </w:pPr>
    </w:p>
    <w:p w14:paraId="00C31982" w14:textId="77777777" w:rsidR="00240D36" w:rsidRPr="00FF47F5" w:rsidRDefault="00240D36" w:rsidP="00E269CA">
      <w:pPr>
        <w:ind w:left="284" w:right="-852"/>
        <w:jc w:val="both"/>
        <w:rPr>
          <w:rFonts w:asciiTheme="majorHAnsi" w:hAnsiTheme="majorHAnsi" w:cstheme="majorHAnsi"/>
        </w:rPr>
      </w:pPr>
    </w:p>
    <w:p w14:paraId="3C528B69" w14:textId="7E0E32A3" w:rsidR="00D50376" w:rsidRDefault="00D50376" w:rsidP="00D611ED">
      <w:pPr>
        <w:widowControl w:val="0"/>
        <w:autoSpaceDE w:val="0"/>
        <w:autoSpaceDN w:val="0"/>
        <w:adjustRightInd w:val="0"/>
        <w:spacing w:line="240" w:lineRule="auto"/>
        <w:rPr>
          <w:rFonts w:asciiTheme="majorHAnsi" w:eastAsia="Times New Roman" w:hAnsiTheme="majorHAnsi" w:cstheme="majorHAnsi"/>
          <w:color w:val="000000"/>
          <w:sz w:val="20"/>
          <w:szCs w:val="20"/>
        </w:rPr>
      </w:pPr>
    </w:p>
    <w:sectPr w:rsidR="00D50376" w:rsidSect="00062BE9">
      <w:pgSz w:w="11906" w:h="16838"/>
      <w:pgMar w:top="536" w:right="1701"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3FB7"/>
    <w:multiLevelType w:val="hybridMultilevel"/>
    <w:tmpl w:val="0B02C3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A24DBA"/>
    <w:multiLevelType w:val="hybridMultilevel"/>
    <w:tmpl w:val="4B5467A2"/>
    <w:lvl w:ilvl="0" w:tplc="2976EA7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15BD322C"/>
    <w:multiLevelType w:val="hybridMultilevel"/>
    <w:tmpl w:val="95242980"/>
    <w:lvl w:ilvl="0" w:tplc="FB14E7F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74A72F3"/>
    <w:multiLevelType w:val="hybridMultilevel"/>
    <w:tmpl w:val="3DA65D6C"/>
    <w:lvl w:ilvl="0" w:tplc="491293A2">
      <w:start w:val="1"/>
      <w:numFmt w:val="bullet"/>
      <w:pStyle w:val="Bulllis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F13E7B"/>
    <w:multiLevelType w:val="hybridMultilevel"/>
    <w:tmpl w:val="8DEE72DC"/>
    <w:lvl w:ilvl="0" w:tplc="895024B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BE13A26"/>
    <w:multiLevelType w:val="hybridMultilevel"/>
    <w:tmpl w:val="4BBE11F0"/>
    <w:lvl w:ilvl="0" w:tplc="3B56D96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27555A"/>
    <w:multiLevelType w:val="hybridMultilevel"/>
    <w:tmpl w:val="45F2D182"/>
    <w:lvl w:ilvl="0" w:tplc="669C0BD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A6C637B"/>
    <w:multiLevelType w:val="hybridMultilevel"/>
    <w:tmpl w:val="66FC4800"/>
    <w:lvl w:ilvl="0" w:tplc="0C0A000F">
      <w:start w:val="1"/>
      <w:numFmt w:val="decimal"/>
      <w:lvlText w:val="%1."/>
      <w:lvlJc w:val="left"/>
      <w:pPr>
        <w:ind w:left="3054" w:hanging="360"/>
      </w:pPr>
      <w:rPr>
        <w:rFonts w:hint="default"/>
      </w:rPr>
    </w:lvl>
    <w:lvl w:ilvl="1" w:tplc="0C0A0003" w:tentative="1">
      <w:start w:val="1"/>
      <w:numFmt w:val="bullet"/>
      <w:lvlText w:val="o"/>
      <w:lvlJc w:val="left"/>
      <w:pPr>
        <w:ind w:left="3774" w:hanging="360"/>
      </w:pPr>
      <w:rPr>
        <w:rFonts w:ascii="Courier New" w:hAnsi="Courier New" w:cs="Courier New" w:hint="default"/>
      </w:rPr>
    </w:lvl>
    <w:lvl w:ilvl="2" w:tplc="0C0A0005" w:tentative="1">
      <w:start w:val="1"/>
      <w:numFmt w:val="bullet"/>
      <w:lvlText w:val=""/>
      <w:lvlJc w:val="left"/>
      <w:pPr>
        <w:ind w:left="4494" w:hanging="360"/>
      </w:pPr>
      <w:rPr>
        <w:rFonts w:ascii="Wingdings" w:hAnsi="Wingdings" w:hint="default"/>
      </w:rPr>
    </w:lvl>
    <w:lvl w:ilvl="3" w:tplc="0C0A0001" w:tentative="1">
      <w:start w:val="1"/>
      <w:numFmt w:val="bullet"/>
      <w:lvlText w:val=""/>
      <w:lvlJc w:val="left"/>
      <w:pPr>
        <w:ind w:left="5214" w:hanging="360"/>
      </w:pPr>
      <w:rPr>
        <w:rFonts w:ascii="Symbol" w:hAnsi="Symbol" w:hint="default"/>
      </w:rPr>
    </w:lvl>
    <w:lvl w:ilvl="4" w:tplc="0C0A0003" w:tentative="1">
      <w:start w:val="1"/>
      <w:numFmt w:val="bullet"/>
      <w:lvlText w:val="o"/>
      <w:lvlJc w:val="left"/>
      <w:pPr>
        <w:ind w:left="5934" w:hanging="360"/>
      </w:pPr>
      <w:rPr>
        <w:rFonts w:ascii="Courier New" w:hAnsi="Courier New" w:cs="Courier New" w:hint="default"/>
      </w:rPr>
    </w:lvl>
    <w:lvl w:ilvl="5" w:tplc="0C0A0005" w:tentative="1">
      <w:start w:val="1"/>
      <w:numFmt w:val="bullet"/>
      <w:lvlText w:val=""/>
      <w:lvlJc w:val="left"/>
      <w:pPr>
        <w:ind w:left="6654" w:hanging="360"/>
      </w:pPr>
      <w:rPr>
        <w:rFonts w:ascii="Wingdings" w:hAnsi="Wingdings" w:hint="default"/>
      </w:rPr>
    </w:lvl>
    <w:lvl w:ilvl="6" w:tplc="0C0A0001" w:tentative="1">
      <w:start w:val="1"/>
      <w:numFmt w:val="bullet"/>
      <w:lvlText w:val=""/>
      <w:lvlJc w:val="left"/>
      <w:pPr>
        <w:ind w:left="7374" w:hanging="360"/>
      </w:pPr>
      <w:rPr>
        <w:rFonts w:ascii="Symbol" w:hAnsi="Symbol" w:hint="default"/>
      </w:rPr>
    </w:lvl>
    <w:lvl w:ilvl="7" w:tplc="0C0A0003" w:tentative="1">
      <w:start w:val="1"/>
      <w:numFmt w:val="bullet"/>
      <w:lvlText w:val="o"/>
      <w:lvlJc w:val="left"/>
      <w:pPr>
        <w:ind w:left="8094" w:hanging="360"/>
      </w:pPr>
      <w:rPr>
        <w:rFonts w:ascii="Courier New" w:hAnsi="Courier New" w:cs="Courier New" w:hint="default"/>
      </w:rPr>
    </w:lvl>
    <w:lvl w:ilvl="8" w:tplc="0C0A0005" w:tentative="1">
      <w:start w:val="1"/>
      <w:numFmt w:val="bullet"/>
      <w:lvlText w:val=""/>
      <w:lvlJc w:val="left"/>
      <w:pPr>
        <w:ind w:left="8814" w:hanging="360"/>
      </w:pPr>
      <w:rPr>
        <w:rFonts w:ascii="Wingdings" w:hAnsi="Wingdings" w:hint="default"/>
      </w:rPr>
    </w:lvl>
  </w:abstractNum>
  <w:abstractNum w:abstractNumId="8" w15:restartNumberingAfterBreak="0">
    <w:nsid w:val="7E321C23"/>
    <w:multiLevelType w:val="hybridMultilevel"/>
    <w:tmpl w:val="AA98FC50"/>
    <w:lvl w:ilvl="0" w:tplc="1758E068">
      <w:start w:val="4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8"/>
  </w:num>
  <w:num w:numId="5">
    <w:abstractNumId w:val="3"/>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F8"/>
    <w:rsid w:val="000010AC"/>
    <w:rsid w:val="000051C7"/>
    <w:rsid w:val="00022720"/>
    <w:rsid w:val="0002501B"/>
    <w:rsid w:val="00034EF8"/>
    <w:rsid w:val="00054E8F"/>
    <w:rsid w:val="000600E8"/>
    <w:rsid w:val="000600E9"/>
    <w:rsid w:val="00062BE9"/>
    <w:rsid w:val="00076A86"/>
    <w:rsid w:val="00081AC5"/>
    <w:rsid w:val="00083818"/>
    <w:rsid w:val="00084CD0"/>
    <w:rsid w:val="00086596"/>
    <w:rsid w:val="00090B16"/>
    <w:rsid w:val="00095194"/>
    <w:rsid w:val="000B722D"/>
    <w:rsid w:val="000C2C33"/>
    <w:rsid w:val="000C4E8C"/>
    <w:rsid w:val="000C7025"/>
    <w:rsid w:val="000D2228"/>
    <w:rsid w:val="000D3C64"/>
    <w:rsid w:val="000D3FC5"/>
    <w:rsid w:val="000D6999"/>
    <w:rsid w:val="000D794A"/>
    <w:rsid w:val="000E0F1D"/>
    <w:rsid w:val="000E7A28"/>
    <w:rsid w:val="000F050E"/>
    <w:rsid w:val="000F1A1A"/>
    <w:rsid w:val="000F3D42"/>
    <w:rsid w:val="000F3FEF"/>
    <w:rsid w:val="000F436F"/>
    <w:rsid w:val="000F63D1"/>
    <w:rsid w:val="000F6689"/>
    <w:rsid w:val="00100650"/>
    <w:rsid w:val="00102C28"/>
    <w:rsid w:val="001030BF"/>
    <w:rsid w:val="001045F6"/>
    <w:rsid w:val="0010570E"/>
    <w:rsid w:val="00106A6C"/>
    <w:rsid w:val="00111633"/>
    <w:rsid w:val="001155E3"/>
    <w:rsid w:val="001224CA"/>
    <w:rsid w:val="00130225"/>
    <w:rsid w:val="00135471"/>
    <w:rsid w:val="001369C3"/>
    <w:rsid w:val="00137E0F"/>
    <w:rsid w:val="001436D1"/>
    <w:rsid w:val="00144B76"/>
    <w:rsid w:val="0014584F"/>
    <w:rsid w:val="0016018D"/>
    <w:rsid w:val="00160A83"/>
    <w:rsid w:val="001623BE"/>
    <w:rsid w:val="0016497A"/>
    <w:rsid w:val="00173AC5"/>
    <w:rsid w:val="00174CB0"/>
    <w:rsid w:val="00180386"/>
    <w:rsid w:val="001825EC"/>
    <w:rsid w:val="001827BF"/>
    <w:rsid w:val="00183F17"/>
    <w:rsid w:val="001903DA"/>
    <w:rsid w:val="00190A7A"/>
    <w:rsid w:val="00195D6C"/>
    <w:rsid w:val="00196F43"/>
    <w:rsid w:val="001A0604"/>
    <w:rsid w:val="001A0708"/>
    <w:rsid w:val="001A1A4D"/>
    <w:rsid w:val="001A30DD"/>
    <w:rsid w:val="001B0500"/>
    <w:rsid w:val="001B0A85"/>
    <w:rsid w:val="001B0D6A"/>
    <w:rsid w:val="001B7CB0"/>
    <w:rsid w:val="001B7CB4"/>
    <w:rsid w:val="001C1018"/>
    <w:rsid w:val="001C4F53"/>
    <w:rsid w:val="001C5AB3"/>
    <w:rsid w:val="001C6CEF"/>
    <w:rsid w:val="001D0F0C"/>
    <w:rsid w:val="001D4708"/>
    <w:rsid w:val="001E5AD5"/>
    <w:rsid w:val="001F0E1A"/>
    <w:rsid w:val="001F424B"/>
    <w:rsid w:val="001F7F70"/>
    <w:rsid w:val="00202F9A"/>
    <w:rsid w:val="00206A2C"/>
    <w:rsid w:val="00207CA4"/>
    <w:rsid w:val="00216107"/>
    <w:rsid w:val="00224214"/>
    <w:rsid w:val="00224BE8"/>
    <w:rsid w:val="00224FE7"/>
    <w:rsid w:val="00225A37"/>
    <w:rsid w:val="00231F59"/>
    <w:rsid w:val="00232E02"/>
    <w:rsid w:val="00234F03"/>
    <w:rsid w:val="00240D36"/>
    <w:rsid w:val="00243363"/>
    <w:rsid w:val="0024384A"/>
    <w:rsid w:val="00246021"/>
    <w:rsid w:val="0024676F"/>
    <w:rsid w:val="00246B26"/>
    <w:rsid w:val="0025653C"/>
    <w:rsid w:val="0026378F"/>
    <w:rsid w:val="00263B9C"/>
    <w:rsid w:val="00265F5D"/>
    <w:rsid w:val="00274A16"/>
    <w:rsid w:val="00274B2D"/>
    <w:rsid w:val="00274EBB"/>
    <w:rsid w:val="002777CE"/>
    <w:rsid w:val="00277C72"/>
    <w:rsid w:val="002817C0"/>
    <w:rsid w:val="00283630"/>
    <w:rsid w:val="00284760"/>
    <w:rsid w:val="0028565C"/>
    <w:rsid w:val="00292AB5"/>
    <w:rsid w:val="00292E60"/>
    <w:rsid w:val="00297CB1"/>
    <w:rsid w:val="002A5BDF"/>
    <w:rsid w:val="002A5C9A"/>
    <w:rsid w:val="002A7E04"/>
    <w:rsid w:val="002B17C8"/>
    <w:rsid w:val="002B2AB6"/>
    <w:rsid w:val="002C182B"/>
    <w:rsid w:val="002C21D5"/>
    <w:rsid w:val="002C28AF"/>
    <w:rsid w:val="002C2C9F"/>
    <w:rsid w:val="002E19F7"/>
    <w:rsid w:val="002F0A7C"/>
    <w:rsid w:val="002F4234"/>
    <w:rsid w:val="003027CE"/>
    <w:rsid w:val="0030456D"/>
    <w:rsid w:val="003060FE"/>
    <w:rsid w:val="003142A0"/>
    <w:rsid w:val="00314BBA"/>
    <w:rsid w:val="00320CEF"/>
    <w:rsid w:val="00322520"/>
    <w:rsid w:val="00324BBE"/>
    <w:rsid w:val="00327339"/>
    <w:rsid w:val="00330972"/>
    <w:rsid w:val="00331C8B"/>
    <w:rsid w:val="00342C9D"/>
    <w:rsid w:val="0035701A"/>
    <w:rsid w:val="0036458C"/>
    <w:rsid w:val="00365A0D"/>
    <w:rsid w:val="00367572"/>
    <w:rsid w:val="003767F2"/>
    <w:rsid w:val="0038423B"/>
    <w:rsid w:val="00385487"/>
    <w:rsid w:val="003912BC"/>
    <w:rsid w:val="003A0068"/>
    <w:rsid w:val="003A3BCB"/>
    <w:rsid w:val="003A539D"/>
    <w:rsid w:val="003A55E4"/>
    <w:rsid w:val="003A5929"/>
    <w:rsid w:val="003A64B3"/>
    <w:rsid w:val="003B6D44"/>
    <w:rsid w:val="003C130D"/>
    <w:rsid w:val="003C23AD"/>
    <w:rsid w:val="003C7DB5"/>
    <w:rsid w:val="003D2E58"/>
    <w:rsid w:val="003D5282"/>
    <w:rsid w:val="003D7A4A"/>
    <w:rsid w:val="003F2EA9"/>
    <w:rsid w:val="003F660F"/>
    <w:rsid w:val="003F68F4"/>
    <w:rsid w:val="00400123"/>
    <w:rsid w:val="004024DE"/>
    <w:rsid w:val="0041205E"/>
    <w:rsid w:val="0041332F"/>
    <w:rsid w:val="00414EC3"/>
    <w:rsid w:val="00425A36"/>
    <w:rsid w:val="00427C54"/>
    <w:rsid w:val="004318A4"/>
    <w:rsid w:val="00432B17"/>
    <w:rsid w:val="00433FC0"/>
    <w:rsid w:val="00435322"/>
    <w:rsid w:val="00437DCC"/>
    <w:rsid w:val="00440394"/>
    <w:rsid w:val="004426C9"/>
    <w:rsid w:val="0044278F"/>
    <w:rsid w:val="00446F63"/>
    <w:rsid w:val="00450F0C"/>
    <w:rsid w:val="00453869"/>
    <w:rsid w:val="00455693"/>
    <w:rsid w:val="00460E63"/>
    <w:rsid w:val="00461099"/>
    <w:rsid w:val="00463375"/>
    <w:rsid w:val="004651B0"/>
    <w:rsid w:val="004718D1"/>
    <w:rsid w:val="00472322"/>
    <w:rsid w:val="00474936"/>
    <w:rsid w:val="0048003E"/>
    <w:rsid w:val="00490B24"/>
    <w:rsid w:val="00492C1A"/>
    <w:rsid w:val="00492F61"/>
    <w:rsid w:val="004962DE"/>
    <w:rsid w:val="004A4379"/>
    <w:rsid w:val="004B5D4D"/>
    <w:rsid w:val="004C230A"/>
    <w:rsid w:val="004D14B6"/>
    <w:rsid w:val="004F127B"/>
    <w:rsid w:val="004F15E4"/>
    <w:rsid w:val="004F2456"/>
    <w:rsid w:val="004F24EE"/>
    <w:rsid w:val="004F6081"/>
    <w:rsid w:val="0050004D"/>
    <w:rsid w:val="00502408"/>
    <w:rsid w:val="005042B8"/>
    <w:rsid w:val="00512FFB"/>
    <w:rsid w:val="00515C92"/>
    <w:rsid w:val="005174DA"/>
    <w:rsid w:val="00517BD5"/>
    <w:rsid w:val="00521569"/>
    <w:rsid w:val="00521BE6"/>
    <w:rsid w:val="00522804"/>
    <w:rsid w:val="00522D52"/>
    <w:rsid w:val="00524996"/>
    <w:rsid w:val="00527605"/>
    <w:rsid w:val="00527E08"/>
    <w:rsid w:val="005379A8"/>
    <w:rsid w:val="005475FB"/>
    <w:rsid w:val="00551A7A"/>
    <w:rsid w:val="00555FFB"/>
    <w:rsid w:val="005576C7"/>
    <w:rsid w:val="00562EF3"/>
    <w:rsid w:val="00566EAA"/>
    <w:rsid w:val="005720C5"/>
    <w:rsid w:val="00576312"/>
    <w:rsid w:val="00585251"/>
    <w:rsid w:val="005871D5"/>
    <w:rsid w:val="005922BC"/>
    <w:rsid w:val="005A1280"/>
    <w:rsid w:val="005A1802"/>
    <w:rsid w:val="005A430A"/>
    <w:rsid w:val="005A5658"/>
    <w:rsid w:val="005A7BB6"/>
    <w:rsid w:val="005B008F"/>
    <w:rsid w:val="005B384E"/>
    <w:rsid w:val="005B53DD"/>
    <w:rsid w:val="005B5996"/>
    <w:rsid w:val="005B63D1"/>
    <w:rsid w:val="005B6ED5"/>
    <w:rsid w:val="005C0BC7"/>
    <w:rsid w:val="005C2399"/>
    <w:rsid w:val="005C2CA0"/>
    <w:rsid w:val="005C531B"/>
    <w:rsid w:val="005C576A"/>
    <w:rsid w:val="005C65D0"/>
    <w:rsid w:val="005D0EF7"/>
    <w:rsid w:val="005D1BFE"/>
    <w:rsid w:val="005D49A3"/>
    <w:rsid w:val="005D5AAB"/>
    <w:rsid w:val="005E1ACB"/>
    <w:rsid w:val="005E29BF"/>
    <w:rsid w:val="005E691F"/>
    <w:rsid w:val="005F0AD4"/>
    <w:rsid w:val="005F1EAF"/>
    <w:rsid w:val="005F651C"/>
    <w:rsid w:val="00602250"/>
    <w:rsid w:val="00607920"/>
    <w:rsid w:val="0061350E"/>
    <w:rsid w:val="00613AAC"/>
    <w:rsid w:val="00613E63"/>
    <w:rsid w:val="00614116"/>
    <w:rsid w:val="00615EB0"/>
    <w:rsid w:val="0062245B"/>
    <w:rsid w:val="006331A0"/>
    <w:rsid w:val="00634182"/>
    <w:rsid w:val="006370A1"/>
    <w:rsid w:val="006375A9"/>
    <w:rsid w:val="006459C6"/>
    <w:rsid w:val="00653AC4"/>
    <w:rsid w:val="00656EDB"/>
    <w:rsid w:val="00660E68"/>
    <w:rsid w:val="00661FED"/>
    <w:rsid w:val="00662174"/>
    <w:rsid w:val="006623F8"/>
    <w:rsid w:val="006653C9"/>
    <w:rsid w:val="00666A79"/>
    <w:rsid w:val="00670CD1"/>
    <w:rsid w:val="00673053"/>
    <w:rsid w:val="00674B1E"/>
    <w:rsid w:val="0067506F"/>
    <w:rsid w:val="00675C9A"/>
    <w:rsid w:val="006839FE"/>
    <w:rsid w:val="006876E0"/>
    <w:rsid w:val="00687E36"/>
    <w:rsid w:val="00690E16"/>
    <w:rsid w:val="00692E74"/>
    <w:rsid w:val="006975BB"/>
    <w:rsid w:val="006A240D"/>
    <w:rsid w:val="006A4553"/>
    <w:rsid w:val="006A65D1"/>
    <w:rsid w:val="006B101C"/>
    <w:rsid w:val="006B32AE"/>
    <w:rsid w:val="006D33DE"/>
    <w:rsid w:val="006D3B55"/>
    <w:rsid w:val="006D3F39"/>
    <w:rsid w:val="006F27C6"/>
    <w:rsid w:val="00701283"/>
    <w:rsid w:val="0070289E"/>
    <w:rsid w:val="00704805"/>
    <w:rsid w:val="0070485A"/>
    <w:rsid w:val="00705E14"/>
    <w:rsid w:val="00711525"/>
    <w:rsid w:val="00713CB1"/>
    <w:rsid w:val="00713D00"/>
    <w:rsid w:val="00717FF7"/>
    <w:rsid w:val="00721461"/>
    <w:rsid w:val="0072361E"/>
    <w:rsid w:val="00723961"/>
    <w:rsid w:val="0073721E"/>
    <w:rsid w:val="00741C0F"/>
    <w:rsid w:val="00741EAF"/>
    <w:rsid w:val="00750CE0"/>
    <w:rsid w:val="00753B24"/>
    <w:rsid w:val="00754637"/>
    <w:rsid w:val="00756E2B"/>
    <w:rsid w:val="007601C4"/>
    <w:rsid w:val="007668C1"/>
    <w:rsid w:val="00770105"/>
    <w:rsid w:val="00770B34"/>
    <w:rsid w:val="0077185F"/>
    <w:rsid w:val="00771F9A"/>
    <w:rsid w:val="00780B25"/>
    <w:rsid w:val="007813C8"/>
    <w:rsid w:val="00782E64"/>
    <w:rsid w:val="00791582"/>
    <w:rsid w:val="00793A8C"/>
    <w:rsid w:val="00797442"/>
    <w:rsid w:val="007978F7"/>
    <w:rsid w:val="007979C7"/>
    <w:rsid w:val="007A3138"/>
    <w:rsid w:val="007A654B"/>
    <w:rsid w:val="007A794B"/>
    <w:rsid w:val="007B004D"/>
    <w:rsid w:val="007B3595"/>
    <w:rsid w:val="007B6DE5"/>
    <w:rsid w:val="007C17AA"/>
    <w:rsid w:val="007C2F01"/>
    <w:rsid w:val="007C4534"/>
    <w:rsid w:val="007D48FC"/>
    <w:rsid w:val="007E1AC2"/>
    <w:rsid w:val="007E233B"/>
    <w:rsid w:val="007E2AA7"/>
    <w:rsid w:val="007E4088"/>
    <w:rsid w:val="007E593F"/>
    <w:rsid w:val="007E6D39"/>
    <w:rsid w:val="007F12E0"/>
    <w:rsid w:val="007F18ED"/>
    <w:rsid w:val="007F2C46"/>
    <w:rsid w:val="007F59A9"/>
    <w:rsid w:val="00805CB5"/>
    <w:rsid w:val="008100F2"/>
    <w:rsid w:val="0081096F"/>
    <w:rsid w:val="00810B89"/>
    <w:rsid w:val="00817664"/>
    <w:rsid w:val="008178B9"/>
    <w:rsid w:val="00817A76"/>
    <w:rsid w:val="008219BB"/>
    <w:rsid w:val="00830D92"/>
    <w:rsid w:val="008324F8"/>
    <w:rsid w:val="00842CBA"/>
    <w:rsid w:val="00842F96"/>
    <w:rsid w:val="0084450D"/>
    <w:rsid w:val="00847A0A"/>
    <w:rsid w:val="00850F09"/>
    <w:rsid w:val="00851D75"/>
    <w:rsid w:val="00855853"/>
    <w:rsid w:val="0086002F"/>
    <w:rsid w:val="00861745"/>
    <w:rsid w:val="00864D3A"/>
    <w:rsid w:val="00864FD3"/>
    <w:rsid w:val="00866F24"/>
    <w:rsid w:val="008709A7"/>
    <w:rsid w:val="00872C44"/>
    <w:rsid w:val="00873B03"/>
    <w:rsid w:val="00873F3C"/>
    <w:rsid w:val="00874663"/>
    <w:rsid w:val="008756D2"/>
    <w:rsid w:val="00880B00"/>
    <w:rsid w:val="00884428"/>
    <w:rsid w:val="008863A7"/>
    <w:rsid w:val="0088743A"/>
    <w:rsid w:val="008940EF"/>
    <w:rsid w:val="00897D89"/>
    <w:rsid w:val="008A290B"/>
    <w:rsid w:val="008A4177"/>
    <w:rsid w:val="008A6D89"/>
    <w:rsid w:val="008B2E39"/>
    <w:rsid w:val="008B439A"/>
    <w:rsid w:val="008B7FDA"/>
    <w:rsid w:val="008C4296"/>
    <w:rsid w:val="008D106A"/>
    <w:rsid w:val="008D3BB2"/>
    <w:rsid w:val="008F1342"/>
    <w:rsid w:val="008F3FA7"/>
    <w:rsid w:val="008F6CF5"/>
    <w:rsid w:val="008F73D1"/>
    <w:rsid w:val="008F7945"/>
    <w:rsid w:val="0090105D"/>
    <w:rsid w:val="0090298D"/>
    <w:rsid w:val="00902C26"/>
    <w:rsid w:val="00903B90"/>
    <w:rsid w:val="009155A4"/>
    <w:rsid w:val="00916F72"/>
    <w:rsid w:val="00916FD7"/>
    <w:rsid w:val="00926C87"/>
    <w:rsid w:val="0093234B"/>
    <w:rsid w:val="009333E9"/>
    <w:rsid w:val="00936454"/>
    <w:rsid w:val="009371F0"/>
    <w:rsid w:val="00943AFD"/>
    <w:rsid w:val="009476BA"/>
    <w:rsid w:val="00947747"/>
    <w:rsid w:val="00954DBC"/>
    <w:rsid w:val="009601AE"/>
    <w:rsid w:val="009644CA"/>
    <w:rsid w:val="0097085A"/>
    <w:rsid w:val="00974FF4"/>
    <w:rsid w:val="00990AFB"/>
    <w:rsid w:val="00996AEB"/>
    <w:rsid w:val="009A23EF"/>
    <w:rsid w:val="009A6F1F"/>
    <w:rsid w:val="009B01CF"/>
    <w:rsid w:val="009B10C6"/>
    <w:rsid w:val="009B19EB"/>
    <w:rsid w:val="009B34A9"/>
    <w:rsid w:val="009B53E9"/>
    <w:rsid w:val="009C3BF5"/>
    <w:rsid w:val="009C3FD2"/>
    <w:rsid w:val="009D1DCE"/>
    <w:rsid w:val="009D3204"/>
    <w:rsid w:val="009D44F6"/>
    <w:rsid w:val="009D6DCF"/>
    <w:rsid w:val="009E055D"/>
    <w:rsid w:val="009E3547"/>
    <w:rsid w:val="009E544C"/>
    <w:rsid w:val="009E6C21"/>
    <w:rsid w:val="009E70E1"/>
    <w:rsid w:val="009F19EF"/>
    <w:rsid w:val="009F29E9"/>
    <w:rsid w:val="009F49DF"/>
    <w:rsid w:val="00A00D5B"/>
    <w:rsid w:val="00A045DC"/>
    <w:rsid w:val="00A0516F"/>
    <w:rsid w:val="00A12342"/>
    <w:rsid w:val="00A15529"/>
    <w:rsid w:val="00A15AC9"/>
    <w:rsid w:val="00A16F5B"/>
    <w:rsid w:val="00A17CF1"/>
    <w:rsid w:val="00A200E2"/>
    <w:rsid w:val="00A2022A"/>
    <w:rsid w:val="00A22268"/>
    <w:rsid w:val="00A270CD"/>
    <w:rsid w:val="00A271A2"/>
    <w:rsid w:val="00A323B2"/>
    <w:rsid w:val="00A32A2E"/>
    <w:rsid w:val="00A32C6E"/>
    <w:rsid w:val="00A332A1"/>
    <w:rsid w:val="00A43E16"/>
    <w:rsid w:val="00A4614F"/>
    <w:rsid w:val="00A46995"/>
    <w:rsid w:val="00A51872"/>
    <w:rsid w:val="00A611AF"/>
    <w:rsid w:val="00A62E71"/>
    <w:rsid w:val="00A641CC"/>
    <w:rsid w:val="00A65AB8"/>
    <w:rsid w:val="00A65F9A"/>
    <w:rsid w:val="00A75055"/>
    <w:rsid w:val="00A775E1"/>
    <w:rsid w:val="00A80850"/>
    <w:rsid w:val="00A84ADE"/>
    <w:rsid w:val="00A878FB"/>
    <w:rsid w:val="00A93CE2"/>
    <w:rsid w:val="00AA264C"/>
    <w:rsid w:val="00AB0918"/>
    <w:rsid w:val="00AB72DA"/>
    <w:rsid w:val="00AC392C"/>
    <w:rsid w:val="00AC4975"/>
    <w:rsid w:val="00AC69F3"/>
    <w:rsid w:val="00AC7357"/>
    <w:rsid w:val="00AD0D64"/>
    <w:rsid w:val="00AD375A"/>
    <w:rsid w:val="00AE7692"/>
    <w:rsid w:val="00AF442B"/>
    <w:rsid w:val="00AF45E1"/>
    <w:rsid w:val="00AF61BB"/>
    <w:rsid w:val="00AF6FB6"/>
    <w:rsid w:val="00B0298A"/>
    <w:rsid w:val="00B037A0"/>
    <w:rsid w:val="00B042EA"/>
    <w:rsid w:val="00B1644E"/>
    <w:rsid w:val="00B16C93"/>
    <w:rsid w:val="00B24288"/>
    <w:rsid w:val="00B2517E"/>
    <w:rsid w:val="00B25254"/>
    <w:rsid w:val="00B25FCD"/>
    <w:rsid w:val="00B33230"/>
    <w:rsid w:val="00B34426"/>
    <w:rsid w:val="00B36F6D"/>
    <w:rsid w:val="00B400A2"/>
    <w:rsid w:val="00B4037E"/>
    <w:rsid w:val="00B415C7"/>
    <w:rsid w:val="00B46B7B"/>
    <w:rsid w:val="00B47400"/>
    <w:rsid w:val="00B552A2"/>
    <w:rsid w:val="00B5530F"/>
    <w:rsid w:val="00B57DD4"/>
    <w:rsid w:val="00B6123B"/>
    <w:rsid w:val="00B64CBA"/>
    <w:rsid w:val="00B65C8B"/>
    <w:rsid w:val="00B70DB9"/>
    <w:rsid w:val="00B737A2"/>
    <w:rsid w:val="00B777B8"/>
    <w:rsid w:val="00B80B9D"/>
    <w:rsid w:val="00B87203"/>
    <w:rsid w:val="00B97AC4"/>
    <w:rsid w:val="00BA123C"/>
    <w:rsid w:val="00BA30DD"/>
    <w:rsid w:val="00BA4544"/>
    <w:rsid w:val="00BA5AC5"/>
    <w:rsid w:val="00BA5F99"/>
    <w:rsid w:val="00BB1639"/>
    <w:rsid w:val="00BB363C"/>
    <w:rsid w:val="00BB731F"/>
    <w:rsid w:val="00BB7B66"/>
    <w:rsid w:val="00BC3587"/>
    <w:rsid w:val="00BC7A92"/>
    <w:rsid w:val="00BD10E3"/>
    <w:rsid w:val="00BD543C"/>
    <w:rsid w:val="00BE114B"/>
    <w:rsid w:val="00BF066A"/>
    <w:rsid w:val="00BF2FF8"/>
    <w:rsid w:val="00BF3A06"/>
    <w:rsid w:val="00BF6268"/>
    <w:rsid w:val="00C01533"/>
    <w:rsid w:val="00C01DC4"/>
    <w:rsid w:val="00C03786"/>
    <w:rsid w:val="00C0692A"/>
    <w:rsid w:val="00C10176"/>
    <w:rsid w:val="00C1735D"/>
    <w:rsid w:val="00C227C8"/>
    <w:rsid w:val="00C26AD4"/>
    <w:rsid w:val="00C274FA"/>
    <w:rsid w:val="00C33DF0"/>
    <w:rsid w:val="00C3498E"/>
    <w:rsid w:val="00C37CF0"/>
    <w:rsid w:val="00C46AF8"/>
    <w:rsid w:val="00C477CC"/>
    <w:rsid w:val="00C5083D"/>
    <w:rsid w:val="00C518B0"/>
    <w:rsid w:val="00C601D9"/>
    <w:rsid w:val="00C65EB0"/>
    <w:rsid w:val="00C70C5D"/>
    <w:rsid w:val="00C74013"/>
    <w:rsid w:val="00C762E7"/>
    <w:rsid w:val="00C83676"/>
    <w:rsid w:val="00C8659C"/>
    <w:rsid w:val="00C9016B"/>
    <w:rsid w:val="00C90235"/>
    <w:rsid w:val="00C90DF6"/>
    <w:rsid w:val="00C917DA"/>
    <w:rsid w:val="00C9341A"/>
    <w:rsid w:val="00C93BCD"/>
    <w:rsid w:val="00C9476C"/>
    <w:rsid w:val="00C94BD9"/>
    <w:rsid w:val="00C9644E"/>
    <w:rsid w:val="00C96A3A"/>
    <w:rsid w:val="00C97AB7"/>
    <w:rsid w:val="00CA6EFD"/>
    <w:rsid w:val="00CB0568"/>
    <w:rsid w:val="00CB1242"/>
    <w:rsid w:val="00CB2CFF"/>
    <w:rsid w:val="00CC200E"/>
    <w:rsid w:val="00CC2B9E"/>
    <w:rsid w:val="00CC5108"/>
    <w:rsid w:val="00CC5116"/>
    <w:rsid w:val="00CD600C"/>
    <w:rsid w:val="00CE042C"/>
    <w:rsid w:val="00CE0CDA"/>
    <w:rsid w:val="00CE5A40"/>
    <w:rsid w:val="00CF09CF"/>
    <w:rsid w:val="00CF17A7"/>
    <w:rsid w:val="00CF4900"/>
    <w:rsid w:val="00CF49C1"/>
    <w:rsid w:val="00CF5967"/>
    <w:rsid w:val="00CF5981"/>
    <w:rsid w:val="00D04F4A"/>
    <w:rsid w:val="00D13389"/>
    <w:rsid w:val="00D216B4"/>
    <w:rsid w:val="00D24292"/>
    <w:rsid w:val="00D24B4C"/>
    <w:rsid w:val="00D31177"/>
    <w:rsid w:val="00D34AB9"/>
    <w:rsid w:val="00D356C8"/>
    <w:rsid w:val="00D37BF4"/>
    <w:rsid w:val="00D40E28"/>
    <w:rsid w:val="00D42968"/>
    <w:rsid w:val="00D4415E"/>
    <w:rsid w:val="00D478E0"/>
    <w:rsid w:val="00D5030B"/>
    <w:rsid w:val="00D50376"/>
    <w:rsid w:val="00D51795"/>
    <w:rsid w:val="00D546F6"/>
    <w:rsid w:val="00D611ED"/>
    <w:rsid w:val="00D62433"/>
    <w:rsid w:val="00D64382"/>
    <w:rsid w:val="00D673CB"/>
    <w:rsid w:val="00D81EEB"/>
    <w:rsid w:val="00D9125C"/>
    <w:rsid w:val="00D91823"/>
    <w:rsid w:val="00DA32A4"/>
    <w:rsid w:val="00DA3828"/>
    <w:rsid w:val="00DB7333"/>
    <w:rsid w:val="00DC53BB"/>
    <w:rsid w:val="00DC5B55"/>
    <w:rsid w:val="00DC6299"/>
    <w:rsid w:val="00DC6FB5"/>
    <w:rsid w:val="00DC761A"/>
    <w:rsid w:val="00DD2FF4"/>
    <w:rsid w:val="00DD3D29"/>
    <w:rsid w:val="00DD7FF4"/>
    <w:rsid w:val="00DE24DB"/>
    <w:rsid w:val="00DE2DE6"/>
    <w:rsid w:val="00DE3C4C"/>
    <w:rsid w:val="00DE3FEE"/>
    <w:rsid w:val="00DE4319"/>
    <w:rsid w:val="00DE4615"/>
    <w:rsid w:val="00DE4C7A"/>
    <w:rsid w:val="00DE534A"/>
    <w:rsid w:val="00DF2591"/>
    <w:rsid w:val="00DF5D34"/>
    <w:rsid w:val="00E02F80"/>
    <w:rsid w:val="00E04BE0"/>
    <w:rsid w:val="00E05A93"/>
    <w:rsid w:val="00E05ACE"/>
    <w:rsid w:val="00E07483"/>
    <w:rsid w:val="00E17BCB"/>
    <w:rsid w:val="00E207BB"/>
    <w:rsid w:val="00E2082F"/>
    <w:rsid w:val="00E23DD2"/>
    <w:rsid w:val="00E269CA"/>
    <w:rsid w:val="00E31E8E"/>
    <w:rsid w:val="00E337D2"/>
    <w:rsid w:val="00E62A95"/>
    <w:rsid w:val="00E64FE1"/>
    <w:rsid w:val="00E67D2A"/>
    <w:rsid w:val="00E72134"/>
    <w:rsid w:val="00E7446C"/>
    <w:rsid w:val="00E75035"/>
    <w:rsid w:val="00E76174"/>
    <w:rsid w:val="00E82A0A"/>
    <w:rsid w:val="00E834BE"/>
    <w:rsid w:val="00E84C13"/>
    <w:rsid w:val="00E84FC7"/>
    <w:rsid w:val="00E8535A"/>
    <w:rsid w:val="00E876E1"/>
    <w:rsid w:val="00E901A6"/>
    <w:rsid w:val="00E9105C"/>
    <w:rsid w:val="00E918E2"/>
    <w:rsid w:val="00E92AA1"/>
    <w:rsid w:val="00E92BD8"/>
    <w:rsid w:val="00E934AA"/>
    <w:rsid w:val="00EB3AF3"/>
    <w:rsid w:val="00EB5724"/>
    <w:rsid w:val="00EC0326"/>
    <w:rsid w:val="00EC1D57"/>
    <w:rsid w:val="00EC5E7D"/>
    <w:rsid w:val="00EC77E4"/>
    <w:rsid w:val="00EC7F13"/>
    <w:rsid w:val="00ED1B1E"/>
    <w:rsid w:val="00ED2882"/>
    <w:rsid w:val="00ED3BDA"/>
    <w:rsid w:val="00EE0417"/>
    <w:rsid w:val="00EE042D"/>
    <w:rsid w:val="00EE5722"/>
    <w:rsid w:val="00EF3410"/>
    <w:rsid w:val="00F0138C"/>
    <w:rsid w:val="00F01444"/>
    <w:rsid w:val="00F03015"/>
    <w:rsid w:val="00F03885"/>
    <w:rsid w:val="00F04AAC"/>
    <w:rsid w:val="00F133BF"/>
    <w:rsid w:val="00F13947"/>
    <w:rsid w:val="00F15514"/>
    <w:rsid w:val="00F22206"/>
    <w:rsid w:val="00F22895"/>
    <w:rsid w:val="00F276F8"/>
    <w:rsid w:val="00F41243"/>
    <w:rsid w:val="00F43758"/>
    <w:rsid w:val="00F43A84"/>
    <w:rsid w:val="00F479F9"/>
    <w:rsid w:val="00F54963"/>
    <w:rsid w:val="00F560B7"/>
    <w:rsid w:val="00F612E3"/>
    <w:rsid w:val="00F618E5"/>
    <w:rsid w:val="00F633FD"/>
    <w:rsid w:val="00F67321"/>
    <w:rsid w:val="00F706B2"/>
    <w:rsid w:val="00F8128B"/>
    <w:rsid w:val="00F842B6"/>
    <w:rsid w:val="00F87954"/>
    <w:rsid w:val="00F90DAB"/>
    <w:rsid w:val="00F93C23"/>
    <w:rsid w:val="00FA2CB8"/>
    <w:rsid w:val="00FA57EB"/>
    <w:rsid w:val="00FA5FE6"/>
    <w:rsid w:val="00FA657E"/>
    <w:rsid w:val="00FB7097"/>
    <w:rsid w:val="00FB7D19"/>
    <w:rsid w:val="00FC1055"/>
    <w:rsid w:val="00FC7A5B"/>
    <w:rsid w:val="00FE68DC"/>
    <w:rsid w:val="00FF028A"/>
    <w:rsid w:val="00FF03A5"/>
    <w:rsid w:val="00FF3A0C"/>
    <w:rsid w:val="00FF4379"/>
    <w:rsid w:val="00FF47F5"/>
    <w:rsid w:val="00FF73F5"/>
    <w:rsid w:val="19EC92E7"/>
    <w:rsid w:val="29201C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DA9E"/>
  <w15:docId w15:val="{9DE6F214-E50F-4CE4-93C3-FA28B529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2FF8"/>
    <w:pPr>
      <w:ind w:left="720"/>
      <w:contextualSpacing/>
    </w:pPr>
  </w:style>
  <w:style w:type="table" w:styleId="Tablaconcuadrcula">
    <w:name w:val="Table Grid"/>
    <w:basedOn w:val="Tablanormal"/>
    <w:uiPriority w:val="39"/>
    <w:rsid w:val="00FF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07483"/>
    <w:rPr>
      <w:sz w:val="16"/>
      <w:szCs w:val="16"/>
    </w:rPr>
  </w:style>
  <w:style w:type="paragraph" w:styleId="Textocomentario">
    <w:name w:val="annotation text"/>
    <w:basedOn w:val="Normal"/>
    <w:link w:val="TextocomentarioCar"/>
    <w:uiPriority w:val="99"/>
    <w:unhideWhenUsed/>
    <w:rsid w:val="00E07483"/>
    <w:pPr>
      <w:spacing w:line="240" w:lineRule="auto"/>
    </w:pPr>
    <w:rPr>
      <w:sz w:val="20"/>
      <w:szCs w:val="20"/>
    </w:rPr>
  </w:style>
  <w:style w:type="character" w:customStyle="1" w:styleId="TextocomentarioCar">
    <w:name w:val="Texto comentario Car"/>
    <w:basedOn w:val="Fuentedeprrafopredeter"/>
    <w:link w:val="Textocomentario"/>
    <w:uiPriority w:val="99"/>
    <w:rsid w:val="00E07483"/>
    <w:rPr>
      <w:sz w:val="20"/>
      <w:szCs w:val="20"/>
    </w:rPr>
  </w:style>
  <w:style w:type="paragraph" w:styleId="Asuntodelcomentario">
    <w:name w:val="annotation subject"/>
    <w:basedOn w:val="Textocomentario"/>
    <w:next w:val="Textocomentario"/>
    <w:link w:val="AsuntodelcomentarioCar"/>
    <w:uiPriority w:val="99"/>
    <w:semiHidden/>
    <w:unhideWhenUsed/>
    <w:rsid w:val="00E07483"/>
    <w:rPr>
      <w:b/>
      <w:bCs/>
    </w:rPr>
  </w:style>
  <w:style w:type="character" w:customStyle="1" w:styleId="AsuntodelcomentarioCar">
    <w:name w:val="Asunto del comentario Car"/>
    <w:basedOn w:val="TextocomentarioCar"/>
    <w:link w:val="Asuntodelcomentario"/>
    <w:uiPriority w:val="99"/>
    <w:semiHidden/>
    <w:rsid w:val="00E07483"/>
    <w:rPr>
      <w:b/>
      <w:bCs/>
      <w:sz w:val="20"/>
      <w:szCs w:val="20"/>
    </w:rPr>
  </w:style>
  <w:style w:type="paragraph" w:styleId="Textodeglobo">
    <w:name w:val="Balloon Text"/>
    <w:basedOn w:val="Normal"/>
    <w:link w:val="TextodegloboCar"/>
    <w:uiPriority w:val="99"/>
    <w:semiHidden/>
    <w:unhideWhenUsed/>
    <w:rsid w:val="00E074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7483"/>
    <w:rPr>
      <w:rFonts w:ascii="Tahoma" w:hAnsi="Tahoma" w:cs="Tahoma"/>
      <w:sz w:val="16"/>
      <w:szCs w:val="16"/>
    </w:rPr>
  </w:style>
  <w:style w:type="character" w:styleId="Hipervnculo">
    <w:name w:val="Hyperlink"/>
    <w:basedOn w:val="Fuentedeprrafopredeter"/>
    <w:unhideWhenUsed/>
    <w:rsid w:val="00E07483"/>
    <w:rPr>
      <w:color w:val="0000FF"/>
      <w:u w:val="single"/>
    </w:rPr>
  </w:style>
  <w:style w:type="paragraph" w:customStyle="1" w:styleId="Default">
    <w:name w:val="Default"/>
    <w:rsid w:val="00BB731F"/>
    <w:pPr>
      <w:autoSpaceDE w:val="0"/>
      <w:autoSpaceDN w:val="0"/>
      <w:adjustRightInd w:val="0"/>
      <w:spacing w:after="0" w:line="240" w:lineRule="auto"/>
    </w:pPr>
    <w:rPr>
      <w:rFonts w:ascii="Minion Pro" w:hAnsi="Minion Pro" w:cs="Minion Pro"/>
      <w:color w:val="000000"/>
      <w:sz w:val="24"/>
      <w:szCs w:val="24"/>
    </w:rPr>
  </w:style>
  <w:style w:type="character" w:styleId="Hipervnculovisitado">
    <w:name w:val="FollowedHyperlink"/>
    <w:basedOn w:val="Fuentedeprrafopredeter"/>
    <w:uiPriority w:val="99"/>
    <w:semiHidden/>
    <w:unhideWhenUsed/>
    <w:rsid w:val="00F04AAC"/>
    <w:rPr>
      <w:color w:val="954F72" w:themeColor="followedHyperlink"/>
      <w:u w:val="single"/>
    </w:rPr>
  </w:style>
  <w:style w:type="character" w:customStyle="1" w:styleId="tlid-translation">
    <w:name w:val="tlid-translation"/>
    <w:basedOn w:val="Fuentedeprrafopredeter"/>
    <w:rsid w:val="00C3498E"/>
  </w:style>
  <w:style w:type="paragraph" w:styleId="Revisin">
    <w:name w:val="Revision"/>
    <w:hidden/>
    <w:uiPriority w:val="99"/>
    <w:semiHidden/>
    <w:rsid w:val="003B6D44"/>
    <w:pPr>
      <w:spacing w:after="0" w:line="240" w:lineRule="auto"/>
    </w:pPr>
  </w:style>
  <w:style w:type="paragraph" w:customStyle="1" w:styleId="Refs">
    <w:name w:val="Refs"/>
    <w:basedOn w:val="Normal"/>
    <w:rsid w:val="0070289E"/>
    <w:pPr>
      <w:spacing w:after="60" w:line="300" w:lineRule="exact"/>
      <w:ind w:left="245" w:hanging="245"/>
    </w:pPr>
    <w:rPr>
      <w:rFonts w:ascii="Times New Roman" w:eastAsia="Times New Roman" w:hAnsi="Times New Roman" w:cs="Times New Roman"/>
      <w:color w:val="0000FF"/>
      <w:sz w:val="24"/>
      <w:szCs w:val="24"/>
      <w:lang w:val="fr-FR"/>
    </w:rPr>
  </w:style>
  <w:style w:type="paragraph" w:customStyle="1" w:styleId="Textnewparaindent">
    <w:name w:val="Text new para (indent)"/>
    <w:basedOn w:val="Normal"/>
    <w:autoRedefine/>
    <w:rsid w:val="007F12E0"/>
    <w:pPr>
      <w:spacing w:after="120" w:line="360" w:lineRule="exact"/>
      <w:ind w:firstLine="245"/>
    </w:pPr>
    <w:rPr>
      <w:rFonts w:ascii="Times New Roman" w:eastAsia="Times New Roman" w:hAnsi="Times New Roman" w:cs="Times New Roman"/>
      <w:color w:val="000066"/>
      <w:sz w:val="24"/>
      <w:szCs w:val="24"/>
      <w:lang w:val="fr-FR"/>
    </w:rPr>
  </w:style>
  <w:style w:type="paragraph" w:customStyle="1" w:styleId="Bulllist">
    <w:name w:val="Bull list"/>
    <w:basedOn w:val="Normal"/>
    <w:link w:val="BulllistCar"/>
    <w:rsid w:val="00174CB0"/>
    <w:pPr>
      <w:numPr>
        <w:numId w:val="5"/>
      </w:numPr>
      <w:spacing w:after="60" w:line="300" w:lineRule="exact"/>
      <w:ind w:left="357" w:hanging="357"/>
    </w:pPr>
    <w:rPr>
      <w:rFonts w:ascii="Times New Roman" w:eastAsia="Times New Roman" w:hAnsi="Times New Roman" w:cs="Times New Roman"/>
      <w:color w:val="000066"/>
      <w:sz w:val="24"/>
      <w:szCs w:val="24"/>
      <w:lang w:val="fr-FR"/>
    </w:rPr>
  </w:style>
  <w:style w:type="character" w:customStyle="1" w:styleId="BulllistCar">
    <w:name w:val="Bull list Car"/>
    <w:link w:val="Bulllist"/>
    <w:rsid w:val="00174CB0"/>
    <w:rPr>
      <w:rFonts w:ascii="Times New Roman" w:eastAsia="Times New Roman" w:hAnsi="Times New Roman" w:cs="Times New Roman"/>
      <w:color w:val="000066"/>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1049">
      <w:bodyDiv w:val="1"/>
      <w:marLeft w:val="0"/>
      <w:marRight w:val="0"/>
      <w:marTop w:val="0"/>
      <w:marBottom w:val="0"/>
      <w:divBdr>
        <w:top w:val="none" w:sz="0" w:space="0" w:color="auto"/>
        <w:left w:val="none" w:sz="0" w:space="0" w:color="auto"/>
        <w:bottom w:val="none" w:sz="0" w:space="0" w:color="auto"/>
        <w:right w:val="none" w:sz="0" w:space="0" w:color="auto"/>
      </w:divBdr>
      <w:divsChild>
        <w:div w:id="235939600">
          <w:marLeft w:val="0"/>
          <w:marRight w:val="0"/>
          <w:marTop w:val="0"/>
          <w:marBottom w:val="0"/>
          <w:divBdr>
            <w:top w:val="none" w:sz="0" w:space="0" w:color="auto"/>
            <w:left w:val="none" w:sz="0" w:space="0" w:color="auto"/>
            <w:bottom w:val="none" w:sz="0" w:space="0" w:color="auto"/>
            <w:right w:val="none" w:sz="0" w:space="0" w:color="auto"/>
          </w:divBdr>
        </w:div>
        <w:div w:id="305280135">
          <w:marLeft w:val="0"/>
          <w:marRight w:val="0"/>
          <w:marTop w:val="0"/>
          <w:marBottom w:val="0"/>
          <w:divBdr>
            <w:top w:val="none" w:sz="0" w:space="0" w:color="auto"/>
            <w:left w:val="none" w:sz="0" w:space="0" w:color="auto"/>
            <w:bottom w:val="none" w:sz="0" w:space="0" w:color="auto"/>
            <w:right w:val="none" w:sz="0" w:space="0" w:color="auto"/>
          </w:divBdr>
        </w:div>
        <w:div w:id="366836956">
          <w:marLeft w:val="0"/>
          <w:marRight w:val="0"/>
          <w:marTop w:val="0"/>
          <w:marBottom w:val="0"/>
          <w:divBdr>
            <w:top w:val="none" w:sz="0" w:space="0" w:color="auto"/>
            <w:left w:val="none" w:sz="0" w:space="0" w:color="auto"/>
            <w:bottom w:val="none" w:sz="0" w:space="0" w:color="auto"/>
            <w:right w:val="none" w:sz="0" w:space="0" w:color="auto"/>
          </w:divBdr>
        </w:div>
        <w:div w:id="379670988">
          <w:marLeft w:val="0"/>
          <w:marRight w:val="0"/>
          <w:marTop w:val="0"/>
          <w:marBottom w:val="0"/>
          <w:divBdr>
            <w:top w:val="none" w:sz="0" w:space="0" w:color="auto"/>
            <w:left w:val="none" w:sz="0" w:space="0" w:color="auto"/>
            <w:bottom w:val="none" w:sz="0" w:space="0" w:color="auto"/>
            <w:right w:val="none" w:sz="0" w:space="0" w:color="auto"/>
          </w:divBdr>
        </w:div>
        <w:div w:id="667555817">
          <w:marLeft w:val="0"/>
          <w:marRight w:val="0"/>
          <w:marTop w:val="0"/>
          <w:marBottom w:val="0"/>
          <w:divBdr>
            <w:top w:val="none" w:sz="0" w:space="0" w:color="auto"/>
            <w:left w:val="none" w:sz="0" w:space="0" w:color="auto"/>
            <w:bottom w:val="none" w:sz="0" w:space="0" w:color="auto"/>
            <w:right w:val="none" w:sz="0" w:space="0" w:color="auto"/>
          </w:divBdr>
        </w:div>
        <w:div w:id="689450923">
          <w:marLeft w:val="0"/>
          <w:marRight w:val="0"/>
          <w:marTop w:val="0"/>
          <w:marBottom w:val="0"/>
          <w:divBdr>
            <w:top w:val="none" w:sz="0" w:space="0" w:color="auto"/>
            <w:left w:val="none" w:sz="0" w:space="0" w:color="auto"/>
            <w:bottom w:val="none" w:sz="0" w:space="0" w:color="auto"/>
            <w:right w:val="none" w:sz="0" w:space="0" w:color="auto"/>
          </w:divBdr>
        </w:div>
        <w:div w:id="720402381">
          <w:marLeft w:val="0"/>
          <w:marRight w:val="0"/>
          <w:marTop w:val="0"/>
          <w:marBottom w:val="0"/>
          <w:divBdr>
            <w:top w:val="none" w:sz="0" w:space="0" w:color="auto"/>
            <w:left w:val="none" w:sz="0" w:space="0" w:color="auto"/>
            <w:bottom w:val="none" w:sz="0" w:space="0" w:color="auto"/>
            <w:right w:val="none" w:sz="0" w:space="0" w:color="auto"/>
          </w:divBdr>
        </w:div>
        <w:div w:id="773790661">
          <w:marLeft w:val="0"/>
          <w:marRight w:val="0"/>
          <w:marTop w:val="0"/>
          <w:marBottom w:val="0"/>
          <w:divBdr>
            <w:top w:val="none" w:sz="0" w:space="0" w:color="auto"/>
            <w:left w:val="none" w:sz="0" w:space="0" w:color="auto"/>
            <w:bottom w:val="none" w:sz="0" w:space="0" w:color="auto"/>
            <w:right w:val="none" w:sz="0" w:space="0" w:color="auto"/>
          </w:divBdr>
        </w:div>
        <w:div w:id="809513265">
          <w:marLeft w:val="0"/>
          <w:marRight w:val="0"/>
          <w:marTop w:val="0"/>
          <w:marBottom w:val="0"/>
          <w:divBdr>
            <w:top w:val="none" w:sz="0" w:space="0" w:color="auto"/>
            <w:left w:val="none" w:sz="0" w:space="0" w:color="auto"/>
            <w:bottom w:val="none" w:sz="0" w:space="0" w:color="auto"/>
            <w:right w:val="none" w:sz="0" w:space="0" w:color="auto"/>
          </w:divBdr>
        </w:div>
        <w:div w:id="835076320">
          <w:marLeft w:val="0"/>
          <w:marRight w:val="0"/>
          <w:marTop w:val="0"/>
          <w:marBottom w:val="0"/>
          <w:divBdr>
            <w:top w:val="none" w:sz="0" w:space="0" w:color="auto"/>
            <w:left w:val="none" w:sz="0" w:space="0" w:color="auto"/>
            <w:bottom w:val="none" w:sz="0" w:space="0" w:color="auto"/>
            <w:right w:val="none" w:sz="0" w:space="0" w:color="auto"/>
          </w:divBdr>
        </w:div>
        <w:div w:id="850871042">
          <w:marLeft w:val="0"/>
          <w:marRight w:val="0"/>
          <w:marTop w:val="0"/>
          <w:marBottom w:val="0"/>
          <w:divBdr>
            <w:top w:val="none" w:sz="0" w:space="0" w:color="auto"/>
            <w:left w:val="none" w:sz="0" w:space="0" w:color="auto"/>
            <w:bottom w:val="none" w:sz="0" w:space="0" w:color="auto"/>
            <w:right w:val="none" w:sz="0" w:space="0" w:color="auto"/>
          </w:divBdr>
        </w:div>
        <w:div w:id="926305973">
          <w:marLeft w:val="0"/>
          <w:marRight w:val="0"/>
          <w:marTop w:val="0"/>
          <w:marBottom w:val="0"/>
          <w:divBdr>
            <w:top w:val="none" w:sz="0" w:space="0" w:color="auto"/>
            <w:left w:val="none" w:sz="0" w:space="0" w:color="auto"/>
            <w:bottom w:val="none" w:sz="0" w:space="0" w:color="auto"/>
            <w:right w:val="none" w:sz="0" w:space="0" w:color="auto"/>
          </w:divBdr>
        </w:div>
        <w:div w:id="1020356896">
          <w:marLeft w:val="0"/>
          <w:marRight w:val="0"/>
          <w:marTop w:val="0"/>
          <w:marBottom w:val="0"/>
          <w:divBdr>
            <w:top w:val="none" w:sz="0" w:space="0" w:color="auto"/>
            <w:left w:val="none" w:sz="0" w:space="0" w:color="auto"/>
            <w:bottom w:val="none" w:sz="0" w:space="0" w:color="auto"/>
            <w:right w:val="none" w:sz="0" w:space="0" w:color="auto"/>
          </w:divBdr>
        </w:div>
        <w:div w:id="1101342944">
          <w:marLeft w:val="0"/>
          <w:marRight w:val="0"/>
          <w:marTop w:val="0"/>
          <w:marBottom w:val="0"/>
          <w:divBdr>
            <w:top w:val="none" w:sz="0" w:space="0" w:color="auto"/>
            <w:left w:val="none" w:sz="0" w:space="0" w:color="auto"/>
            <w:bottom w:val="none" w:sz="0" w:space="0" w:color="auto"/>
            <w:right w:val="none" w:sz="0" w:space="0" w:color="auto"/>
          </w:divBdr>
        </w:div>
        <w:div w:id="1192377496">
          <w:marLeft w:val="0"/>
          <w:marRight w:val="0"/>
          <w:marTop w:val="0"/>
          <w:marBottom w:val="0"/>
          <w:divBdr>
            <w:top w:val="none" w:sz="0" w:space="0" w:color="auto"/>
            <w:left w:val="none" w:sz="0" w:space="0" w:color="auto"/>
            <w:bottom w:val="none" w:sz="0" w:space="0" w:color="auto"/>
            <w:right w:val="none" w:sz="0" w:space="0" w:color="auto"/>
          </w:divBdr>
        </w:div>
        <w:div w:id="1334726493">
          <w:marLeft w:val="0"/>
          <w:marRight w:val="0"/>
          <w:marTop w:val="0"/>
          <w:marBottom w:val="0"/>
          <w:divBdr>
            <w:top w:val="none" w:sz="0" w:space="0" w:color="auto"/>
            <w:left w:val="none" w:sz="0" w:space="0" w:color="auto"/>
            <w:bottom w:val="none" w:sz="0" w:space="0" w:color="auto"/>
            <w:right w:val="none" w:sz="0" w:space="0" w:color="auto"/>
          </w:divBdr>
        </w:div>
        <w:div w:id="1518419569">
          <w:marLeft w:val="0"/>
          <w:marRight w:val="0"/>
          <w:marTop w:val="0"/>
          <w:marBottom w:val="0"/>
          <w:divBdr>
            <w:top w:val="none" w:sz="0" w:space="0" w:color="auto"/>
            <w:left w:val="none" w:sz="0" w:space="0" w:color="auto"/>
            <w:bottom w:val="none" w:sz="0" w:space="0" w:color="auto"/>
            <w:right w:val="none" w:sz="0" w:space="0" w:color="auto"/>
          </w:divBdr>
        </w:div>
        <w:div w:id="1597321227">
          <w:marLeft w:val="0"/>
          <w:marRight w:val="0"/>
          <w:marTop w:val="0"/>
          <w:marBottom w:val="0"/>
          <w:divBdr>
            <w:top w:val="none" w:sz="0" w:space="0" w:color="auto"/>
            <w:left w:val="none" w:sz="0" w:space="0" w:color="auto"/>
            <w:bottom w:val="none" w:sz="0" w:space="0" w:color="auto"/>
            <w:right w:val="none" w:sz="0" w:space="0" w:color="auto"/>
          </w:divBdr>
        </w:div>
        <w:div w:id="1659772876">
          <w:marLeft w:val="0"/>
          <w:marRight w:val="0"/>
          <w:marTop w:val="0"/>
          <w:marBottom w:val="0"/>
          <w:divBdr>
            <w:top w:val="none" w:sz="0" w:space="0" w:color="auto"/>
            <w:left w:val="none" w:sz="0" w:space="0" w:color="auto"/>
            <w:bottom w:val="none" w:sz="0" w:space="0" w:color="auto"/>
            <w:right w:val="none" w:sz="0" w:space="0" w:color="auto"/>
          </w:divBdr>
        </w:div>
        <w:div w:id="1714503288">
          <w:marLeft w:val="0"/>
          <w:marRight w:val="0"/>
          <w:marTop w:val="0"/>
          <w:marBottom w:val="0"/>
          <w:divBdr>
            <w:top w:val="none" w:sz="0" w:space="0" w:color="auto"/>
            <w:left w:val="none" w:sz="0" w:space="0" w:color="auto"/>
            <w:bottom w:val="none" w:sz="0" w:space="0" w:color="auto"/>
            <w:right w:val="none" w:sz="0" w:space="0" w:color="auto"/>
          </w:divBdr>
        </w:div>
      </w:divsChild>
    </w:div>
    <w:div w:id="394473946">
      <w:bodyDiv w:val="1"/>
      <w:marLeft w:val="0"/>
      <w:marRight w:val="0"/>
      <w:marTop w:val="0"/>
      <w:marBottom w:val="0"/>
      <w:divBdr>
        <w:top w:val="none" w:sz="0" w:space="0" w:color="auto"/>
        <w:left w:val="none" w:sz="0" w:space="0" w:color="auto"/>
        <w:bottom w:val="none" w:sz="0" w:space="0" w:color="auto"/>
        <w:right w:val="none" w:sz="0" w:space="0" w:color="auto"/>
      </w:divBdr>
      <w:divsChild>
        <w:div w:id="1719284361">
          <w:marLeft w:val="0"/>
          <w:marRight w:val="0"/>
          <w:marTop w:val="100"/>
          <w:marBottom w:val="0"/>
          <w:divBdr>
            <w:top w:val="none" w:sz="0" w:space="0" w:color="auto"/>
            <w:left w:val="none" w:sz="0" w:space="0" w:color="auto"/>
            <w:bottom w:val="none" w:sz="0" w:space="0" w:color="auto"/>
            <w:right w:val="none" w:sz="0" w:space="0" w:color="auto"/>
          </w:divBdr>
          <w:divsChild>
            <w:div w:id="1021667041">
              <w:marLeft w:val="0"/>
              <w:marRight w:val="0"/>
              <w:marTop w:val="60"/>
              <w:marBottom w:val="0"/>
              <w:divBdr>
                <w:top w:val="none" w:sz="0" w:space="0" w:color="auto"/>
                <w:left w:val="none" w:sz="0" w:space="0" w:color="auto"/>
                <w:bottom w:val="none" w:sz="0" w:space="0" w:color="auto"/>
                <w:right w:val="none" w:sz="0" w:space="0" w:color="auto"/>
              </w:divBdr>
            </w:div>
          </w:divsChild>
        </w:div>
        <w:div w:id="1507942240">
          <w:marLeft w:val="0"/>
          <w:marRight w:val="0"/>
          <w:marTop w:val="0"/>
          <w:marBottom w:val="0"/>
          <w:divBdr>
            <w:top w:val="none" w:sz="0" w:space="0" w:color="auto"/>
            <w:left w:val="none" w:sz="0" w:space="0" w:color="auto"/>
            <w:bottom w:val="none" w:sz="0" w:space="0" w:color="auto"/>
            <w:right w:val="none" w:sz="0" w:space="0" w:color="auto"/>
          </w:divBdr>
          <w:divsChild>
            <w:div w:id="1753893619">
              <w:marLeft w:val="0"/>
              <w:marRight w:val="0"/>
              <w:marTop w:val="0"/>
              <w:marBottom w:val="0"/>
              <w:divBdr>
                <w:top w:val="none" w:sz="0" w:space="0" w:color="auto"/>
                <w:left w:val="none" w:sz="0" w:space="0" w:color="auto"/>
                <w:bottom w:val="none" w:sz="0" w:space="0" w:color="auto"/>
                <w:right w:val="none" w:sz="0" w:space="0" w:color="auto"/>
              </w:divBdr>
              <w:divsChild>
                <w:div w:id="14541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38203">
      <w:bodyDiv w:val="1"/>
      <w:marLeft w:val="0"/>
      <w:marRight w:val="0"/>
      <w:marTop w:val="0"/>
      <w:marBottom w:val="0"/>
      <w:divBdr>
        <w:top w:val="none" w:sz="0" w:space="0" w:color="auto"/>
        <w:left w:val="none" w:sz="0" w:space="0" w:color="auto"/>
        <w:bottom w:val="none" w:sz="0" w:space="0" w:color="auto"/>
        <w:right w:val="none" w:sz="0" w:space="0" w:color="auto"/>
      </w:divBdr>
    </w:div>
    <w:div w:id="1019350123">
      <w:bodyDiv w:val="1"/>
      <w:marLeft w:val="0"/>
      <w:marRight w:val="0"/>
      <w:marTop w:val="0"/>
      <w:marBottom w:val="0"/>
      <w:divBdr>
        <w:top w:val="none" w:sz="0" w:space="0" w:color="auto"/>
        <w:left w:val="none" w:sz="0" w:space="0" w:color="auto"/>
        <w:bottom w:val="none" w:sz="0" w:space="0" w:color="auto"/>
        <w:right w:val="none" w:sz="0" w:space="0" w:color="auto"/>
      </w:divBdr>
      <w:divsChild>
        <w:div w:id="65077658">
          <w:marLeft w:val="0"/>
          <w:marRight w:val="0"/>
          <w:marTop w:val="0"/>
          <w:marBottom w:val="0"/>
          <w:divBdr>
            <w:top w:val="none" w:sz="0" w:space="0" w:color="auto"/>
            <w:left w:val="none" w:sz="0" w:space="0" w:color="auto"/>
            <w:bottom w:val="none" w:sz="0" w:space="0" w:color="auto"/>
            <w:right w:val="none" w:sz="0" w:space="0" w:color="auto"/>
          </w:divBdr>
        </w:div>
        <w:div w:id="78868004">
          <w:marLeft w:val="0"/>
          <w:marRight w:val="0"/>
          <w:marTop w:val="0"/>
          <w:marBottom w:val="0"/>
          <w:divBdr>
            <w:top w:val="none" w:sz="0" w:space="0" w:color="auto"/>
            <w:left w:val="none" w:sz="0" w:space="0" w:color="auto"/>
            <w:bottom w:val="none" w:sz="0" w:space="0" w:color="auto"/>
            <w:right w:val="none" w:sz="0" w:space="0" w:color="auto"/>
          </w:divBdr>
        </w:div>
        <w:div w:id="115637829">
          <w:marLeft w:val="0"/>
          <w:marRight w:val="0"/>
          <w:marTop w:val="0"/>
          <w:marBottom w:val="0"/>
          <w:divBdr>
            <w:top w:val="none" w:sz="0" w:space="0" w:color="auto"/>
            <w:left w:val="none" w:sz="0" w:space="0" w:color="auto"/>
            <w:bottom w:val="none" w:sz="0" w:space="0" w:color="auto"/>
            <w:right w:val="none" w:sz="0" w:space="0" w:color="auto"/>
          </w:divBdr>
        </w:div>
        <w:div w:id="121505034">
          <w:marLeft w:val="0"/>
          <w:marRight w:val="0"/>
          <w:marTop w:val="0"/>
          <w:marBottom w:val="0"/>
          <w:divBdr>
            <w:top w:val="none" w:sz="0" w:space="0" w:color="auto"/>
            <w:left w:val="none" w:sz="0" w:space="0" w:color="auto"/>
            <w:bottom w:val="none" w:sz="0" w:space="0" w:color="auto"/>
            <w:right w:val="none" w:sz="0" w:space="0" w:color="auto"/>
          </w:divBdr>
        </w:div>
        <w:div w:id="346565423">
          <w:marLeft w:val="0"/>
          <w:marRight w:val="0"/>
          <w:marTop w:val="0"/>
          <w:marBottom w:val="0"/>
          <w:divBdr>
            <w:top w:val="none" w:sz="0" w:space="0" w:color="auto"/>
            <w:left w:val="none" w:sz="0" w:space="0" w:color="auto"/>
            <w:bottom w:val="none" w:sz="0" w:space="0" w:color="auto"/>
            <w:right w:val="none" w:sz="0" w:space="0" w:color="auto"/>
          </w:divBdr>
        </w:div>
        <w:div w:id="956326698">
          <w:marLeft w:val="0"/>
          <w:marRight w:val="0"/>
          <w:marTop w:val="0"/>
          <w:marBottom w:val="0"/>
          <w:divBdr>
            <w:top w:val="none" w:sz="0" w:space="0" w:color="auto"/>
            <w:left w:val="none" w:sz="0" w:space="0" w:color="auto"/>
            <w:bottom w:val="none" w:sz="0" w:space="0" w:color="auto"/>
            <w:right w:val="none" w:sz="0" w:space="0" w:color="auto"/>
          </w:divBdr>
        </w:div>
        <w:div w:id="980235940">
          <w:marLeft w:val="0"/>
          <w:marRight w:val="0"/>
          <w:marTop w:val="0"/>
          <w:marBottom w:val="0"/>
          <w:divBdr>
            <w:top w:val="none" w:sz="0" w:space="0" w:color="auto"/>
            <w:left w:val="none" w:sz="0" w:space="0" w:color="auto"/>
            <w:bottom w:val="none" w:sz="0" w:space="0" w:color="auto"/>
            <w:right w:val="none" w:sz="0" w:space="0" w:color="auto"/>
          </w:divBdr>
        </w:div>
        <w:div w:id="1063911920">
          <w:marLeft w:val="0"/>
          <w:marRight w:val="0"/>
          <w:marTop w:val="0"/>
          <w:marBottom w:val="0"/>
          <w:divBdr>
            <w:top w:val="none" w:sz="0" w:space="0" w:color="auto"/>
            <w:left w:val="none" w:sz="0" w:space="0" w:color="auto"/>
            <w:bottom w:val="none" w:sz="0" w:space="0" w:color="auto"/>
            <w:right w:val="none" w:sz="0" w:space="0" w:color="auto"/>
          </w:divBdr>
        </w:div>
        <w:div w:id="1143307927">
          <w:marLeft w:val="0"/>
          <w:marRight w:val="0"/>
          <w:marTop w:val="0"/>
          <w:marBottom w:val="0"/>
          <w:divBdr>
            <w:top w:val="none" w:sz="0" w:space="0" w:color="auto"/>
            <w:left w:val="none" w:sz="0" w:space="0" w:color="auto"/>
            <w:bottom w:val="none" w:sz="0" w:space="0" w:color="auto"/>
            <w:right w:val="none" w:sz="0" w:space="0" w:color="auto"/>
          </w:divBdr>
        </w:div>
        <w:div w:id="1233195985">
          <w:marLeft w:val="0"/>
          <w:marRight w:val="0"/>
          <w:marTop w:val="0"/>
          <w:marBottom w:val="0"/>
          <w:divBdr>
            <w:top w:val="none" w:sz="0" w:space="0" w:color="auto"/>
            <w:left w:val="none" w:sz="0" w:space="0" w:color="auto"/>
            <w:bottom w:val="none" w:sz="0" w:space="0" w:color="auto"/>
            <w:right w:val="none" w:sz="0" w:space="0" w:color="auto"/>
          </w:divBdr>
        </w:div>
        <w:div w:id="1253199719">
          <w:marLeft w:val="0"/>
          <w:marRight w:val="0"/>
          <w:marTop w:val="0"/>
          <w:marBottom w:val="0"/>
          <w:divBdr>
            <w:top w:val="none" w:sz="0" w:space="0" w:color="auto"/>
            <w:left w:val="none" w:sz="0" w:space="0" w:color="auto"/>
            <w:bottom w:val="none" w:sz="0" w:space="0" w:color="auto"/>
            <w:right w:val="none" w:sz="0" w:space="0" w:color="auto"/>
          </w:divBdr>
        </w:div>
        <w:div w:id="1319311925">
          <w:marLeft w:val="0"/>
          <w:marRight w:val="0"/>
          <w:marTop w:val="0"/>
          <w:marBottom w:val="0"/>
          <w:divBdr>
            <w:top w:val="none" w:sz="0" w:space="0" w:color="auto"/>
            <w:left w:val="none" w:sz="0" w:space="0" w:color="auto"/>
            <w:bottom w:val="none" w:sz="0" w:space="0" w:color="auto"/>
            <w:right w:val="none" w:sz="0" w:space="0" w:color="auto"/>
          </w:divBdr>
        </w:div>
        <w:div w:id="1500660348">
          <w:marLeft w:val="0"/>
          <w:marRight w:val="0"/>
          <w:marTop w:val="0"/>
          <w:marBottom w:val="0"/>
          <w:divBdr>
            <w:top w:val="none" w:sz="0" w:space="0" w:color="auto"/>
            <w:left w:val="none" w:sz="0" w:space="0" w:color="auto"/>
            <w:bottom w:val="none" w:sz="0" w:space="0" w:color="auto"/>
            <w:right w:val="none" w:sz="0" w:space="0" w:color="auto"/>
          </w:divBdr>
        </w:div>
        <w:div w:id="1743598646">
          <w:marLeft w:val="0"/>
          <w:marRight w:val="0"/>
          <w:marTop w:val="0"/>
          <w:marBottom w:val="0"/>
          <w:divBdr>
            <w:top w:val="none" w:sz="0" w:space="0" w:color="auto"/>
            <w:left w:val="none" w:sz="0" w:space="0" w:color="auto"/>
            <w:bottom w:val="none" w:sz="0" w:space="0" w:color="auto"/>
            <w:right w:val="none" w:sz="0" w:space="0" w:color="auto"/>
          </w:divBdr>
        </w:div>
        <w:div w:id="1794518293">
          <w:marLeft w:val="0"/>
          <w:marRight w:val="0"/>
          <w:marTop w:val="0"/>
          <w:marBottom w:val="0"/>
          <w:divBdr>
            <w:top w:val="none" w:sz="0" w:space="0" w:color="auto"/>
            <w:left w:val="none" w:sz="0" w:space="0" w:color="auto"/>
            <w:bottom w:val="none" w:sz="0" w:space="0" w:color="auto"/>
            <w:right w:val="none" w:sz="0" w:space="0" w:color="auto"/>
          </w:divBdr>
        </w:div>
        <w:div w:id="1810438649">
          <w:marLeft w:val="0"/>
          <w:marRight w:val="0"/>
          <w:marTop w:val="0"/>
          <w:marBottom w:val="0"/>
          <w:divBdr>
            <w:top w:val="none" w:sz="0" w:space="0" w:color="auto"/>
            <w:left w:val="none" w:sz="0" w:space="0" w:color="auto"/>
            <w:bottom w:val="none" w:sz="0" w:space="0" w:color="auto"/>
            <w:right w:val="none" w:sz="0" w:space="0" w:color="auto"/>
          </w:divBdr>
        </w:div>
        <w:div w:id="1890025382">
          <w:marLeft w:val="0"/>
          <w:marRight w:val="0"/>
          <w:marTop w:val="0"/>
          <w:marBottom w:val="0"/>
          <w:divBdr>
            <w:top w:val="none" w:sz="0" w:space="0" w:color="auto"/>
            <w:left w:val="none" w:sz="0" w:space="0" w:color="auto"/>
            <w:bottom w:val="none" w:sz="0" w:space="0" w:color="auto"/>
            <w:right w:val="none" w:sz="0" w:space="0" w:color="auto"/>
          </w:divBdr>
        </w:div>
      </w:divsChild>
    </w:div>
    <w:div w:id="1114786812">
      <w:bodyDiv w:val="1"/>
      <w:marLeft w:val="0"/>
      <w:marRight w:val="0"/>
      <w:marTop w:val="0"/>
      <w:marBottom w:val="0"/>
      <w:divBdr>
        <w:top w:val="none" w:sz="0" w:space="0" w:color="auto"/>
        <w:left w:val="none" w:sz="0" w:space="0" w:color="auto"/>
        <w:bottom w:val="none" w:sz="0" w:space="0" w:color="auto"/>
        <w:right w:val="none" w:sz="0" w:space="0" w:color="auto"/>
      </w:divBdr>
    </w:div>
    <w:div w:id="1142651121">
      <w:bodyDiv w:val="1"/>
      <w:marLeft w:val="0"/>
      <w:marRight w:val="0"/>
      <w:marTop w:val="0"/>
      <w:marBottom w:val="0"/>
      <w:divBdr>
        <w:top w:val="none" w:sz="0" w:space="0" w:color="auto"/>
        <w:left w:val="none" w:sz="0" w:space="0" w:color="auto"/>
        <w:bottom w:val="none" w:sz="0" w:space="0" w:color="auto"/>
        <w:right w:val="none" w:sz="0" w:space="0" w:color="auto"/>
      </w:divBdr>
      <w:divsChild>
        <w:div w:id="25450228">
          <w:marLeft w:val="0"/>
          <w:marRight w:val="0"/>
          <w:marTop w:val="0"/>
          <w:marBottom w:val="0"/>
          <w:divBdr>
            <w:top w:val="none" w:sz="0" w:space="0" w:color="auto"/>
            <w:left w:val="none" w:sz="0" w:space="0" w:color="auto"/>
            <w:bottom w:val="none" w:sz="0" w:space="0" w:color="auto"/>
            <w:right w:val="none" w:sz="0" w:space="0" w:color="auto"/>
          </w:divBdr>
        </w:div>
        <w:div w:id="60560402">
          <w:marLeft w:val="0"/>
          <w:marRight w:val="0"/>
          <w:marTop w:val="0"/>
          <w:marBottom w:val="0"/>
          <w:divBdr>
            <w:top w:val="none" w:sz="0" w:space="0" w:color="auto"/>
            <w:left w:val="none" w:sz="0" w:space="0" w:color="auto"/>
            <w:bottom w:val="none" w:sz="0" w:space="0" w:color="auto"/>
            <w:right w:val="none" w:sz="0" w:space="0" w:color="auto"/>
          </w:divBdr>
        </w:div>
        <w:div w:id="119421336">
          <w:marLeft w:val="0"/>
          <w:marRight w:val="0"/>
          <w:marTop w:val="0"/>
          <w:marBottom w:val="0"/>
          <w:divBdr>
            <w:top w:val="none" w:sz="0" w:space="0" w:color="auto"/>
            <w:left w:val="none" w:sz="0" w:space="0" w:color="auto"/>
            <w:bottom w:val="none" w:sz="0" w:space="0" w:color="auto"/>
            <w:right w:val="none" w:sz="0" w:space="0" w:color="auto"/>
          </w:divBdr>
        </w:div>
        <w:div w:id="137459433">
          <w:marLeft w:val="0"/>
          <w:marRight w:val="0"/>
          <w:marTop w:val="0"/>
          <w:marBottom w:val="0"/>
          <w:divBdr>
            <w:top w:val="none" w:sz="0" w:space="0" w:color="auto"/>
            <w:left w:val="none" w:sz="0" w:space="0" w:color="auto"/>
            <w:bottom w:val="none" w:sz="0" w:space="0" w:color="auto"/>
            <w:right w:val="none" w:sz="0" w:space="0" w:color="auto"/>
          </w:divBdr>
        </w:div>
        <w:div w:id="159389602">
          <w:marLeft w:val="0"/>
          <w:marRight w:val="0"/>
          <w:marTop w:val="0"/>
          <w:marBottom w:val="0"/>
          <w:divBdr>
            <w:top w:val="none" w:sz="0" w:space="0" w:color="auto"/>
            <w:left w:val="none" w:sz="0" w:space="0" w:color="auto"/>
            <w:bottom w:val="none" w:sz="0" w:space="0" w:color="auto"/>
            <w:right w:val="none" w:sz="0" w:space="0" w:color="auto"/>
          </w:divBdr>
        </w:div>
        <w:div w:id="314457258">
          <w:marLeft w:val="0"/>
          <w:marRight w:val="0"/>
          <w:marTop w:val="0"/>
          <w:marBottom w:val="0"/>
          <w:divBdr>
            <w:top w:val="none" w:sz="0" w:space="0" w:color="auto"/>
            <w:left w:val="none" w:sz="0" w:space="0" w:color="auto"/>
            <w:bottom w:val="none" w:sz="0" w:space="0" w:color="auto"/>
            <w:right w:val="none" w:sz="0" w:space="0" w:color="auto"/>
          </w:divBdr>
        </w:div>
        <w:div w:id="326324526">
          <w:marLeft w:val="0"/>
          <w:marRight w:val="0"/>
          <w:marTop w:val="0"/>
          <w:marBottom w:val="0"/>
          <w:divBdr>
            <w:top w:val="none" w:sz="0" w:space="0" w:color="auto"/>
            <w:left w:val="none" w:sz="0" w:space="0" w:color="auto"/>
            <w:bottom w:val="none" w:sz="0" w:space="0" w:color="auto"/>
            <w:right w:val="none" w:sz="0" w:space="0" w:color="auto"/>
          </w:divBdr>
        </w:div>
        <w:div w:id="342830021">
          <w:marLeft w:val="0"/>
          <w:marRight w:val="0"/>
          <w:marTop w:val="0"/>
          <w:marBottom w:val="0"/>
          <w:divBdr>
            <w:top w:val="none" w:sz="0" w:space="0" w:color="auto"/>
            <w:left w:val="none" w:sz="0" w:space="0" w:color="auto"/>
            <w:bottom w:val="none" w:sz="0" w:space="0" w:color="auto"/>
            <w:right w:val="none" w:sz="0" w:space="0" w:color="auto"/>
          </w:divBdr>
        </w:div>
        <w:div w:id="349338383">
          <w:marLeft w:val="0"/>
          <w:marRight w:val="0"/>
          <w:marTop w:val="0"/>
          <w:marBottom w:val="0"/>
          <w:divBdr>
            <w:top w:val="none" w:sz="0" w:space="0" w:color="auto"/>
            <w:left w:val="none" w:sz="0" w:space="0" w:color="auto"/>
            <w:bottom w:val="none" w:sz="0" w:space="0" w:color="auto"/>
            <w:right w:val="none" w:sz="0" w:space="0" w:color="auto"/>
          </w:divBdr>
        </w:div>
        <w:div w:id="423233407">
          <w:marLeft w:val="0"/>
          <w:marRight w:val="0"/>
          <w:marTop w:val="0"/>
          <w:marBottom w:val="0"/>
          <w:divBdr>
            <w:top w:val="none" w:sz="0" w:space="0" w:color="auto"/>
            <w:left w:val="none" w:sz="0" w:space="0" w:color="auto"/>
            <w:bottom w:val="none" w:sz="0" w:space="0" w:color="auto"/>
            <w:right w:val="none" w:sz="0" w:space="0" w:color="auto"/>
          </w:divBdr>
        </w:div>
        <w:div w:id="507139266">
          <w:marLeft w:val="0"/>
          <w:marRight w:val="0"/>
          <w:marTop w:val="0"/>
          <w:marBottom w:val="0"/>
          <w:divBdr>
            <w:top w:val="none" w:sz="0" w:space="0" w:color="auto"/>
            <w:left w:val="none" w:sz="0" w:space="0" w:color="auto"/>
            <w:bottom w:val="none" w:sz="0" w:space="0" w:color="auto"/>
            <w:right w:val="none" w:sz="0" w:space="0" w:color="auto"/>
          </w:divBdr>
        </w:div>
        <w:div w:id="616301320">
          <w:marLeft w:val="0"/>
          <w:marRight w:val="0"/>
          <w:marTop w:val="0"/>
          <w:marBottom w:val="0"/>
          <w:divBdr>
            <w:top w:val="none" w:sz="0" w:space="0" w:color="auto"/>
            <w:left w:val="none" w:sz="0" w:space="0" w:color="auto"/>
            <w:bottom w:val="none" w:sz="0" w:space="0" w:color="auto"/>
            <w:right w:val="none" w:sz="0" w:space="0" w:color="auto"/>
          </w:divBdr>
        </w:div>
        <w:div w:id="670789948">
          <w:marLeft w:val="0"/>
          <w:marRight w:val="0"/>
          <w:marTop w:val="0"/>
          <w:marBottom w:val="0"/>
          <w:divBdr>
            <w:top w:val="none" w:sz="0" w:space="0" w:color="auto"/>
            <w:left w:val="none" w:sz="0" w:space="0" w:color="auto"/>
            <w:bottom w:val="none" w:sz="0" w:space="0" w:color="auto"/>
            <w:right w:val="none" w:sz="0" w:space="0" w:color="auto"/>
          </w:divBdr>
        </w:div>
        <w:div w:id="732046951">
          <w:marLeft w:val="0"/>
          <w:marRight w:val="0"/>
          <w:marTop w:val="0"/>
          <w:marBottom w:val="0"/>
          <w:divBdr>
            <w:top w:val="none" w:sz="0" w:space="0" w:color="auto"/>
            <w:left w:val="none" w:sz="0" w:space="0" w:color="auto"/>
            <w:bottom w:val="none" w:sz="0" w:space="0" w:color="auto"/>
            <w:right w:val="none" w:sz="0" w:space="0" w:color="auto"/>
          </w:divBdr>
        </w:div>
        <w:div w:id="844054915">
          <w:marLeft w:val="0"/>
          <w:marRight w:val="0"/>
          <w:marTop w:val="0"/>
          <w:marBottom w:val="0"/>
          <w:divBdr>
            <w:top w:val="none" w:sz="0" w:space="0" w:color="auto"/>
            <w:left w:val="none" w:sz="0" w:space="0" w:color="auto"/>
            <w:bottom w:val="none" w:sz="0" w:space="0" w:color="auto"/>
            <w:right w:val="none" w:sz="0" w:space="0" w:color="auto"/>
          </w:divBdr>
        </w:div>
        <w:div w:id="1114246879">
          <w:marLeft w:val="0"/>
          <w:marRight w:val="0"/>
          <w:marTop w:val="0"/>
          <w:marBottom w:val="0"/>
          <w:divBdr>
            <w:top w:val="none" w:sz="0" w:space="0" w:color="auto"/>
            <w:left w:val="none" w:sz="0" w:space="0" w:color="auto"/>
            <w:bottom w:val="none" w:sz="0" w:space="0" w:color="auto"/>
            <w:right w:val="none" w:sz="0" w:space="0" w:color="auto"/>
          </w:divBdr>
        </w:div>
        <w:div w:id="1212423046">
          <w:marLeft w:val="0"/>
          <w:marRight w:val="0"/>
          <w:marTop w:val="0"/>
          <w:marBottom w:val="0"/>
          <w:divBdr>
            <w:top w:val="none" w:sz="0" w:space="0" w:color="auto"/>
            <w:left w:val="none" w:sz="0" w:space="0" w:color="auto"/>
            <w:bottom w:val="none" w:sz="0" w:space="0" w:color="auto"/>
            <w:right w:val="none" w:sz="0" w:space="0" w:color="auto"/>
          </w:divBdr>
        </w:div>
        <w:div w:id="1238981205">
          <w:marLeft w:val="0"/>
          <w:marRight w:val="0"/>
          <w:marTop w:val="0"/>
          <w:marBottom w:val="0"/>
          <w:divBdr>
            <w:top w:val="none" w:sz="0" w:space="0" w:color="auto"/>
            <w:left w:val="none" w:sz="0" w:space="0" w:color="auto"/>
            <w:bottom w:val="none" w:sz="0" w:space="0" w:color="auto"/>
            <w:right w:val="none" w:sz="0" w:space="0" w:color="auto"/>
          </w:divBdr>
        </w:div>
        <w:div w:id="1466660594">
          <w:marLeft w:val="0"/>
          <w:marRight w:val="0"/>
          <w:marTop w:val="0"/>
          <w:marBottom w:val="0"/>
          <w:divBdr>
            <w:top w:val="none" w:sz="0" w:space="0" w:color="auto"/>
            <w:left w:val="none" w:sz="0" w:space="0" w:color="auto"/>
            <w:bottom w:val="none" w:sz="0" w:space="0" w:color="auto"/>
            <w:right w:val="none" w:sz="0" w:space="0" w:color="auto"/>
          </w:divBdr>
        </w:div>
        <w:div w:id="1507090809">
          <w:marLeft w:val="0"/>
          <w:marRight w:val="0"/>
          <w:marTop w:val="0"/>
          <w:marBottom w:val="0"/>
          <w:divBdr>
            <w:top w:val="none" w:sz="0" w:space="0" w:color="auto"/>
            <w:left w:val="none" w:sz="0" w:space="0" w:color="auto"/>
            <w:bottom w:val="none" w:sz="0" w:space="0" w:color="auto"/>
            <w:right w:val="none" w:sz="0" w:space="0" w:color="auto"/>
          </w:divBdr>
        </w:div>
        <w:div w:id="1554081557">
          <w:marLeft w:val="0"/>
          <w:marRight w:val="0"/>
          <w:marTop w:val="0"/>
          <w:marBottom w:val="0"/>
          <w:divBdr>
            <w:top w:val="none" w:sz="0" w:space="0" w:color="auto"/>
            <w:left w:val="none" w:sz="0" w:space="0" w:color="auto"/>
            <w:bottom w:val="none" w:sz="0" w:space="0" w:color="auto"/>
            <w:right w:val="none" w:sz="0" w:space="0" w:color="auto"/>
          </w:divBdr>
        </w:div>
        <w:div w:id="1774472224">
          <w:marLeft w:val="0"/>
          <w:marRight w:val="0"/>
          <w:marTop w:val="0"/>
          <w:marBottom w:val="0"/>
          <w:divBdr>
            <w:top w:val="none" w:sz="0" w:space="0" w:color="auto"/>
            <w:left w:val="none" w:sz="0" w:space="0" w:color="auto"/>
            <w:bottom w:val="none" w:sz="0" w:space="0" w:color="auto"/>
            <w:right w:val="none" w:sz="0" w:space="0" w:color="auto"/>
          </w:divBdr>
        </w:div>
        <w:div w:id="1830318789">
          <w:marLeft w:val="0"/>
          <w:marRight w:val="0"/>
          <w:marTop w:val="0"/>
          <w:marBottom w:val="0"/>
          <w:divBdr>
            <w:top w:val="none" w:sz="0" w:space="0" w:color="auto"/>
            <w:left w:val="none" w:sz="0" w:space="0" w:color="auto"/>
            <w:bottom w:val="none" w:sz="0" w:space="0" w:color="auto"/>
            <w:right w:val="none" w:sz="0" w:space="0" w:color="auto"/>
          </w:divBdr>
        </w:div>
        <w:div w:id="1972854995">
          <w:marLeft w:val="0"/>
          <w:marRight w:val="0"/>
          <w:marTop w:val="0"/>
          <w:marBottom w:val="0"/>
          <w:divBdr>
            <w:top w:val="none" w:sz="0" w:space="0" w:color="auto"/>
            <w:left w:val="none" w:sz="0" w:space="0" w:color="auto"/>
            <w:bottom w:val="none" w:sz="0" w:space="0" w:color="auto"/>
            <w:right w:val="none" w:sz="0" w:space="0" w:color="auto"/>
          </w:divBdr>
        </w:div>
        <w:div w:id="2062249435">
          <w:marLeft w:val="0"/>
          <w:marRight w:val="0"/>
          <w:marTop w:val="0"/>
          <w:marBottom w:val="0"/>
          <w:divBdr>
            <w:top w:val="none" w:sz="0" w:space="0" w:color="auto"/>
            <w:left w:val="none" w:sz="0" w:space="0" w:color="auto"/>
            <w:bottom w:val="none" w:sz="0" w:space="0" w:color="auto"/>
            <w:right w:val="none" w:sz="0" w:space="0" w:color="auto"/>
          </w:divBdr>
        </w:div>
        <w:div w:id="2089887343">
          <w:marLeft w:val="0"/>
          <w:marRight w:val="0"/>
          <w:marTop w:val="0"/>
          <w:marBottom w:val="0"/>
          <w:divBdr>
            <w:top w:val="none" w:sz="0" w:space="0" w:color="auto"/>
            <w:left w:val="none" w:sz="0" w:space="0" w:color="auto"/>
            <w:bottom w:val="none" w:sz="0" w:space="0" w:color="auto"/>
            <w:right w:val="none" w:sz="0" w:space="0" w:color="auto"/>
          </w:divBdr>
        </w:div>
        <w:div w:id="2138376651">
          <w:marLeft w:val="0"/>
          <w:marRight w:val="0"/>
          <w:marTop w:val="0"/>
          <w:marBottom w:val="0"/>
          <w:divBdr>
            <w:top w:val="none" w:sz="0" w:space="0" w:color="auto"/>
            <w:left w:val="none" w:sz="0" w:space="0" w:color="auto"/>
            <w:bottom w:val="none" w:sz="0" w:space="0" w:color="auto"/>
            <w:right w:val="none" w:sz="0" w:space="0" w:color="auto"/>
          </w:divBdr>
        </w:div>
      </w:divsChild>
    </w:div>
    <w:div w:id="1395737662">
      <w:bodyDiv w:val="1"/>
      <w:marLeft w:val="0"/>
      <w:marRight w:val="0"/>
      <w:marTop w:val="0"/>
      <w:marBottom w:val="0"/>
      <w:divBdr>
        <w:top w:val="none" w:sz="0" w:space="0" w:color="auto"/>
        <w:left w:val="none" w:sz="0" w:space="0" w:color="auto"/>
        <w:bottom w:val="none" w:sz="0" w:space="0" w:color="auto"/>
        <w:right w:val="none" w:sz="0" w:space="0" w:color="auto"/>
      </w:divBdr>
      <w:divsChild>
        <w:div w:id="293754387">
          <w:marLeft w:val="0"/>
          <w:marRight w:val="0"/>
          <w:marTop w:val="0"/>
          <w:marBottom w:val="0"/>
          <w:divBdr>
            <w:top w:val="none" w:sz="0" w:space="0" w:color="auto"/>
            <w:left w:val="none" w:sz="0" w:space="0" w:color="auto"/>
            <w:bottom w:val="none" w:sz="0" w:space="0" w:color="auto"/>
            <w:right w:val="none" w:sz="0" w:space="0" w:color="auto"/>
          </w:divBdr>
        </w:div>
        <w:div w:id="1087770977">
          <w:marLeft w:val="0"/>
          <w:marRight w:val="0"/>
          <w:marTop w:val="0"/>
          <w:marBottom w:val="0"/>
          <w:divBdr>
            <w:top w:val="none" w:sz="0" w:space="0" w:color="auto"/>
            <w:left w:val="none" w:sz="0" w:space="0" w:color="auto"/>
            <w:bottom w:val="none" w:sz="0" w:space="0" w:color="auto"/>
            <w:right w:val="none" w:sz="0" w:space="0" w:color="auto"/>
          </w:divBdr>
        </w:div>
      </w:divsChild>
    </w:div>
    <w:div w:id="1586573595">
      <w:bodyDiv w:val="1"/>
      <w:marLeft w:val="0"/>
      <w:marRight w:val="0"/>
      <w:marTop w:val="0"/>
      <w:marBottom w:val="0"/>
      <w:divBdr>
        <w:top w:val="none" w:sz="0" w:space="0" w:color="auto"/>
        <w:left w:val="none" w:sz="0" w:space="0" w:color="auto"/>
        <w:bottom w:val="none" w:sz="0" w:space="0" w:color="auto"/>
        <w:right w:val="none" w:sz="0" w:space="0" w:color="auto"/>
      </w:divBdr>
    </w:div>
    <w:div w:id="1675565838">
      <w:bodyDiv w:val="1"/>
      <w:marLeft w:val="0"/>
      <w:marRight w:val="0"/>
      <w:marTop w:val="0"/>
      <w:marBottom w:val="0"/>
      <w:divBdr>
        <w:top w:val="none" w:sz="0" w:space="0" w:color="auto"/>
        <w:left w:val="none" w:sz="0" w:space="0" w:color="auto"/>
        <w:bottom w:val="none" w:sz="0" w:space="0" w:color="auto"/>
        <w:right w:val="none" w:sz="0" w:space="0" w:color="auto"/>
      </w:divBdr>
    </w:div>
    <w:div w:id="1848592906">
      <w:bodyDiv w:val="1"/>
      <w:marLeft w:val="0"/>
      <w:marRight w:val="0"/>
      <w:marTop w:val="0"/>
      <w:marBottom w:val="0"/>
      <w:divBdr>
        <w:top w:val="none" w:sz="0" w:space="0" w:color="auto"/>
        <w:left w:val="none" w:sz="0" w:space="0" w:color="auto"/>
        <w:bottom w:val="none" w:sz="0" w:space="0" w:color="auto"/>
        <w:right w:val="none" w:sz="0" w:space="0" w:color="auto"/>
      </w:divBdr>
      <w:divsChild>
        <w:div w:id="274213453">
          <w:marLeft w:val="0"/>
          <w:marRight w:val="0"/>
          <w:marTop w:val="0"/>
          <w:marBottom w:val="0"/>
          <w:divBdr>
            <w:top w:val="none" w:sz="0" w:space="0" w:color="auto"/>
            <w:left w:val="none" w:sz="0" w:space="0" w:color="auto"/>
            <w:bottom w:val="none" w:sz="0" w:space="0" w:color="auto"/>
            <w:right w:val="none" w:sz="0" w:space="0" w:color="auto"/>
          </w:divBdr>
        </w:div>
        <w:div w:id="1209757837">
          <w:marLeft w:val="0"/>
          <w:marRight w:val="0"/>
          <w:marTop w:val="0"/>
          <w:marBottom w:val="0"/>
          <w:divBdr>
            <w:top w:val="none" w:sz="0" w:space="0" w:color="auto"/>
            <w:left w:val="none" w:sz="0" w:space="0" w:color="auto"/>
            <w:bottom w:val="none" w:sz="0" w:space="0" w:color="auto"/>
            <w:right w:val="none" w:sz="0" w:space="0" w:color="auto"/>
          </w:divBdr>
        </w:div>
        <w:div w:id="1384673191">
          <w:marLeft w:val="0"/>
          <w:marRight w:val="0"/>
          <w:marTop w:val="0"/>
          <w:marBottom w:val="0"/>
          <w:divBdr>
            <w:top w:val="none" w:sz="0" w:space="0" w:color="auto"/>
            <w:left w:val="none" w:sz="0" w:space="0" w:color="auto"/>
            <w:bottom w:val="none" w:sz="0" w:space="0" w:color="auto"/>
            <w:right w:val="none" w:sz="0" w:space="0" w:color="auto"/>
          </w:divBdr>
        </w:div>
        <w:div w:id="1519347027">
          <w:marLeft w:val="0"/>
          <w:marRight w:val="0"/>
          <w:marTop w:val="0"/>
          <w:marBottom w:val="0"/>
          <w:divBdr>
            <w:top w:val="none" w:sz="0" w:space="0" w:color="auto"/>
            <w:left w:val="none" w:sz="0" w:space="0" w:color="auto"/>
            <w:bottom w:val="none" w:sz="0" w:space="0" w:color="auto"/>
            <w:right w:val="none" w:sz="0" w:space="0" w:color="auto"/>
          </w:divBdr>
        </w:div>
        <w:div w:id="1670015917">
          <w:marLeft w:val="0"/>
          <w:marRight w:val="0"/>
          <w:marTop w:val="0"/>
          <w:marBottom w:val="0"/>
          <w:divBdr>
            <w:top w:val="none" w:sz="0" w:space="0" w:color="auto"/>
            <w:left w:val="none" w:sz="0" w:space="0" w:color="auto"/>
            <w:bottom w:val="none" w:sz="0" w:space="0" w:color="auto"/>
            <w:right w:val="none" w:sz="0" w:space="0" w:color="auto"/>
          </w:divBdr>
        </w:div>
        <w:div w:id="1989673092">
          <w:marLeft w:val="0"/>
          <w:marRight w:val="0"/>
          <w:marTop w:val="0"/>
          <w:marBottom w:val="0"/>
          <w:divBdr>
            <w:top w:val="none" w:sz="0" w:space="0" w:color="auto"/>
            <w:left w:val="none" w:sz="0" w:space="0" w:color="auto"/>
            <w:bottom w:val="none" w:sz="0" w:space="0" w:color="auto"/>
            <w:right w:val="none" w:sz="0" w:space="0" w:color="auto"/>
          </w:divBdr>
        </w:div>
        <w:div w:id="2010055599">
          <w:marLeft w:val="0"/>
          <w:marRight w:val="0"/>
          <w:marTop w:val="0"/>
          <w:marBottom w:val="0"/>
          <w:divBdr>
            <w:top w:val="none" w:sz="0" w:space="0" w:color="auto"/>
            <w:left w:val="none" w:sz="0" w:space="0" w:color="auto"/>
            <w:bottom w:val="none" w:sz="0" w:space="0" w:color="auto"/>
            <w:right w:val="none" w:sz="0" w:space="0" w:color="auto"/>
          </w:divBdr>
        </w:div>
      </w:divsChild>
    </w:div>
    <w:div w:id="1885483169">
      <w:bodyDiv w:val="1"/>
      <w:marLeft w:val="0"/>
      <w:marRight w:val="0"/>
      <w:marTop w:val="0"/>
      <w:marBottom w:val="0"/>
      <w:divBdr>
        <w:top w:val="none" w:sz="0" w:space="0" w:color="auto"/>
        <w:left w:val="none" w:sz="0" w:space="0" w:color="auto"/>
        <w:bottom w:val="none" w:sz="0" w:space="0" w:color="auto"/>
        <w:right w:val="none" w:sz="0" w:space="0" w:color="auto"/>
      </w:divBdr>
      <w:divsChild>
        <w:div w:id="61685714">
          <w:marLeft w:val="0"/>
          <w:marRight w:val="0"/>
          <w:marTop w:val="0"/>
          <w:marBottom w:val="0"/>
          <w:divBdr>
            <w:top w:val="none" w:sz="0" w:space="0" w:color="auto"/>
            <w:left w:val="none" w:sz="0" w:space="0" w:color="auto"/>
            <w:bottom w:val="none" w:sz="0" w:space="0" w:color="auto"/>
            <w:right w:val="none" w:sz="0" w:space="0" w:color="auto"/>
          </w:divBdr>
          <w:divsChild>
            <w:div w:id="776143662">
              <w:marLeft w:val="0"/>
              <w:marRight w:val="0"/>
              <w:marTop w:val="0"/>
              <w:marBottom w:val="0"/>
              <w:divBdr>
                <w:top w:val="none" w:sz="0" w:space="0" w:color="auto"/>
                <w:left w:val="none" w:sz="0" w:space="0" w:color="auto"/>
                <w:bottom w:val="none" w:sz="0" w:space="0" w:color="auto"/>
                <w:right w:val="none" w:sz="0" w:space="0" w:color="auto"/>
              </w:divBdr>
              <w:divsChild>
                <w:div w:id="2136098452">
                  <w:marLeft w:val="0"/>
                  <w:marRight w:val="0"/>
                  <w:marTop w:val="0"/>
                  <w:marBottom w:val="0"/>
                  <w:divBdr>
                    <w:top w:val="none" w:sz="0" w:space="0" w:color="auto"/>
                    <w:left w:val="none" w:sz="0" w:space="0" w:color="auto"/>
                    <w:bottom w:val="none" w:sz="0" w:space="0" w:color="auto"/>
                    <w:right w:val="none" w:sz="0" w:space="0" w:color="auto"/>
                  </w:divBdr>
                  <w:divsChild>
                    <w:div w:id="1093552119">
                      <w:marLeft w:val="0"/>
                      <w:marRight w:val="0"/>
                      <w:marTop w:val="0"/>
                      <w:marBottom w:val="0"/>
                      <w:divBdr>
                        <w:top w:val="none" w:sz="0" w:space="0" w:color="auto"/>
                        <w:left w:val="none" w:sz="0" w:space="0" w:color="auto"/>
                        <w:bottom w:val="none" w:sz="0" w:space="0" w:color="auto"/>
                        <w:right w:val="none" w:sz="0" w:space="0" w:color="auto"/>
                      </w:divBdr>
                      <w:divsChild>
                        <w:div w:id="7463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276616">
          <w:marLeft w:val="0"/>
          <w:marRight w:val="0"/>
          <w:marTop w:val="0"/>
          <w:marBottom w:val="0"/>
          <w:divBdr>
            <w:top w:val="none" w:sz="0" w:space="0" w:color="auto"/>
            <w:left w:val="none" w:sz="0" w:space="0" w:color="auto"/>
            <w:bottom w:val="none" w:sz="0" w:space="0" w:color="auto"/>
            <w:right w:val="none" w:sz="0" w:space="0" w:color="auto"/>
          </w:divBdr>
          <w:divsChild>
            <w:div w:id="987900308">
              <w:marLeft w:val="0"/>
              <w:marRight w:val="0"/>
              <w:marTop w:val="0"/>
              <w:marBottom w:val="0"/>
              <w:divBdr>
                <w:top w:val="none" w:sz="0" w:space="0" w:color="auto"/>
                <w:left w:val="none" w:sz="0" w:space="0" w:color="auto"/>
                <w:bottom w:val="none" w:sz="0" w:space="0" w:color="auto"/>
                <w:right w:val="none" w:sz="0" w:space="0" w:color="auto"/>
              </w:divBdr>
              <w:divsChild>
                <w:div w:id="1113135988">
                  <w:marLeft w:val="0"/>
                  <w:marRight w:val="0"/>
                  <w:marTop w:val="0"/>
                  <w:marBottom w:val="0"/>
                  <w:divBdr>
                    <w:top w:val="none" w:sz="0" w:space="0" w:color="auto"/>
                    <w:left w:val="none" w:sz="0" w:space="0" w:color="auto"/>
                    <w:bottom w:val="none" w:sz="0" w:space="0" w:color="auto"/>
                    <w:right w:val="none" w:sz="0" w:space="0" w:color="auto"/>
                  </w:divBdr>
                  <w:divsChild>
                    <w:div w:id="395471791">
                      <w:marLeft w:val="0"/>
                      <w:marRight w:val="0"/>
                      <w:marTop w:val="0"/>
                      <w:marBottom w:val="0"/>
                      <w:divBdr>
                        <w:top w:val="none" w:sz="0" w:space="0" w:color="auto"/>
                        <w:left w:val="none" w:sz="0" w:space="0" w:color="auto"/>
                        <w:bottom w:val="none" w:sz="0" w:space="0" w:color="auto"/>
                        <w:right w:val="none" w:sz="0" w:space="0" w:color="auto"/>
                      </w:divBdr>
                      <w:divsChild>
                        <w:div w:id="1733189733">
                          <w:marLeft w:val="0"/>
                          <w:marRight w:val="0"/>
                          <w:marTop w:val="0"/>
                          <w:marBottom w:val="0"/>
                          <w:divBdr>
                            <w:top w:val="none" w:sz="0" w:space="0" w:color="auto"/>
                            <w:left w:val="none" w:sz="0" w:space="0" w:color="auto"/>
                            <w:bottom w:val="none" w:sz="0" w:space="0" w:color="auto"/>
                            <w:right w:val="none" w:sz="0" w:space="0" w:color="auto"/>
                          </w:divBdr>
                          <w:divsChild>
                            <w:div w:id="779035857">
                              <w:marLeft w:val="0"/>
                              <w:marRight w:val="300"/>
                              <w:marTop w:val="180"/>
                              <w:marBottom w:val="0"/>
                              <w:divBdr>
                                <w:top w:val="none" w:sz="0" w:space="0" w:color="auto"/>
                                <w:left w:val="none" w:sz="0" w:space="0" w:color="auto"/>
                                <w:bottom w:val="none" w:sz="0" w:space="0" w:color="auto"/>
                                <w:right w:val="none" w:sz="0" w:space="0" w:color="auto"/>
                              </w:divBdr>
                              <w:divsChild>
                                <w:div w:id="87905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076581">
      <w:bodyDiv w:val="1"/>
      <w:marLeft w:val="0"/>
      <w:marRight w:val="0"/>
      <w:marTop w:val="0"/>
      <w:marBottom w:val="0"/>
      <w:divBdr>
        <w:top w:val="none" w:sz="0" w:space="0" w:color="auto"/>
        <w:left w:val="none" w:sz="0" w:space="0" w:color="auto"/>
        <w:bottom w:val="none" w:sz="0" w:space="0" w:color="auto"/>
        <w:right w:val="none" w:sz="0" w:space="0" w:color="auto"/>
      </w:divBdr>
      <w:divsChild>
        <w:div w:id="887883056">
          <w:marLeft w:val="0"/>
          <w:marRight w:val="0"/>
          <w:marTop w:val="0"/>
          <w:marBottom w:val="0"/>
          <w:divBdr>
            <w:top w:val="none" w:sz="0" w:space="0" w:color="auto"/>
            <w:left w:val="none" w:sz="0" w:space="0" w:color="auto"/>
            <w:bottom w:val="none" w:sz="0" w:space="0" w:color="auto"/>
            <w:right w:val="none" w:sz="0" w:space="0" w:color="auto"/>
          </w:divBdr>
        </w:div>
      </w:divsChild>
    </w:div>
    <w:div w:id="1956867817">
      <w:bodyDiv w:val="1"/>
      <w:marLeft w:val="0"/>
      <w:marRight w:val="0"/>
      <w:marTop w:val="0"/>
      <w:marBottom w:val="0"/>
      <w:divBdr>
        <w:top w:val="none" w:sz="0" w:space="0" w:color="auto"/>
        <w:left w:val="none" w:sz="0" w:space="0" w:color="auto"/>
        <w:bottom w:val="none" w:sz="0" w:space="0" w:color="auto"/>
        <w:right w:val="none" w:sz="0" w:space="0" w:color="auto"/>
      </w:divBdr>
    </w:div>
    <w:div w:id="2140490691">
      <w:bodyDiv w:val="1"/>
      <w:marLeft w:val="0"/>
      <w:marRight w:val="0"/>
      <w:marTop w:val="0"/>
      <w:marBottom w:val="0"/>
      <w:divBdr>
        <w:top w:val="none" w:sz="0" w:space="0" w:color="auto"/>
        <w:left w:val="none" w:sz="0" w:space="0" w:color="auto"/>
        <w:bottom w:val="none" w:sz="0" w:space="0" w:color="auto"/>
        <w:right w:val="none" w:sz="0" w:space="0" w:color="auto"/>
      </w:divBdr>
      <w:divsChild>
        <w:div w:id="340356567">
          <w:marLeft w:val="0"/>
          <w:marRight w:val="0"/>
          <w:marTop w:val="0"/>
          <w:marBottom w:val="0"/>
          <w:divBdr>
            <w:top w:val="none" w:sz="0" w:space="0" w:color="auto"/>
            <w:left w:val="none" w:sz="0" w:space="0" w:color="auto"/>
            <w:bottom w:val="none" w:sz="0" w:space="0" w:color="auto"/>
            <w:right w:val="none" w:sz="0" w:space="0" w:color="auto"/>
          </w:divBdr>
          <w:divsChild>
            <w:div w:id="1035501370">
              <w:marLeft w:val="0"/>
              <w:marRight w:val="0"/>
              <w:marTop w:val="0"/>
              <w:marBottom w:val="0"/>
              <w:divBdr>
                <w:top w:val="none" w:sz="0" w:space="0" w:color="auto"/>
                <w:left w:val="none" w:sz="0" w:space="0" w:color="auto"/>
                <w:bottom w:val="none" w:sz="0" w:space="0" w:color="auto"/>
                <w:right w:val="none" w:sz="0" w:space="0" w:color="auto"/>
              </w:divBdr>
              <w:divsChild>
                <w:div w:id="161242010">
                  <w:marLeft w:val="0"/>
                  <w:marRight w:val="0"/>
                  <w:marTop w:val="0"/>
                  <w:marBottom w:val="0"/>
                  <w:divBdr>
                    <w:top w:val="none" w:sz="0" w:space="0" w:color="auto"/>
                    <w:left w:val="none" w:sz="0" w:space="0" w:color="auto"/>
                    <w:bottom w:val="none" w:sz="0" w:space="0" w:color="auto"/>
                    <w:right w:val="none" w:sz="0" w:space="0" w:color="auto"/>
                  </w:divBdr>
                  <w:divsChild>
                    <w:div w:id="1030495154">
                      <w:marLeft w:val="0"/>
                      <w:marRight w:val="0"/>
                      <w:marTop w:val="0"/>
                      <w:marBottom w:val="0"/>
                      <w:divBdr>
                        <w:top w:val="none" w:sz="0" w:space="0" w:color="auto"/>
                        <w:left w:val="none" w:sz="0" w:space="0" w:color="auto"/>
                        <w:bottom w:val="none" w:sz="0" w:space="0" w:color="auto"/>
                        <w:right w:val="none" w:sz="0" w:space="0" w:color="auto"/>
                      </w:divBdr>
                      <w:divsChild>
                        <w:div w:id="1030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308882">
          <w:marLeft w:val="0"/>
          <w:marRight w:val="0"/>
          <w:marTop w:val="0"/>
          <w:marBottom w:val="0"/>
          <w:divBdr>
            <w:top w:val="none" w:sz="0" w:space="0" w:color="auto"/>
            <w:left w:val="none" w:sz="0" w:space="0" w:color="auto"/>
            <w:bottom w:val="none" w:sz="0" w:space="0" w:color="auto"/>
            <w:right w:val="none" w:sz="0" w:space="0" w:color="auto"/>
          </w:divBdr>
          <w:divsChild>
            <w:div w:id="1340889129">
              <w:marLeft w:val="0"/>
              <w:marRight w:val="0"/>
              <w:marTop w:val="0"/>
              <w:marBottom w:val="0"/>
              <w:divBdr>
                <w:top w:val="none" w:sz="0" w:space="0" w:color="auto"/>
                <w:left w:val="none" w:sz="0" w:space="0" w:color="auto"/>
                <w:bottom w:val="none" w:sz="0" w:space="0" w:color="auto"/>
                <w:right w:val="none" w:sz="0" w:space="0" w:color="auto"/>
              </w:divBdr>
              <w:divsChild>
                <w:div w:id="291450188">
                  <w:marLeft w:val="0"/>
                  <w:marRight w:val="0"/>
                  <w:marTop w:val="0"/>
                  <w:marBottom w:val="0"/>
                  <w:divBdr>
                    <w:top w:val="none" w:sz="0" w:space="0" w:color="auto"/>
                    <w:left w:val="none" w:sz="0" w:space="0" w:color="auto"/>
                    <w:bottom w:val="none" w:sz="0" w:space="0" w:color="auto"/>
                    <w:right w:val="none" w:sz="0" w:space="0" w:color="auto"/>
                  </w:divBdr>
                  <w:divsChild>
                    <w:div w:id="775565719">
                      <w:marLeft w:val="0"/>
                      <w:marRight w:val="0"/>
                      <w:marTop w:val="0"/>
                      <w:marBottom w:val="0"/>
                      <w:divBdr>
                        <w:top w:val="none" w:sz="0" w:space="0" w:color="auto"/>
                        <w:left w:val="none" w:sz="0" w:space="0" w:color="auto"/>
                        <w:bottom w:val="none" w:sz="0" w:space="0" w:color="auto"/>
                        <w:right w:val="none" w:sz="0" w:space="0" w:color="auto"/>
                      </w:divBdr>
                      <w:divsChild>
                        <w:div w:id="2096170626">
                          <w:marLeft w:val="0"/>
                          <w:marRight w:val="0"/>
                          <w:marTop w:val="0"/>
                          <w:marBottom w:val="0"/>
                          <w:divBdr>
                            <w:top w:val="none" w:sz="0" w:space="0" w:color="auto"/>
                            <w:left w:val="none" w:sz="0" w:space="0" w:color="auto"/>
                            <w:bottom w:val="none" w:sz="0" w:space="0" w:color="auto"/>
                            <w:right w:val="none" w:sz="0" w:space="0" w:color="auto"/>
                          </w:divBdr>
                          <w:divsChild>
                            <w:div w:id="798383080">
                              <w:marLeft w:val="0"/>
                              <w:marRight w:val="300"/>
                              <w:marTop w:val="180"/>
                              <w:marBottom w:val="0"/>
                              <w:divBdr>
                                <w:top w:val="none" w:sz="0" w:space="0" w:color="auto"/>
                                <w:left w:val="none" w:sz="0" w:space="0" w:color="auto"/>
                                <w:bottom w:val="none" w:sz="0" w:space="0" w:color="auto"/>
                                <w:right w:val="none" w:sz="0" w:space="0" w:color="auto"/>
                              </w:divBdr>
                              <w:divsChild>
                                <w:div w:id="6880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dets.mscbs.gob.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2CD75-88FC-443C-894B-D60DF6C5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41148</Words>
  <Characters>226314</Characters>
  <Application>Microsoft Office Word</Application>
  <DocSecurity>0</DocSecurity>
  <Lines>1885</Lines>
  <Paragraphs>533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Olry de Labry Lima</dc:creator>
  <cp:keywords/>
  <dc:description/>
  <cp:lastModifiedBy>Antonio Olry de Labry Lima</cp:lastModifiedBy>
  <cp:revision>6</cp:revision>
  <cp:lastPrinted>2020-02-12T17:00:00Z</cp:lastPrinted>
  <dcterms:created xsi:type="dcterms:W3CDTF">2021-07-22T14:37:00Z</dcterms:created>
  <dcterms:modified xsi:type="dcterms:W3CDTF">2021-07-23T05:59:00Z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http://www.zotero.org/styles/annals-of-oncology</vt:lpwstr>
  </property>
  <property fmtid="{D5CDD505-2E9C-101B-9397-08002B2CF9AE}" pid="7" name="Mendeley Recent Style Name 2_1">
    <vt:lpwstr>Annals of Oncology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2ebf7ea3-2b7f-3d5d-97f4-b26aa6121d94</vt:lpwstr>
  </property>
  <property fmtid="{D5CDD505-2E9C-101B-9397-08002B2CF9AE}" pid="24" name="Mendeley Citation Style_1">
    <vt:lpwstr>http://www.zotero.org/styles/vancouver-superscript</vt:lpwstr>
  </property>
</Properties>
</file>