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officeDocument" Target="word/document.xml"/>
   <Relationship Id="rId2" Type="http://schemas.openxmlformats.org/package/2006/relationships/metadata/core-properties" Target="docProps/core.xml"/>
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D42" w:rsidRPr="00256315" w:rsidRDefault="004300B0" w:rsidP="003B1D42">
      <w:pPr>
        <w:pStyle w:val="Descripcin"/>
        <w:keepNext/>
        <w:spacing w:after="0"/>
        <w:rPr>
          <w:rFonts w:ascii="Cambria" w:hAnsi="Cambria"/>
          <w:color w:val="auto"/>
          <w:sz w:val="24"/>
        </w:rPr>
      </w:pPr>
      <w:r>
        <w:rPr>
          <w:rFonts w:ascii="Cambria" w:hAnsi="Cambria"/>
          <w:color w:val="auto"/>
          <w:sz w:val="24"/>
        </w:rPr>
        <w:t xml:space="preserve">       </w:t>
      </w:r>
      <w:r w:rsidR="003B1D42" w:rsidRPr="00256315">
        <w:rPr>
          <w:rFonts w:ascii="Cambria" w:hAnsi="Cambria"/>
          <w:color w:val="auto"/>
          <w:sz w:val="24"/>
        </w:rPr>
        <w:t>Tabla 1</w:t>
      </w:r>
      <w:r w:rsidR="003B1D42">
        <w:rPr>
          <w:rFonts w:ascii="Cambria" w:hAnsi="Cambria"/>
          <w:color w:val="auto"/>
          <w:sz w:val="24"/>
        </w:rPr>
        <w:t>1</w:t>
      </w:r>
      <w:r w:rsidR="009105C3">
        <w:rPr>
          <w:rFonts w:ascii="Cambria" w:hAnsi="Cambria"/>
          <w:color w:val="auto"/>
          <w:sz w:val="24"/>
        </w:rPr>
        <w:t>.</w:t>
      </w:r>
      <w:r w:rsidR="003B1D42" w:rsidRPr="00256315">
        <w:rPr>
          <w:rFonts w:ascii="Cambria" w:hAnsi="Cambria"/>
          <w:color w:val="auto"/>
          <w:sz w:val="24"/>
        </w:rPr>
        <w:t xml:space="preserve"> Prevalencia de dolor crónico según utilización de consulta médica y tipo de seguro sanitario</w:t>
      </w:r>
      <w:r w:rsidR="009105C3">
        <w:rPr>
          <w:rFonts w:ascii="Cambria" w:hAnsi="Cambria"/>
          <w:color w:val="auto"/>
          <w:sz w:val="24"/>
        </w:rPr>
        <w:t>.</w:t>
      </w:r>
    </w:p>
    <w:tbl>
      <w:tblPr>
        <w:tblW w:w="13892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2"/>
        <w:gridCol w:w="1602"/>
        <w:gridCol w:w="993"/>
        <w:gridCol w:w="141"/>
        <w:gridCol w:w="1206"/>
        <w:gridCol w:w="70"/>
        <w:gridCol w:w="142"/>
        <w:gridCol w:w="992"/>
        <w:gridCol w:w="1095"/>
        <w:gridCol w:w="39"/>
        <w:gridCol w:w="1134"/>
        <w:gridCol w:w="1134"/>
        <w:gridCol w:w="1134"/>
        <w:gridCol w:w="1134"/>
        <w:gridCol w:w="262"/>
        <w:gridCol w:w="992"/>
      </w:tblGrid>
      <w:tr w:rsidR="003B1D42" w:rsidRPr="00300D30" w:rsidTr="002E7313">
        <w:trPr>
          <w:trHeight w:val="20"/>
          <w:jc w:val="right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iCs/>
                <w:sz w:val="16"/>
                <w:szCs w:val="16"/>
                <w:lang w:eastAsia="es-ES"/>
              </w:rPr>
              <w:t>Poblaciones</w:t>
            </w:r>
          </w:p>
        </w:tc>
        <w:tc>
          <w:tcPr>
            <w:tcW w:w="514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Acudir a Centro de Salud (consultorio) o Ambulatorio (centro de Especialidades) de la seguridad Social/SAS (últimos 12 meses)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Tipo de medico visitado</w:t>
            </w:r>
          </w:p>
        </w:tc>
        <w:tc>
          <w:tcPr>
            <w:tcW w:w="3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Titular de alguna modalidad de Seguro Sanitario</w:t>
            </w:r>
          </w:p>
        </w:tc>
      </w:tr>
      <w:tr w:rsidR="003B1D42" w:rsidRPr="00300D30" w:rsidTr="002E7313">
        <w:trPr>
          <w:trHeight w:val="20"/>
          <w:jc w:val="right"/>
        </w:trPr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iCs/>
                <w:sz w:val="16"/>
                <w:szCs w:val="16"/>
                <w:lang w:eastAsia="es-ES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Sí</w:t>
            </w:r>
            <w:r w:rsidR="009105C3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por algo que le pasaba a usted (n=3707)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Sí</w:t>
            </w:r>
            <w:r w:rsidR="009105C3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por algo que le pasaba a otra persona (n=630)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ind w:firstLine="2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Sí</w:t>
            </w:r>
            <w:r w:rsidR="009105C3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ambos motivos (n=1274)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No (n=889)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Médico General (n=1437)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Médico Especialista (n=354)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No (n=4690)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Seguridad Social (n=6112)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Privado / Concertado (n=128)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Ambos seguros (n=260)</w:t>
            </w:r>
          </w:p>
        </w:tc>
      </w:tr>
      <w:tr w:rsidR="003B1D42" w:rsidRPr="00300D30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Dolor crónico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19% (748)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87% (56)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19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27% (246)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65% (68)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67% (355)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73% (91)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27% (669)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2% (1053)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89% (19)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18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11% (47)</w:t>
            </w:r>
          </w:p>
        </w:tc>
      </w:tr>
      <w:tr w:rsidR="003B1D42" w:rsidRPr="00300D30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Inter</w:t>
            </w:r>
            <w:r w:rsidR="009105C3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.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Conf</w:t>
            </w:r>
            <w:r w:rsidR="009105C3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.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95%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(18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93-21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9-11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2-21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53)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07-9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59)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(22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52-26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96)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(21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44-30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3-15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29)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3-18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(9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71-22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15)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88-23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28)</w:t>
            </w:r>
          </w:p>
        </w:tc>
      </w:tr>
      <w:tr w:rsidR="003B1D42" w:rsidRPr="00300D30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CV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127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057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117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046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036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211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132</w:t>
            </w:r>
          </w:p>
        </w:tc>
      </w:tr>
      <w:tr w:rsidR="003B1D42" w:rsidRPr="00300D30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Test</w:t>
            </w:r>
          </w:p>
        </w:tc>
        <w:tc>
          <w:tcPr>
            <w:tcW w:w="5146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proofErr w:type="gramStart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F(</w:t>
            </w:r>
            <w:proofErr w:type="gramEnd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3;19406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86)= 38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287; p &lt; 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001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proofErr w:type="gramStart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F(</w:t>
            </w:r>
            <w:proofErr w:type="gramEnd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2;12937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99)= 51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344; p &lt; 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001</w:t>
            </w:r>
          </w:p>
        </w:tc>
        <w:tc>
          <w:tcPr>
            <w:tcW w:w="3522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proofErr w:type="gramStart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F(</w:t>
            </w:r>
            <w:proofErr w:type="gramEnd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3;19406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91)= 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488; p = 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69</w:t>
            </w:r>
          </w:p>
        </w:tc>
      </w:tr>
      <w:tr w:rsidR="003B1D42" w:rsidRPr="00300D30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 xml:space="preserve">Dolor crónico 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discapacitante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8% (510)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0% (32)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3% (170)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0% (36)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18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7% (269)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19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2% (68)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8% (410)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11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7% (712)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3% (8)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8% (28)</w:t>
            </w:r>
          </w:p>
        </w:tc>
      </w:tr>
      <w:tr w:rsidR="003B1D42" w:rsidRPr="00300D30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Inter</w:t>
            </w:r>
            <w:r w:rsidR="009105C3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.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Conf</w:t>
            </w:r>
            <w:r w:rsidR="009105C3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.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95%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(12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7-14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6-7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(11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6-15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3)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(2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9-5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8-20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8)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4-23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(8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0-9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9-12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2-12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6-15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2)</w:t>
            </w:r>
          </w:p>
        </w:tc>
      </w:tr>
      <w:tr w:rsidR="003B1D42" w:rsidRPr="00300D30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CV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172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071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163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055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047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351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185</w:t>
            </w:r>
          </w:p>
        </w:tc>
      </w:tr>
      <w:tr w:rsidR="003B1D42" w:rsidRPr="00300D30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Test</w:t>
            </w:r>
          </w:p>
        </w:tc>
        <w:tc>
          <w:tcPr>
            <w:tcW w:w="5146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proofErr w:type="gramStart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F(</w:t>
            </w:r>
            <w:proofErr w:type="gramEnd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6;38843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41)= 20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032; p &lt; 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001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proofErr w:type="gramStart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F(</w:t>
            </w:r>
            <w:proofErr w:type="gramEnd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4;25895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55)= 33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034; p &lt; 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001</w:t>
            </w:r>
          </w:p>
        </w:tc>
        <w:tc>
          <w:tcPr>
            <w:tcW w:w="3522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proofErr w:type="gramStart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F(</w:t>
            </w:r>
            <w:proofErr w:type="gramEnd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6;38834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34)= 1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239; p = 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283</w:t>
            </w:r>
          </w:p>
        </w:tc>
      </w:tr>
      <w:tr w:rsidR="003B1D42" w:rsidRPr="00300D30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 xml:space="preserve">Dolor crónico no 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discapacitante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4% (238)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8% (24)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0% (76)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6% (32)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0% (86)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5% (23)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5% (259)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6% (341)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6% (11)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3% (19)</w:t>
            </w:r>
          </w:p>
        </w:tc>
      </w:tr>
      <w:tr w:rsidR="003B1D42" w:rsidRPr="00300D30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Inter</w:t>
            </w:r>
            <w:r w:rsidR="009105C3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.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Conf</w:t>
            </w:r>
            <w:r w:rsidR="009105C3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.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95%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7-7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(2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6-5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8-7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4)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(2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6-5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8-7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3)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4-9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9-6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0-6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8-14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7-11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2)</w:t>
            </w:r>
          </w:p>
        </w:tc>
      </w:tr>
      <w:tr w:rsidR="003B1D42" w:rsidRPr="00300D30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CV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200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111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174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104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288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221</w:t>
            </w:r>
          </w:p>
        </w:tc>
      </w:tr>
      <w:tr w:rsidR="003B1D42" w:rsidRPr="00300D30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Test</w:t>
            </w:r>
          </w:p>
        </w:tc>
        <w:tc>
          <w:tcPr>
            <w:tcW w:w="5146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No procede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No procede</w:t>
            </w:r>
          </w:p>
        </w:tc>
        <w:tc>
          <w:tcPr>
            <w:tcW w:w="3522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No procede</w:t>
            </w:r>
          </w:p>
        </w:tc>
      </w:tr>
      <w:tr w:rsidR="003B1D42" w:rsidRPr="00300D30" w:rsidTr="002E7313">
        <w:trPr>
          <w:trHeight w:val="304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Dolor crónico No Oncológico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19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68% (729)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7% (55)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18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8% (240)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53% (67)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98% (345)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06% (85)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03% (658)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8% (1027)</w:t>
            </w:r>
          </w:p>
        </w:tc>
        <w:tc>
          <w:tcPr>
            <w:tcW w:w="13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89% (19)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72% (46)</w:t>
            </w:r>
          </w:p>
        </w:tc>
      </w:tr>
      <w:tr w:rsidR="003B1D42" w:rsidRPr="00300D30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Inter</w:t>
            </w:r>
            <w:r w:rsidR="009105C3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.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Conf</w:t>
            </w:r>
            <w:r w:rsidR="009105C3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.</w:t>
            </w:r>
            <w:bookmarkStart w:id="0" w:name="_GoBack"/>
            <w:bookmarkEnd w:id="0"/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95%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(18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43-20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7-11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17)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75-21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97-9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46)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(21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84-26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(19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88-28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07-15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05)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88-17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75)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(9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7-22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54-22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85)</w:t>
            </w:r>
          </w:p>
        </w:tc>
      </w:tr>
      <w:tr w:rsidR="003B1D42" w:rsidRPr="00300D30" w:rsidTr="002E7313">
        <w:trPr>
          <w:trHeight w:val="149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CV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129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036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028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134</w:t>
            </w:r>
          </w:p>
        </w:tc>
      </w:tr>
      <w:tr w:rsidR="003B1D42" w:rsidRPr="00300D30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Test</w:t>
            </w:r>
          </w:p>
        </w:tc>
        <w:tc>
          <w:tcPr>
            <w:tcW w:w="5146" w:type="dxa"/>
            <w:gridSpan w:val="7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proofErr w:type="gramStart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F(</w:t>
            </w:r>
            <w:proofErr w:type="gramEnd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3;19406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83)= 36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658; p &lt; 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001</w:t>
            </w:r>
          </w:p>
        </w:tc>
        <w:tc>
          <w:tcPr>
            <w:tcW w:w="34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proofErr w:type="gramStart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F(</w:t>
            </w:r>
            <w:proofErr w:type="gramEnd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2;12937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99)= 45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977;p &lt; 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001</w:t>
            </w:r>
          </w:p>
        </w:tc>
        <w:tc>
          <w:tcPr>
            <w:tcW w:w="35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proofErr w:type="gramStart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F(</w:t>
            </w:r>
            <w:proofErr w:type="gramEnd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3;19406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91)= 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434; p = 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729</w:t>
            </w:r>
          </w:p>
        </w:tc>
      </w:tr>
      <w:tr w:rsidR="003B1D42" w:rsidRPr="00300D30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 xml:space="preserve">Otras enfermedades crónicas </w:t>
            </w:r>
            <w:r w:rsidRPr="00300D30">
              <w:rPr>
                <w:rFonts w:ascii="Cambria" w:eastAsia="Times New Roman" w:hAnsi="Cambria"/>
                <w:sz w:val="16"/>
                <w:szCs w:val="16"/>
                <w:vertAlign w:val="superscript"/>
                <w:lang w:eastAsia="es-ES"/>
              </w:rPr>
              <w:t>a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9% (2114)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8% (131)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35% (591)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9% (150)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68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82% (990)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72% (255)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37% (1737)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3% (2832)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38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21% (49)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78% (106)</w:t>
            </w:r>
          </w:p>
        </w:tc>
      </w:tr>
      <w:tr w:rsidR="003B1D42" w:rsidRPr="00300D30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Inter</w:t>
            </w:r>
            <w:r w:rsidR="009105C3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Conf</w:t>
            </w:r>
            <w:proofErr w:type="spellEnd"/>
            <w:r w:rsidR="009105C3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95%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(55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35-58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81-24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(43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63-49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6-19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(66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37-71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(67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09-76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(35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65-38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(45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04-47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(30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22-46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89)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(34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97-46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86)</w:t>
            </w:r>
          </w:p>
        </w:tc>
      </w:tr>
      <w:tr w:rsidR="003B1D42" w:rsidRPr="00300D30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CV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112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075</w:t>
            </w:r>
          </w:p>
        </w:tc>
      </w:tr>
      <w:tr w:rsidR="003B1D42" w:rsidRPr="00300D30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Test</w:t>
            </w:r>
          </w:p>
        </w:tc>
        <w:tc>
          <w:tcPr>
            <w:tcW w:w="5146" w:type="dxa"/>
            <w:gridSpan w:val="7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proofErr w:type="gramStart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F(</w:t>
            </w:r>
            <w:proofErr w:type="gramEnd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3;19406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56)= 214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121; p &lt; 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001</w:t>
            </w:r>
          </w:p>
        </w:tc>
        <w:tc>
          <w:tcPr>
            <w:tcW w:w="34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proofErr w:type="gramStart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F(</w:t>
            </w:r>
            <w:proofErr w:type="gramEnd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2;12937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98)= 274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738;p &lt; 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001</w:t>
            </w:r>
          </w:p>
        </w:tc>
        <w:tc>
          <w:tcPr>
            <w:tcW w:w="35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proofErr w:type="gramStart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F(</w:t>
            </w:r>
            <w:proofErr w:type="gramEnd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3;19406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77)= 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189; p = 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023</w:t>
            </w:r>
          </w:p>
        </w:tc>
      </w:tr>
    </w:tbl>
    <w:p w:rsidR="003B1D42" w:rsidRPr="00E222B3" w:rsidRDefault="004300B0" w:rsidP="003B1D42">
      <w:r>
        <w:rPr>
          <w:rFonts w:ascii="Cambria" w:hAnsi="Cambria"/>
          <w:sz w:val="16"/>
          <w:vertAlign w:val="superscript"/>
        </w:rPr>
        <w:t xml:space="preserve">                 </w:t>
      </w:r>
      <w:r w:rsidR="003B1D42" w:rsidRPr="00300D30">
        <w:rPr>
          <w:rFonts w:ascii="Cambria" w:hAnsi="Cambria"/>
          <w:sz w:val="16"/>
          <w:vertAlign w:val="superscript"/>
        </w:rPr>
        <w:t xml:space="preserve">a </w:t>
      </w:r>
      <w:r w:rsidR="003B1D42" w:rsidRPr="00300D30">
        <w:rPr>
          <w:rFonts w:ascii="Cambria" w:eastAsia="Times New Roman" w:hAnsi="Cambria"/>
          <w:sz w:val="16"/>
          <w:szCs w:val="16"/>
        </w:rPr>
        <w:t>Al menos una enfermedad crónica de estudio a excepción de las de dolor</w:t>
      </w:r>
    </w:p>
    <w:p w:rsidR="00BB33F1" w:rsidRDefault="00BB33F1"/>
    <w:sectPr w:rsidR="00BB33F1" w:rsidSect="009F1089">
      <w:pgSz w:w="16840" w:h="11900" w:orient="landscape"/>
      <w:pgMar w:top="1701" w:right="1418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BF"/>
    <w:rsid w:val="003B1D42"/>
    <w:rsid w:val="004300B0"/>
    <w:rsid w:val="009105C3"/>
    <w:rsid w:val="00BB33F1"/>
    <w:rsid w:val="00C5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76C2"/>
  <w15:chartTrackingRefBased/>
  <w15:docId w15:val="{96170D09-6711-4F04-BECC-C85D01E4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B1D4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3B1D42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styles" Target="styles.xml"/>
   <Relationship Id="rId2" Type="http://schemas.openxmlformats.org/officeDocument/2006/relationships/settings" Target="settings.xml"/>
   <Relationship Id="rId3" Type="http://schemas.openxmlformats.org/officeDocument/2006/relationships/webSettings" Target="webSettings.xml"/>
   <Relationship Id="rId4" Type="http://schemas.openxmlformats.org/officeDocument/2006/relationships/fontTable" Target="fontTable.xml"/>
   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Printed>2016-10-16T09:23:00Z</cp:lastPrinted>
</cp:coreProperties>
</file>