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F5DFD" w14:textId="0E9D7881" w:rsidR="00080315" w:rsidRPr="00256315" w:rsidRDefault="00442FCF" w:rsidP="00080315">
      <w:pPr>
        <w:pStyle w:val="Descripcin"/>
        <w:keepNext/>
        <w:spacing w:after="0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>Tabla 4</w:t>
      </w:r>
      <w:r w:rsidR="007D6A74">
        <w:rPr>
          <w:rFonts w:ascii="Cambria" w:hAnsi="Cambria"/>
          <w:color w:val="auto"/>
          <w:sz w:val="24"/>
        </w:rPr>
        <w:t xml:space="preserve"> (Suplementaria)</w:t>
      </w:r>
      <w:r w:rsidR="00ED7A7A">
        <w:rPr>
          <w:rFonts w:ascii="Cambria" w:hAnsi="Cambria"/>
          <w:color w:val="auto"/>
          <w:sz w:val="24"/>
        </w:rPr>
        <w:t>.</w:t>
      </w:r>
      <w:r w:rsidR="00080315" w:rsidRPr="00256315">
        <w:rPr>
          <w:rFonts w:ascii="Cambria" w:hAnsi="Cambria"/>
          <w:color w:val="auto"/>
          <w:sz w:val="24"/>
        </w:rPr>
        <w:t xml:space="preserve"> </w:t>
      </w:r>
      <w:bookmarkStart w:id="0" w:name="_GoBack"/>
      <w:r w:rsidR="00080315" w:rsidRPr="00256315">
        <w:rPr>
          <w:rFonts w:ascii="Cambria" w:hAnsi="Cambria"/>
          <w:color w:val="auto"/>
          <w:sz w:val="24"/>
        </w:rPr>
        <w:t>Características psíquicas del trabajo de la población de estudio  (Andalucía</w:t>
      </w:r>
      <w:r w:rsidR="00ED7A7A">
        <w:rPr>
          <w:rFonts w:ascii="Cambria" w:hAnsi="Cambria"/>
          <w:color w:val="auto"/>
          <w:sz w:val="24"/>
        </w:rPr>
        <w:t>,</w:t>
      </w:r>
      <w:r w:rsidR="00080315" w:rsidRPr="00256315">
        <w:rPr>
          <w:rFonts w:ascii="Cambria" w:hAnsi="Cambria"/>
          <w:color w:val="auto"/>
          <w:sz w:val="24"/>
        </w:rPr>
        <w:t xml:space="preserve"> 2011)</w:t>
      </w:r>
      <w:r w:rsidR="00ED7A7A">
        <w:rPr>
          <w:rFonts w:ascii="Cambria" w:hAnsi="Cambria"/>
          <w:color w:val="auto"/>
          <w:sz w:val="24"/>
        </w:rPr>
        <w:t>.</w:t>
      </w:r>
    </w:p>
    <w:tbl>
      <w:tblPr>
        <w:tblW w:w="75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417"/>
        <w:gridCol w:w="913"/>
        <w:gridCol w:w="788"/>
        <w:gridCol w:w="851"/>
      </w:tblGrid>
      <w:tr w:rsidR="00080315" w:rsidRPr="00300D30" w14:paraId="6E77FDA8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0"/>
          <w:p w14:paraId="5005864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proofErr w:type="spellStart"/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Variable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vertAlign w:val="superscript"/>
                <w:lang w:val="es-ES_tradnl" w:eastAsia="es-ES"/>
              </w:rPr>
              <w:t>a</w:t>
            </w:r>
            <w:proofErr w:type="spellEnd"/>
            <w:r w:rsidRPr="00300D30">
              <w:rPr>
                <w:rFonts w:ascii="Cambria" w:eastAsia="Times New Roman" w:hAnsi="Cambria" w:cs="Times New Roman"/>
                <w:sz w:val="12"/>
                <w:szCs w:val="12"/>
                <w:vertAlign w:val="superscript"/>
                <w:lang w:val="es-ES_tradnl" w:eastAsia="es-ES"/>
              </w:rPr>
              <w:br/>
              <w:t>(muestra perdida)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E3E8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Categoría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(población que trabaja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 xml:space="preserve"> n=2221)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23D0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Estimación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DC09F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Intervalo de Confianza al 95%</w:t>
            </w:r>
          </w:p>
        </w:tc>
      </w:tr>
      <w:tr w:rsidR="00080315" w:rsidRPr="00300D30" w14:paraId="6DAA7ADF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B1291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3F3F5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2C916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69049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Inferior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E3010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Superior</w:t>
            </w:r>
          </w:p>
        </w:tc>
      </w:tr>
      <w:tr w:rsidR="00080315" w:rsidRPr="00300D30" w14:paraId="1A922E2D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B25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¿Tiene usted que trabajar muy rápido?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(11, 0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EB8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DA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0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68D9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</w:tr>
      <w:tr w:rsidR="00080315" w:rsidRPr="00300D30" w14:paraId="58C53B59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2BCB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F47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84D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556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2975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</w:tr>
      <w:tr w:rsidR="00080315" w:rsidRPr="00300D30" w14:paraId="03EC08AD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B5A7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5D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199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B44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F585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</w:tr>
      <w:tr w:rsidR="00080315" w:rsidRPr="00300D30" w14:paraId="69324FF9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81E2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74F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4A7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CBC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B14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</w:tr>
      <w:tr w:rsidR="00080315" w:rsidRPr="00300D30" w14:paraId="19B23B1C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EE61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E0C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89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C5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45DE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</w:tr>
      <w:tr w:rsidR="00080315" w:rsidRPr="00300D30" w14:paraId="63C62B11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67C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¿La distribución de tareas es irregular y provoca que se le acumule el trabajo?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(14, 0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08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478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4B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076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</w:tr>
      <w:tr w:rsidR="00080315" w:rsidRPr="00300D30" w14:paraId="6EA33E43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F1DBE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D17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F0F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D7A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4829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</w:tr>
      <w:tr w:rsidR="00080315" w:rsidRPr="00300D30" w14:paraId="07A1EBE2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874E6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460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C71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DF6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2E2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</w:tr>
      <w:tr w:rsidR="00080315" w:rsidRPr="00300D30" w14:paraId="5ECAE049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E302C8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00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388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AFC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B23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</w:tr>
      <w:tr w:rsidR="00080315" w:rsidRPr="00300D30" w14:paraId="5B5244D6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B2C3C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B9D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26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47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F00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</w:tr>
      <w:tr w:rsidR="00080315" w:rsidRPr="00300D30" w14:paraId="1B7E87DC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AF1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¿Tiene usted tiempo de llevar al día su trabajo?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(11, 0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EE0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794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7B5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199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</w:tr>
      <w:tr w:rsidR="00080315" w:rsidRPr="00300D30" w14:paraId="3BC99010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C502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BF8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B9A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932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E4F0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</w:tr>
      <w:tr w:rsidR="00080315" w:rsidRPr="00300D30" w14:paraId="711FBFE1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8037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A5F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6C8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F81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790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</w:tr>
      <w:tr w:rsidR="00080315" w:rsidRPr="00300D30" w14:paraId="3FFA7380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1FBC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590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F9F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812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6C4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</w:tr>
      <w:tr w:rsidR="00080315" w:rsidRPr="00300D30" w14:paraId="276E43F6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C694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BD6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2DF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989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278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</w:tr>
      <w:tr w:rsidR="00080315" w:rsidRPr="00300D30" w14:paraId="602EFD2D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F1E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¿Le cuesta olvidar los problemas del trabajo?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(22, 1%)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49D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7AD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7DF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39A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</w:tr>
      <w:tr w:rsidR="00080315" w:rsidRPr="00300D30" w14:paraId="0EB247EF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394D2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E3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AE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56A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819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</w:tr>
      <w:tr w:rsidR="00080315" w:rsidRPr="00300D30" w14:paraId="6B12C869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E4E66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903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B2A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2DA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EF2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</w:tr>
      <w:tr w:rsidR="00080315" w:rsidRPr="00300D30" w14:paraId="127517FD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F54E9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56B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B62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997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40C9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</w:tr>
      <w:tr w:rsidR="00080315" w:rsidRPr="00300D30" w14:paraId="5E0678D8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2611DD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3A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4C6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F27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F5F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</w:tr>
      <w:tr w:rsidR="00080315" w:rsidRPr="00300D30" w14:paraId="08FBE289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EE6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¿Su trabajo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 xml:space="preserve"> en general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 xml:space="preserve"> es desgastador emocionalmente?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(21, 1%)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46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B5F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F6A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5A8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</w:tr>
      <w:tr w:rsidR="00080315" w:rsidRPr="00300D30" w14:paraId="72540D4F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4E0D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FF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48D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0A5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7CB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</w:tr>
      <w:tr w:rsidR="00080315" w:rsidRPr="00300D30" w14:paraId="3F51C12E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7CB9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83C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101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91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3AD0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</w:tr>
      <w:tr w:rsidR="00080315" w:rsidRPr="00300D30" w14:paraId="4ECBE35F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E12C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269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F48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79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4876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</w:tr>
      <w:tr w:rsidR="00080315" w:rsidRPr="00300D30" w14:paraId="408BD9E8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82A2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79D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D43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613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074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</w:tr>
      <w:tr w:rsidR="00080315" w:rsidRPr="00300D30" w14:paraId="59F8EF77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775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¿Su trabajo requiere que esconda sus emociones?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(33, 1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36B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FD1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3E9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E0A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</w:tr>
      <w:tr w:rsidR="00080315" w:rsidRPr="00300D30" w14:paraId="67499DAC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77EEC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03A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979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AD6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67E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</w:tr>
      <w:tr w:rsidR="00080315" w:rsidRPr="00300D30" w14:paraId="6855BEC8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2B564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720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5E7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D2D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62D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</w:tr>
      <w:tr w:rsidR="00080315" w:rsidRPr="00300D30" w14:paraId="59D7A993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4DA38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6ED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CF1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E2B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780D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</w:tr>
      <w:tr w:rsidR="00080315" w:rsidRPr="00300D30" w14:paraId="3F54B544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15FF1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7DD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5A0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805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347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</w:tr>
      <w:tr w:rsidR="00080315" w:rsidRPr="00300D30" w14:paraId="17C41B38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65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¿Tiene influencia sobre la cantidad de trabajo que se le asigna?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(32, 1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528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8C4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EA8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8D5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</w:tr>
      <w:tr w:rsidR="00080315" w:rsidRPr="00300D30" w14:paraId="3B249D34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EF0F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09B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51B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440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C8B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</w:tr>
      <w:tr w:rsidR="00080315" w:rsidRPr="00300D30" w14:paraId="73C1D6C1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A39E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21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2C7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6CE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CE8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</w:tr>
      <w:tr w:rsidR="00080315" w:rsidRPr="00300D30" w14:paraId="6BA47D7C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9AA7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F24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602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107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280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</w:tr>
      <w:tr w:rsidR="00080315" w:rsidRPr="00300D30" w14:paraId="569C169B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F70F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BB6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77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894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2DB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</w:tr>
      <w:tr w:rsidR="00080315" w:rsidRPr="00300D30" w14:paraId="191D2D4D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109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¿Se tiene en cuenta su opinión cuando se le asignan tareas?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(20, 0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03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2B0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B21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BEF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</w:tr>
      <w:tr w:rsidR="00080315" w:rsidRPr="00300D30" w14:paraId="432B595C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FAA75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08E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04F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A9F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072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</w:tr>
      <w:tr w:rsidR="00080315" w:rsidRPr="00300D30" w14:paraId="6B2B279A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FFC9B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AC8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EE2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98A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BDC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</w:tr>
      <w:tr w:rsidR="00080315" w:rsidRPr="00300D30" w14:paraId="59B1DBC5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B3FBF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658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5EC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F2C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7BB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</w:tr>
      <w:tr w:rsidR="00080315" w:rsidRPr="00300D30" w14:paraId="5E7CA895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8E890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A78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410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B3D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92AD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</w:tr>
      <w:tr w:rsidR="00080315" w:rsidRPr="00300D30" w14:paraId="2736DA0B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445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¿Tiene influencia sobre el orden en el que realiza las tareas?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(26, 1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23E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6FC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F01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80C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</w:tr>
      <w:tr w:rsidR="00080315" w:rsidRPr="00300D30" w14:paraId="7AD036C3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99DB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59C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CF0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63A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4D1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</w:tr>
      <w:tr w:rsidR="00080315" w:rsidRPr="00300D30" w14:paraId="77D90AD5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BFE4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5AC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730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0BF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F71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</w:tr>
      <w:tr w:rsidR="00080315" w:rsidRPr="00300D30" w14:paraId="3BBED670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8E67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FD8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046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ADA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798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</w:tr>
      <w:tr w:rsidR="00080315" w:rsidRPr="00300D30" w14:paraId="2F1CC4FC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53B7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62D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469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039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91D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</w:tr>
      <w:tr w:rsidR="00080315" w:rsidRPr="00300D30" w14:paraId="07C404B5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B0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¿Puede decidir cuándo hace un descanso?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(28, 1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3FA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E1F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E93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CDCE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</w:tr>
      <w:tr w:rsidR="00080315" w:rsidRPr="00300D30" w14:paraId="54DBB1F7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5455C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975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B1E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E2A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2AA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</w:tr>
      <w:tr w:rsidR="00080315" w:rsidRPr="00300D30" w14:paraId="33269EF3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72926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572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E79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2C9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D1E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</w:tr>
      <w:tr w:rsidR="00080315" w:rsidRPr="00300D30" w14:paraId="5AA237A0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C8D91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E3D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AC2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0C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257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</w:tr>
      <w:tr w:rsidR="00080315" w:rsidRPr="00300D30" w14:paraId="40644A48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CE1B3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4B1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D07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11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F99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</w:tr>
      <w:tr w:rsidR="00080315" w:rsidRPr="00300D30" w14:paraId="4CCF8B5E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94F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 tiene algún asunto personal o familiar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 xml:space="preserve"> ¿puede dejar su puesto de trabajo al menos una hora sin tener que pedir un permiso especial?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(17, 0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3F7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BF3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BA2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58EA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</w:tr>
      <w:tr w:rsidR="00080315" w:rsidRPr="00300D30" w14:paraId="1651CCAA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6D0A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F4F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B95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E94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D6A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</w:tr>
      <w:tr w:rsidR="00080315" w:rsidRPr="00300D30" w14:paraId="460D8216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633B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C79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E10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402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29B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</w:tr>
      <w:tr w:rsidR="00080315" w:rsidRPr="00300D30" w14:paraId="182C5906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64C8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F78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58E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302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CC4F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</w:tr>
      <w:tr w:rsidR="00080315" w:rsidRPr="00300D30" w14:paraId="794E437A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FE3D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59C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003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0EC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78E6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</w:tr>
      <w:tr w:rsidR="00080315" w:rsidRPr="00300D30" w14:paraId="2852CBF2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58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¿Su trabajo requiere que tenga iniciativa?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(22, 1%)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9F1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23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835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12D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</w:tr>
      <w:tr w:rsidR="00080315" w:rsidRPr="00300D30" w14:paraId="4021724B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66CB99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676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A47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94E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934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</w:tr>
      <w:tr w:rsidR="00080315" w:rsidRPr="00300D30" w14:paraId="73C4D345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A71F3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54C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973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A81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9B2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</w:tr>
      <w:tr w:rsidR="00080315" w:rsidRPr="00300D30" w14:paraId="603AEACF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9E431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1BD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0FF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E4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33D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</w:tr>
      <w:tr w:rsidR="00080315" w:rsidRPr="00300D30" w14:paraId="734330EB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EFA23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02F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311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4B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E27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</w:tr>
      <w:tr w:rsidR="00080315" w:rsidRPr="00300D30" w14:paraId="60B5F148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95F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¿Su trabajo le permite que aprenda cosas nuevas?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(20, 0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027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721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9B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F8E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</w:tr>
      <w:tr w:rsidR="00080315" w:rsidRPr="00300D30" w14:paraId="5DCF2B83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48AC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CF7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FD8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8A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2C07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</w:tr>
      <w:tr w:rsidR="00080315" w:rsidRPr="00300D30" w14:paraId="36B6AF81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31F4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5705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4E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0F7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2E3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</w:tr>
      <w:tr w:rsidR="00080315" w:rsidRPr="00300D30" w14:paraId="210D92FB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BD6F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0F7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F36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C88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EA9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</w:tr>
      <w:tr w:rsidR="00080315" w:rsidRPr="00300D30" w14:paraId="4EE19348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6A06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1C8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4C2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427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0C85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</w:tr>
      <w:tr w:rsidR="00080315" w:rsidRPr="00300D30" w14:paraId="276989BA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27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¿Se siente comprometido con su profesión?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(17, 0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1D6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CF2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FED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A02C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</w:tr>
      <w:tr w:rsidR="00080315" w:rsidRPr="00300D30" w14:paraId="2F442AEF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55A99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51A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9A9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FAB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9F0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</w:tr>
      <w:tr w:rsidR="00080315" w:rsidRPr="00300D30" w14:paraId="106467C4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FE6AB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11C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C91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9AC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7DD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</w:tr>
      <w:tr w:rsidR="00080315" w:rsidRPr="00300D30" w14:paraId="0FCDD28B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D88B1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DAE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E7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8DA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B00E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</w:tr>
      <w:tr w:rsidR="00080315" w:rsidRPr="00300D30" w14:paraId="149FAF82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2DC4F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BD4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534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198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3E2C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</w:tr>
      <w:tr w:rsidR="00080315" w:rsidRPr="00300D30" w14:paraId="559852EB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BF1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¿Tienen sentido sus tareas?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(15, 0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4C9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0D0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AD04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06CB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</w:tr>
      <w:tr w:rsidR="00080315" w:rsidRPr="00300D30" w14:paraId="2FC7F022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ED6B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F8D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0BB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D4E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6E8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</w:tr>
      <w:tr w:rsidR="00080315" w:rsidRPr="00300D30" w14:paraId="7AADC12C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1FF2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75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9A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C879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B2A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</w:tr>
      <w:tr w:rsidR="00080315" w:rsidRPr="00300D30" w14:paraId="1E58E161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AA65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D6C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8F4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722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2FFB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</w:tr>
      <w:tr w:rsidR="00080315" w:rsidRPr="00300D30" w14:paraId="7916E0E1" w14:textId="77777777" w:rsidTr="002E7313">
        <w:trPr>
          <w:trHeight w:val="57"/>
        </w:trPr>
        <w:tc>
          <w:tcPr>
            <w:tcW w:w="3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0E2B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6FD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A4B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9B87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79D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</w:tr>
      <w:tr w:rsidR="00080315" w:rsidRPr="00300D30" w14:paraId="6A187065" w14:textId="77777777" w:rsidTr="002E7313">
        <w:trPr>
          <w:trHeight w:val="57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54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¿Habla usted con entusiasmo de su empresa a otras personas?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br/>
              <w:t>(14, 0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8A92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Siempre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072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48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AC8B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40B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50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</w:tr>
      <w:tr w:rsidR="00080315" w:rsidRPr="00300D30" w14:paraId="3F14A8C7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CB572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BFB1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Muchas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A4A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8%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226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BFEA3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26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6%</w:t>
            </w:r>
          </w:p>
        </w:tc>
      </w:tr>
      <w:tr w:rsidR="00080315" w:rsidRPr="00300D30" w14:paraId="126094B6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BB3FC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8E48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Algunas veces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41C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19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AFE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17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3D9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21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</w:tr>
      <w:tr w:rsidR="00080315" w:rsidRPr="00300D30" w14:paraId="7FEDC8A4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5CF47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35F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Solo alguna vez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3F6A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9F6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CAE0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5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1%</w:t>
            </w:r>
          </w:p>
        </w:tc>
      </w:tr>
      <w:tr w:rsidR="00080315" w:rsidRPr="00300D30" w14:paraId="050AD091" w14:textId="77777777" w:rsidTr="002E7313">
        <w:trPr>
          <w:trHeight w:val="57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7308A" w14:textId="77777777" w:rsidR="00080315" w:rsidRPr="00300D30" w:rsidRDefault="00080315" w:rsidP="002E7313">
            <w:pPr>
              <w:spacing w:after="0" w:line="240" w:lineRule="auto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0CCD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Nunca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F92E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11FC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2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7B3D6" w14:textId="77777777" w:rsidR="00080315" w:rsidRPr="00300D30" w:rsidRDefault="00080315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3</w:t>
            </w:r>
            <w:r w:rsidR="00ED7A7A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2"/>
                <w:szCs w:val="12"/>
                <w:lang w:val="es-ES_tradnl" w:eastAsia="es-ES"/>
              </w:rPr>
              <w:t>7%</w:t>
            </w:r>
          </w:p>
        </w:tc>
      </w:tr>
    </w:tbl>
    <w:p w14:paraId="0AF00A85" w14:textId="77777777" w:rsidR="00BB33F1" w:rsidRPr="00080315" w:rsidRDefault="00BB33F1">
      <w:pPr>
        <w:rPr>
          <w:rFonts w:ascii="Cambria" w:hAnsi="Cambria"/>
        </w:rPr>
      </w:pPr>
    </w:p>
    <w:sectPr w:rsidR="00BB33F1" w:rsidRPr="00080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3F5"/>
    <w:multiLevelType w:val="hybridMultilevel"/>
    <w:tmpl w:val="BDC82458"/>
    <w:lvl w:ilvl="0" w:tplc="975E76C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6975"/>
    <w:multiLevelType w:val="hybridMultilevel"/>
    <w:tmpl w:val="C28601FE"/>
    <w:lvl w:ilvl="0" w:tplc="92A67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13F3"/>
    <w:multiLevelType w:val="hybridMultilevel"/>
    <w:tmpl w:val="78501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49F0"/>
    <w:multiLevelType w:val="hybridMultilevel"/>
    <w:tmpl w:val="12828310"/>
    <w:lvl w:ilvl="0" w:tplc="5F92D44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C57C3"/>
    <w:multiLevelType w:val="hybridMultilevel"/>
    <w:tmpl w:val="D338B2F4"/>
    <w:lvl w:ilvl="0" w:tplc="17CAEC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21"/>
    <w:rsid w:val="00080315"/>
    <w:rsid w:val="00442FCF"/>
    <w:rsid w:val="00680AE3"/>
    <w:rsid w:val="007D6A74"/>
    <w:rsid w:val="00B32021"/>
    <w:rsid w:val="00BB33F1"/>
    <w:rsid w:val="00E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12475"/>
  <w15:docId w15:val="{A03ACDB7-0751-44FD-BB58-8071BB2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web3"/>
    <w:uiPriority w:val="99"/>
    <w:rsid w:val="000803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/>
    <w:tcPr>
      <w:shd w:val="clear" w:color="auto" w:fill="CCC0D9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80315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0803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0803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80315"/>
    <w:pPr>
      <w:ind w:left="720"/>
      <w:contextualSpacing/>
    </w:pPr>
  </w:style>
  <w:style w:type="table" w:styleId="Cuadrculaclara">
    <w:name w:val="Light Grid"/>
    <w:basedOn w:val="Tablanormal"/>
    <w:uiPriority w:val="62"/>
    <w:rsid w:val="000803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080315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Sombreadoclaro">
    <w:name w:val="Light Shading"/>
    <w:basedOn w:val="Tablanormal"/>
    <w:uiPriority w:val="60"/>
    <w:rsid w:val="000803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08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03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31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8031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08031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031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031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031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8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315"/>
  </w:style>
  <w:style w:type="paragraph" w:styleId="Piedepgina">
    <w:name w:val="footer"/>
    <w:basedOn w:val="Normal"/>
    <w:link w:val="PiedepginaCar"/>
    <w:uiPriority w:val="99"/>
    <w:unhideWhenUsed/>
    <w:rsid w:val="0008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315"/>
  </w:style>
  <w:style w:type="paragraph" w:styleId="Revisin">
    <w:name w:val="Revision"/>
    <w:hidden/>
    <w:uiPriority w:val="99"/>
    <w:semiHidden/>
    <w:rsid w:val="0008031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numbering" Target="numbering.xml"/>
   <Relationship Id="rId2" Type="http://schemas.openxmlformats.org/officeDocument/2006/relationships/styles" Target="style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