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E4BB" w14:textId="658270E6" w:rsidR="002871BD" w:rsidRPr="00256315" w:rsidRDefault="00B976C4" w:rsidP="002871BD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Tabla 6</w:t>
      </w:r>
      <w:r w:rsidR="009B37E6">
        <w:rPr>
          <w:rFonts w:ascii="Cambria" w:hAnsi="Cambria"/>
          <w:color w:val="auto"/>
          <w:sz w:val="24"/>
        </w:rPr>
        <w:t xml:space="preserve"> (Suplementaria)</w:t>
      </w:r>
      <w:r w:rsidR="00AB68DF">
        <w:rPr>
          <w:rFonts w:ascii="Cambria" w:hAnsi="Cambria"/>
          <w:color w:val="auto"/>
          <w:sz w:val="24"/>
        </w:rPr>
        <w:t>.</w:t>
      </w:r>
      <w:r w:rsidR="002871BD"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2871BD" w:rsidRPr="00256315">
        <w:rPr>
          <w:rFonts w:ascii="Cambria" w:hAnsi="Cambria"/>
          <w:color w:val="auto"/>
          <w:sz w:val="24"/>
        </w:rPr>
        <w:t>Prevalencia de dolor crónico según autovaloración de estado de salud general (últimos 12 meses)</w:t>
      </w:r>
      <w:r w:rsidR="00AB68DF">
        <w:rPr>
          <w:rFonts w:ascii="Cambria" w:hAnsi="Cambria"/>
          <w:color w:val="auto"/>
          <w:sz w:val="24"/>
        </w:rPr>
        <w:t>.</w:t>
      </w:r>
      <w:bookmarkEnd w:id="0"/>
    </w:p>
    <w:tbl>
      <w:tblPr>
        <w:tblW w:w="7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58"/>
        <w:gridCol w:w="1348"/>
        <w:gridCol w:w="1134"/>
        <w:gridCol w:w="1417"/>
      </w:tblGrid>
      <w:tr w:rsidR="00465EA1" w:rsidRPr="00300D30" w14:paraId="74C887F0" w14:textId="77777777" w:rsidTr="00465EA1">
        <w:trPr>
          <w:trHeight w:val="20"/>
        </w:trPr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3B9C0E3" w14:textId="77777777" w:rsidR="00465EA1" w:rsidRPr="00300D30" w:rsidRDefault="00465EA1" w:rsidP="00465EA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iCs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b/>
                <w:iCs/>
                <w:sz w:val="16"/>
                <w:szCs w:val="16"/>
                <w:lang w:eastAsia="es-ES"/>
              </w:rPr>
              <w:t>Tipo dolor</w:t>
            </w:r>
            <w:r w:rsidRPr="00300D30">
              <w:rPr>
                <w:rFonts w:ascii="Cambria" w:eastAsia="Times New Roman" w:hAnsi="Cambria"/>
                <w:b/>
                <w:iCs/>
                <w:sz w:val="16"/>
                <w:szCs w:val="16"/>
                <w:lang w:eastAsia="es-ES"/>
              </w:rPr>
              <w:t xml:space="preserve"> crónico</w:t>
            </w:r>
          </w:p>
        </w:tc>
        <w:tc>
          <w:tcPr>
            <w:tcW w:w="1558" w:type="dxa"/>
            <w:shd w:val="clear" w:color="auto" w:fill="D9D9D9" w:themeFill="background1" w:themeFillShade="D9"/>
            <w:noWrap/>
            <w:vAlign w:val="center"/>
            <w:hideMark/>
          </w:tcPr>
          <w:p w14:paraId="58298DF8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  <w:t>Muy bueno (n=1116)</w:t>
            </w:r>
          </w:p>
        </w:tc>
        <w:tc>
          <w:tcPr>
            <w:tcW w:w="1348" w:type="dxa"/>
            <w:shd w:val="clear" w:color="auto" w:fill="D9D9D9" w:themeFill="background1" w:themeFillShade="D9"/>
            <w:noWrap/>
            <w:vAlign w:val="center"/>
            <w:hideMark/>
          </w:tcPr>
          <w:p w14:paraId="4D384433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  <w:t>Bueno (n=3926)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29D41F5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  <w:t>Regular (n=1141)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65F7F6EB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/>
                <w:bCs/>
                <w:sz w:val="16"/>
                <w:szCs w:val="16"/>
                <w:lang w:eastAsia="es-ES"/>
              </w:rPr>
              <w:t>Malo o Muy Malo (n=220)</w:t>
            </w:r>
          </w:p>
        </w:tc>
      </w:tr>
      <w:tr w:rsidR="00465EA1" w:rsidRPr="00300D30" w14:paraId="3ED28B23" w14:textId="77777777" w:rsidTr="00465EA1">
        <w:trPr>
          <w:trHeight w:val="20"/>
        </w:trPr>
        <w:tc>
          <w:tcPr>
            <w:tcW w:w="2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13E89D" w14:textId="77777777" w:rsidR="00465EA1" w:rsidRPr="00300D30" w:rsidRDefault="00465EA1" w:rsidP="00465EA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No </w:t>
            </w:r>
            <w:r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discapacitante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(n)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2CFB490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3,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(40)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54ED6DF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5,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(225)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960BB2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(82)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4B679B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(27)</w:t>
            </w:r>
          </w:p>
        </w:tc>
      </w:tr>
      <w:tr w:rsidR="00465EA1" w:rsidRPr="00300D30" w14:paraId="19666BAC" w14:textId="77777777" w:rsidTr="00465EA1">
        <w:trPr>
          <w:trHeight w:val="20"/>
        </w:trPr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091C9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Intervalo de confianza 95%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59E38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387C9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(5-6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9D01C3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1-9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596436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2-10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4)</w:t>
            </w:r>
          </w:p>
        </w:tc>
      </w:tr>
      <w:tr w:rsidR="00465EA1" w:rsidRPr="00300D30" w14:paraId="0CCAB218" w14:textId="77777777" w:rsidTr="00465EA1">
        <w:trPr>
          <w:trHeight w:val="72"/>
        </w:trPr>
        <w:tc>
          <w:tcPr>
            <w:tcW w:w="2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694C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4AD9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149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302F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49C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5020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234</w:t>
            </w:r>
          </w:p>
        </w:tc>
      </w:tr>
      <w:tr w:rsidR="00465EA1" w:rsidRPr="00300D30" w14:paraId="173CA9EB" w14:textId="77777777" w:rsidTr="00465EA1">
        <w:trPr>
          <w:trHeight w:val="20"/>
        </w:trPr>
        <w:tc>
          <w:tcPr>
            <w:tcW w:w="22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1F0DB9" w14:textId="77777777" w:rsidR="00465EA1" w:rsidRPr="00300D30" w:rsidRDefault="00465EA1" w:rsidP="00465EA1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D</w:t>
            </w:r>
            <w:r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iscapacitante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(n)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D5E453A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(30)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92A5CE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(299)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8EF7A40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(303)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6319561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(114)</w:t>
            </w:r>
          </w:p>
        </w:tc>
      </w:tr>
      <w:tr w:rsidR="00465EA1" w:rsidRPr="00300D30" w14:paraId="765F3C45" w14:textId="77777777" w:rsidTr="00465EA1">
        <w:trPr>
          <w:trHeight w:val="20"/>
        </w:trPr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F63A2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Intervalo de confianza 95%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ADE75D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9-3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91A663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8-8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A9085E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(24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1-29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2E745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(38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7-50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</w:tr>
      <w:tr w:rsidR="00465EA1" w:rsidRPr="00300D30" w14:paraId="3FE972AF" w14:textId="77777777" w:rsidTr="00465EA1">
        <w:trPr>
          <w:trHeight w:val="20"/>
        </w:trPr>
        <w:tc>
          <w:tcPr>
            <w:tcW w:w="22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82D29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094EBD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EA87D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298C1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1AF9AE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</w:t>
            </w:r>
          </w:p>
        </w:tc>
      </w:tr>
      <w:tr w:rsidR="00465EA1" w:rsidRPr="00300D30" w14:paraId="333ADAF2" w14:textId="77777777" w:rsidTr="00465EA1">
        <w:trPr>
          <w:trHeight w:val="20"/>
        </w:trPr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1AE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4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5CF" w14:textId="77777777" w:rsidR="00465EA1" w:rsidRPr="00300D30" w:rsidRDefault="00465EA1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F(6;38843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646)= 118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043; p &lt; 0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</w:tr>
    </w:tbl>
    <w:p w14:paraId="73EE3A19" w14:textId="77777777" w:rsidR="002871BD" w:rsidRPr="00300D30" w:rsidRDefault="002871BD" w:rsidP="002871BD">
      <w:pPr>
        <w:rPr>
          <w:rFonts w:ascii="Cambria" w:hAnsi="Cambria"/>
        </w:rPr>
      </w:pPr>
      <w:r w:rsidRPr="00300D30">
        <w:rPr>
          <w:rFonts w:ascii="Cambria" w:hAnsi="Cambria"/>
          <w:sz w:val="16"/>
          <w:vertAlign w:val="superscript"/>
        </w:rPr>
        <w:t xml:space="preserve">a </w:t>
      </w:r>
      <w:r w:rsidRPr="00300D30">
        <w:rPr>
          <w:rFonts w:ascii="Cambria" w:eastAsia="Times New Roman" w:hAnsi="Cambria"/>
          <w:sz w:val="16"/>
          <w:szCs w:val="16"/>
        </w:rPr>
        <w:t>Al menos una enfermedad crónica de estudio a excepción de las de dolor</w:t>
      </w:r>
    </w:p>
    <w:p w14:paraId="1537B62A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9C"/>
    <w:rsid w:val="002871BD"/>
    <w:rsid w:val="00465EA1"/>
    <w:rsid w:val="005332AB"/>
    <w:rsid w:val="007660A2"/>
    <w:rsid w:val="009B37E6"/>
    <w:rsid w:val="00AB68DF"/>
    <w:rsid w:val="00B976C4"/>
    <w:rsid w:val="00BB33F1"/>
    <w:rsid w:val="00E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2E7A4"/>
  <w15:docId w15:val="{066F73D2-C4D4-4D23-A870-97593BC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2871BD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