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D8" w:rsidRDefault="000C1A6D" w:rsidP="00BF6C87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1A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Tabla </w:t>
      </w:r>
      <w:r w:rsidR="006F78EA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C1A6D">
        <w:rPr>
          <w:rFonts w:ascii="Times New Roman" w:hAnsi="Times New Roman" w:cs="Times New Roman"/>
          <w:b/>
          <w:color w:val="000000"/>
          <w:sz w:val="24"/>
          <w:szCs w:val="24"/>
        </w:rPr>
        <w:t>. Prevalencia y asociación de los marcadores genéticos relacionados con la lenta progresión, distribuidos en los diferentes subgrupos de pacientes categorizados en base a la progresión de la infección por VIH-1.</w:t>
      </w:r>
    </w:p>
    <w:tbl>
      <w:tblPr>
        <w:tblpPr w:leftFromText="141" w:rightFromText="141" w:vertAnchor="page" w:horzAnchor="margin" w:tblpY="3661"/>
        <w:tblW w:w="90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25"/>
        <w:gridCol w:w="992"/>
        <w:gridCol w:w="993"/>
        <w:gridCol w:w="1134"/>
        <w:gridCol w:w="1134"/>
        <w:gridCol w:w="1134"/>
        <w:gridCol w:w="1275"/>
      </w:tblGrid>
      <w:tr w:rsidR="005A46A8" w:rsidRPr="001D5725" w:rsidTr="00BF6C87">
        <w:trPr>
          <w:trHeight w:val="5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LTNP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Progresores</w:t>
            </w:r>
            <w:proofErr w:type="spellEnd"/>
          </w:p>
        </w:tc>
      </w:tr>
      <w:tr w:rsidR="005A46A8" w:rsidRPr="001D5725" w:rsidTr="00BF6C87">
        <w:trPr>
          <w:trHeight w:val="43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Todos 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A8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  <w:p w:rsidR="005A46A8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Controladores de la carga viral</w:t>
            </w:r>
          </w:p>
          <w:p w:rsidR="005A46A8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6A8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LTNP-NC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Todos </w:t>
            </w:r>
          </w:p>
        </w:tc>
      </w:tr>
      <w:tr w:rsidR="005A46A8" w:rsidRPr="001D5725" w:rsidTr="00BF6C87">
        <w:trPr>
          <w:trHeight w:val="63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(N=46)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Todos (N=17)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LTNP-EC (N=9)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LTNP-CV (N=8)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N=29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(N=354)</w:t>
            </w:r>
          </w:p>
        </w:tc>
      </w:tr>
      <w:tr w:rsidR="005A46A8" w:rsidRPr="001D5725" w:rsidTr="00BF6C87">
        <w:trPr>
          <w:trHeight w:val="300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HLA-B*57:01 SNP: rs2395029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HLA-B*57:01 positivo: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 (24%)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 (35%)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(38%)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 (17%)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 (6%)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(+) HLA-C (C/C))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(36%)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(100%)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(20%)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(10%)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(+) CCR5wt/Δ32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(18%)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(10%)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HLA-B*57:01 negativo: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 (76%)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 (65%)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 (67%)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 (63%)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 (83%)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334 (94%)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(+) HLA-C (C/C)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 (40%)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 (46%)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(40%)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 (38%)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 (16%)</w:t>
            </w:r>
          </w:p>
        </w:tc>
      </w:tr>
      <w:tr w:rsidR="005A46A8" w:rsidRPr="001D5725" w:rsidTr="00BF6C8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(+) CCR5wt/Δ32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 (26%)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(18%)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(17%)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 (29%)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 (10%)</w:t>
            </w:r>
          </w:p>
        </w:tc>
      </w:tr>
      <w:tr w:rsidR="005A46A8" w:rsidRPr="001D5725" w:rsidTr="00BF6C87">
        <w:trPr>
          <w:trHeight w:val="300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Homocigosis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(C/C) para el SNP: rs9264942 del HLA-C  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HLA-C (C/C) positivo: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 (39%)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 (47%)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 (67%)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(25%)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 (35%)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 (15%)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(+) HLA-B*57:01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(22%)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(38%)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(10%)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(4%)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(+) CCR5wt/Δ32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 (39%)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(38%)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(40%)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(4%)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HLA-C (C/C) negativo: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 (61%)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 (53%)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 (75%)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 (66%)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300 (85%)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(+) HLA-B*57:01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 (25%)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(21%)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 (6%)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(+) CCR5wt/Δ32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(14%)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(16%)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 (11%)</w:t>
            </w:r>
          </w:p>
        </w:tc>
      </w:tr>
      <w:tr w:rsidR="005A46A8" w:rsidRPr="001D5725" w:rsidTr="00BF6C87">
        <w:trPr>
          <w:trHeight w:val="300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Deleción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CCR5wt/Δ32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CCR5wt/Δ32 positivo: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 (24%)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(24%)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(22%)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(25%)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 (24%)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 (10%)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(+) HLA-B*57:01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(18%)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(6%)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(+) HLA-C (C/C)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 (24%)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 (75%)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(100%)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(57%)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(6%)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CCR5wt/Δ32 negativo: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 (76%)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 (77%)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 (78%)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 (75%)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 (76%)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C6C1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319 (90%)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(+) HLA-B*57:01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 (26%)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(31%)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(29%)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 (33%)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 (23%)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 (6%)</w:t>
            </w:r>
          </w:p>
        </w:tc>
      </w:tr>
      <w:tr w:rsidR="005A46A8" w:rsidRPr="001D5725" w:rsidTr="00BF6C8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(+) HLA-C (C/C)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 (31%)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 (39%)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 (67%)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 (17%)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 (27%)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6A8" w:rsidRPr="001D5725" w:rsidRDefault="005A46A8" w:rsidP="00B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 (16%)</w:t>
            </w:r>
          </w:p>
        </w:tc>
      </w:tr>
    </w:tbl>
    <w:p w:rsidR="000C1A6D" w:rsidRDefault="000C1A6D" w:rsidP="00BF6C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BF6C87" w:rsidRDefault="00BF6C87">
      <w:pPr>
        <w:spacing w:after="0"/>
        <w:jc w:val="both"/>
        <w:rPr>
          <w:rFonts w:ascii="Times New Roman" w:eastAsia="Times New Roman" w:hAnsi="Times New Roman"/>
          <w:b/>
          <w:lang w:eastAsia="es-ES"/>
        </w:rPr>
      </w:pPr>
    </w:p>
    <w:p w:rsidR="00844CB7" w:rsidRPr="006E28C3" w:rsidRDefault="000C1A6D" w:rsidP="00BF6C8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E28C3">
        <w:rPr>
          <w:rFonts w:ascii="Times New Roman" w:eastAsia="Times New Roman" w:hAnsi="Times New Roman"/>
          <w:lang w:eastAsia="es-ES"/>
        </w:rPr>
        <w:t xml:space="preserve">LTNP: lentos </w:t>
      </w:r>
      <w:proofErr w:type="spellStart"/>
      <w:r w:rsidRPr="006E28C3">
        <w:rPr>
          <w:rFonts w:ascii="Times New Roman" w:eastAsia="Times New Roman" w:hAnsi="Times New Roman"/>
          <w:lang w:eastAsia="es-ES"/>
        </w:rPr>
        <w:t>progresores</w:t>
      </w:r>
      <w:proofErr w:type="spellEnd"/>
      <w:r w:rsidRPr="006E28C3">
        <w:rPr>
          <w:rFonts w:ascii="Times New Roman" w:eastAsia="Times New Roman" w:hAnsi="Times New Roman"/>
          <w:lang w:eastAsia="es-ES"/>
        </w:rPr>
        <w:t xml:space="preserve"> a largo plazo; LTNP-EC: controladores élite; LTNP-CV: controladores de </w:t>
      </w:r>
      <w:proofErr w:type="spellStart"/>
      <w:r w:rsidRPr="006E28C3">
        <w:rPr>
          <w:rFonts w:ascii="Times New Roman" w:eastAsia="Times New Roman" w:hAnsi="Times New Roman"/>
          <w:lang w:eastAsia="es-ES"/>
        </w:rPr>
        <w:t>viremia</w:t>
      </w:r>
      <w:proofErr w:type="spellEnd"/>
      <w:r w:rsidRPr="006E28C3">
        <w:rPr>
          <w:rFonts w:ascii="Times New Roman" w:eastAsia="Times New Roman" w:hAnsi="Times New Roman"/>
          <w:lang w:eastAsia="es-ES"/>
        </w:rPr>
        <w:t xml:space="preserve">; LTNP-NC: no controladores de </w:t>
      </w:r>
      <w:proofErr w:type="spellStart"/>
      <w:r w:rsidRPr="006E28C3">
        <w:rPr>
          <w:rFonts w:ascii="Times New Roman" w:eastAsia="Times New Roman" w:hAnsi="Times New Roman"/>
          <w:lang w:eastAsia="es-ES"/>
        </w:rPr>
        <w:t>viremia</w:t>
      </w:r>
      <w:proofErr w:type="spellEnd"/>
      <w:r w:rsidRPr="006E28C3">
        <w:rPr>
          <w:rFonts w:ascii="Times New Roman" w:eastAsia="Times New Roman" w:hAnsi="Times New Roman"/>
          <w:lang w:eastAsia="es-ES"/>
        </w:rPr>
        <w:t xml:space="preserve">. </w:t>
      </w:r>
    </w:p>
    <w:sectPr w:rsidR="00844CB7" w:rsidRPr="006E28C3" w:rsidSect="00733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BA7B97"/>
    <w:rsid w:val="000C1A6D"/>
    <w:rsid w:val="000E57D8"/>
    <w:rsid w:val="001D5725"/>
    <w:rsid w:val="004F1137"/>
    <w:rsid w:val="005A46A8"/>
    <w:rsid w:val="005B0624"/>
    <w:rsid w:val="006431F9"/>
    <w:rsid w:val="006E28C3"/>
    <w:rsid w:val="006E6CC7"/>
    <w:rsid w:val="006F78EA"/>
    <w:rsid w:val="00733947"/>
    <w:rsid w:val="007411A5"/>
    <w:rsid w:val="008300AA"/>
    <w:rsid w:val="00844CB7"/>
    <w:rsid w:val="0086509C"/>
    <w:rsid w:val="008B1743"/>
    <w:rsid w:val="00A06B24"/>
    <w:rsid w:val="00A40FC0"/>
    <w:rsid w:val="00BA7B97"/>
    <w:rsid w:val="00BC6C11"/>
    <w:rsid w:val="00BF6C87"/>
    <w:rsid w:val="00E3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Fredy</cp:lastModifiedBy>
  <cp:revision>11</cp:revision>
  <dcterms:created xsi:type="dcterms:W3CDTF">2014-12-03T11:02:00Z</dcterms:created>
  <dcterms:modified xsi:type="dcterms:W3CDTF">2015-03-12T13:51:00Z</dcterms:modified>
</cp:coreProperties>
</file>