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7949E" w14:textId="77777777" w:rsidR="00306E72" w:rsidRPr="002F581D" w:rsidRDefault="00306E72" w:rsidP="00306E72">
      <w:pPr>
        <w:rPr>
          <w:rFonts w:ascii="Arial" w:hAnsi="Arial" w:cs="Arial"/>
          <w:b/>
        </w:rPr>
      </w:pPr>
    </w:p>
    <w:p w14:paraId="45CFF51E" w14:textId="77777777" w:rsidR="00306E72" w:rsidRPr="007027B3" w:rsidRDefault="00306E72" w:rsidP="00306E72">
      <w:pPr>
        <w:pStyle w:val="Caption"/>
        <w:keepNext/>
        <w:jc w:val="both"/>
        <w:outlineLvl w:val="0"/>
        <w:rPr>
          <w:rFonts w:ascii="Arial" w:hAnsi="Arial" w:cs="Arial"/>
          <w:b/>
          <w:i w:val="0"/>
          <w:color w:val="000000" w:themeColor="text1"/>
          <w:sz w:val="22"/>
        </w:rPr>
      </w:pPr>
      <w:r w:rsidRPr="007027B3">
        <w:rPr>
          <w:rFonts w:ascii="Arial" w:hAnsi="Arial" w:cs="Arial"/>
          <w:b/>
          <w:i w:val="0"/>
          <w:color w:val="000000" w:themeColor="text1"/>
          <w:sz w:val="22"/>
        </w:rPr>
        <w:t xml:space="preserve">Tabla </w:t>
      </w:r>
      <w:r w:rsidRPr="001543DB">
        <w:rPr>
          <w:rFonts w:ascii="Arial" w:hAnsi="Arial" w:cs="Arial"/>
          <w:b/>
          <w:i w:val="0"/>
          <w:color w:val="000000" w:themeColor="text1"/>
          <w:sz w:val="22"/>
        </w:rPr>
        <w:t xml:space="preserve">suplementaria 1   </w:t>
      </w:r>
      <w:r w:rsidRPr="007027B3">
        <w:rPr>
          <w:rFonts w:ascii="Arial" w:hAnsi="Arial" w:cs="Arial"/>
          <w:b/>
          <w:i w:val="0"/>
          <w:color w:val="000000" w:themeColor="text1"/>
          <w:sz w:val="22"/>
        </w:rPr>
        <w:t>Datos demográficos y clínicos recogidos prospectivamente</w:t>
      </w:r>
      <w:r>
        <w:rPr>
          <w:rFonts w:ascii="Arial" w:hAnsi="Arial" w:cs="Arial"/>
          <w:b/>
          <w:i w:val="0"/>
          <w:color w:val="000000" w:themeColor="text1"/>
          <w:sz w:val="22"/>
        </w:rPr>
        <w:t>.</w:t>
      </w:r>
    </w:p>
    <w:tbl>
      <w:tblPr>
        <w:tblStyle w:val="TableGrid"/>
        <w:tblW w:w="9216" w:type="dxa"/>
        <w:tblLayout w:type="fixed"/>
        <w:tblLook w:val="04A0" w:firstRow="1" w:lastRow="0" w:firstColumn="1" w:lastColumn="0" w:noHBand="0" w:noVBand="1"/>
      </w:tblPr>
      <w:tblGrid>
        <w:gridCol w:w="3269"/>
        <w:gridCol w:w="5947"/>
      </w:tblGrid>
      <w:tr w:rsidR="00306E72" w:rsidRPr="00FB686D" w14:paraId="66F25CB5" w14:textId="77777777" w:rsidTr="001E4D3A">
        <w:tc>
          <w:tcPr>
            <w:tcW w:w="3269" w:type="dxa"/>
          </w:tcPr>
          <w:p w14:paraId="55FB5E3B" w14:textId="77777777" w:rsidR="00306E72" w:rsidRPr="004A08F4" w:rsidRDefault="00306E72" w:rsidP="001E4D3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16"/>
              </w:rPr>
            </w:pPr>
            <w:r w:rsidRPr="004A08F4">
              <w:rPr>
                <w:rFonts w:ascii="Arial" w:hAnsi="Arial" w:cs="Arial"/>
                <w:b/>
                <w:i/>
                <w:color w:val="000000" w:themeColor="text1"/>
                <w:sz w:val="20"/>
                <w:szCs w:val="16"/>
              </w:rPr>
              <w:t>Variable de interés</w:t>
            </w:r>
          </w:p>
        </w:tc>
        <w:tc>
          <w:tcPr>
            <w:tcW w:w="5947" w:type="dxa"/>
          </w:tcPr>
          <w:p w14:paraId="275AF193" w14:textId="77777777" w:rsidR="00306E72" w:rsidRPr="004A08F4" w:rsidRDefault="00306E72" w:rsidP="001E4D3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16"/>
              </w:rPr>
            </w:pPr>
            <w:r w:rsidRPr="004A08F4">
              <w:rPr>
                <w:rFonts w:ascii="Arial" w:hAnsi="Arial" w:cs="Arial"/>
                <w:b/>
                <w:i/>
                <w:color w:val="000000" w:themeColor="text1"/>
                <w:sz w:val="20"/>
                <w:szCs w:val="16"/>
              </w:rPr>
              <w:t>Datos recogidos</w:t>
            </w:r>
          </w:p>
        </w:tc>
      </w:tr>
      <w:tr w:rsidR="00306E72" w:rsidRPr="00127C73" w14:paraId="00628371" w14:textId="77777777" w:rsidTr="001E4D3A">
        <w:trPr>
          <w:trHeight w:val="247"/>
        </w:trPr>
        <w:tc>
          <w:tcPr>
            <w:tcW w:w="3269" w:type="dxa"/>
          </w:tcPr>
          <w:p w14:paraId="7ADB7074" w14:textId="77777777" w:rsidR="00306E72" w:rsidRPr="004A08F4" w:rsidRDefault="00306E72" w:rsidP="001E4D3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4A08F4">
              <w:rPr>
                <w:rFonts w:ascii="Arial" w:hAnsi="Arial" w:cs="Arial"/>
                <w:sz w:val="20"/>
                <w:szCs w:val="18"/>
              </w:rPr>
              <w:t>Edad de inicio de los síntomas</w:t>
            </w:r>
          </w:p>
        </w:tc>
        <w:tc>
          <w:tcPr>
            <w:tcW w:w="5947" w:type="dxa"/>
          </w:tcPr>
          <w:p w14:paraId="4F761723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Considerando como síntomas de inicio: disartria o disfagia; disnea 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ortopnea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 y debilidad, torpeza o atrofia en algún grupo muscular.</w:t>
            </w:r>
          </w:p>
        </w:tc>
      </w:tr>
      <w:tr w:rsidR="00306E72" w:rsidRPr="00127C73" w14:paraId="639CE6BF" w14:textId="77777777" w:rsidTr="001E4D3A">
        <w:trPr>
          <w:trHeight w:val="204"/>
        </w:trPr>
        <w:tc>
          <w:tcPr>
            <w:tcW w:w="3269" w:type="dxa"/>
          </w:tcPr>
          <w:p w14:paraId="5E5944D7" w14:textId="77777777" w:rsidR="00306E72" w:rsidRPr="004A08F4" w:rsidRDefault="00306E72" w:rsidP="001E4D3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4A08F4">
              <w:rPr>
                <w:rFonts w:ascii="Arial" w:hAnsi="Arial" w:cs="Arial"/>
                <w:sz w:val="20"/>
                <w:szCs w:val="18"/>
              </w:rPr>
              <w:t>Sexo</w:t>
            </w:r>
          </w:p>
        </w:tc>
        <w:tc>
          <w:tcPr>
            <w:tcW w:w="5947" w:type="dxa"/>
          </w:tcPr>
          <w:p w14:paraId="21B2CE31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</w:tr>
      <w:tr w:rsidR="00306E72" w:rsidRPr="00127C73" w14:paraId="4A84F8CA" w14:textId="77777777" w:rsidTr="001E4D3A">
        <w:tc>
          <w:tcPr>
            <w:tcW w:w="3269" w:type="dxa"/>
          </w:tcPr>
          <w:p w14:paraId="154D0907" w14:textId="77777777" w:rsidR="00306E72" w:rsidRPr="004A08F4" w:rsidRDefault="00306E72" w:rsidP="001E4D3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4A08F4">
              <w:rPr>
                <w:rFonts w:ascii="Arial" w:hAnsi="Arial" w:cs="Arial"/>
                <w:sz w:val="20"/>
                <w:szCs w:val="18"/>
              </w:rPr>
              <w:t>Hospital de procedencia</w:t>
            </w:r>
          </w:p>
        </w:tc>
        <w:tc>
          <w:tcPr>
            <w:tcW w:w="5947" w:type="dxa"/>
          </w:tcPr>
          <w:p w14:paraId="47600AA3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separó a los pacientes en dos categorías: aquellos estudiados y diagnosticados en el sistema sanitario público (independientemente de que puntualmente realizaran una visita en centros privados) y aquellos en los que el estudio y diagnóstico se realizó en centros privados</w:t>
            </w:r>
          </w:p>
        </w:tc>
      </w:tr>
      <w:tr w:rsidR="00306E72" w:rsidRPr="00127C73" w14:paraId="13FC8375" w14:textId="77777777" w:rsidTr="001E4D3A">
        <w:tc>
          <w:tcPr>
            <w:tcW w:w="3269" w:type="dxa"/>
          </w:tcPr>
          <w:p w14:paraId="6A493499" w14:textId="77777777" w:rsidR="00306E72" w:rsidRPr="004A08F4" w:rsidRDefault="00306E72" w:rsidP="001E4D3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4A08F4">
              <w:rPr>
                <w:rFonts w:ascii="Arial" w:hAnsi="Arial" w:cs="Arial"/>
                <w:sz w:val="20"/>
                <w:szCs w:val="18"/>
              </w:rPr>
              <w:t>Fecha de inicio de los síntomas</w:t>
            </w:r>
          </w:p>
        </w:tc>
        <w:tc>
          <w:tcPr>
            <w:tcW w:w="5947" w:type="dxa"/>
          </w:tcPr>
          <w:p w14:paraId="1573BBE8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interrogó al paciente sobre la fecha de inicio de los síntomas y posteriormente se corroboró dicha fecha en el p</w:t>
            </w:r>
            <w:r w:rsidRPr="00127C73">
              <w:rPr>
                <w:rFonts w:ascii="Arial" w:hAnsi="Arial" w:cs="Arial"/>
                <w:sz w:val="18"/>
                <w:szCs w:val="18"/>
              </w:rPr>
              <w:t>rimer registro de notas médicas</w:t>
            </w:r>
            <w:r>
              <w:rPr>
                <w:rFonts w:ascii="Arial" w:hAnsi="Arial" w:cs="Arial"/>
                <w:sz w:val="18"/>
                <w:szCs w:val="18"/>
              </w:rPr>
              <w:t xml:space="preserve"> disponible. En caso de discordancia, se escogió la fecha más plausible (por ejemplo, en caso de que la fecha referida por el paciente fuera posterior a la primera visita médica registrada por dichos síntomas, se escogió lo recogido en la visita médica) o se volvió a interrogar al paciente con la información recogida en la visita médica.</w:t>
            </w:r>
          </w:p>
        </w:tc>
      </w:tr>
      <w:tr w:rsidR="00306E72" w:rsidRPr="00127C73" w14:paraId="2374CB0D" w14:textId="77777777" w:rsidTr="001E4D3A">
        <w:trPr>
          <w:trHeight w:val="180"/>
        </w:trPr>
        <w:tc>
          <w:tcPr>
            <w:tcW w:w="3269" w:type="dxa"/>
          </w:tcPr>
          <w:p w14:paraId="594BE09E" w14:textId="77777777" w:rsidR="00306E72" w:rsidRPr="004A08F4" w:rsidRDefault="00306E72" w:rsidP="001E4D3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4A08F4">
              <w:rPr>
                <w:rFonts w:ascii="Arial" w:hAnsi="Arial" w:cs="Arial"/>
                <w:sz w:val="20"/>
                <w:szCs w:val="18"/>
              </w:rPr>
              <w:t>Forma de inicio</w:t>
            </w:r>
          </w:p>
        </w:tc>
        <w:tc>
          <w:tcPr>
            <w:tcW w:w="5947" w:type="dxa"/>
          </w:tcPr>
          <w:p w14:paraId="4EF4E151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C73">
              <w:rPr>
                <w:rFonts w:ascii="Arial" w:hAnsi="Arial" w:cs="Arial"/>
                <w:sz w:val="18"/>
                <w:szCs w:val="18"/>
              </w:rPr>
              <w:t>Bulbar o espinal</w:t>
            </w:r>
          </w:p>
        </w:tc>
      </w:tr>
      <w:tr w:rsidR="00306E72" w:rsidRPr="00127C73" w14:paraId="51CC2C59" w14:textId="77777777" w:rsidTr="001E4D3A">
        <w:trPr>
          <w:trHeight w:val="180"/>
        </w:trPr>
        <w:tc>
          <w:tcPr>
            <w:tcW w:w="3269" w:type="dxa"/>
          </w:tcPr>
          <w:p w14:paraId="529E7768" w14:textId="77777777" w:rsidR="00306E72" w:rsidRPr="004A08F4" w:rsidRDefault="00306E72" w:rsidP="001E4D3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4A08F4">
              <w:rPr>
                <w:rFonts w:ascii="Arial" w:hAnsi="Arial" w:cs="Arial"/>
                <w:sz w:val="20"/>
                <w:szCs w:val="18"/>
              </w:rPr>
              <w:t>Tasa de progresión</w:t>
            </w:r>
          </w:p>
        </w:tc>
        <w:tc>
          <w:tcPr>
            <w:tcW w:w="5947" w:type="dxa"/>
          </w:tcPr>
          <w:p w14:paraId="2457A7C6" w14:textId="77777777" w:rsidR="00306E72" w:rsidRPr="002F3333" w:rsidRDefault="00306E72" w:rsidP="001E4D3A">
            <w:pPr>
              <w:pStyle w:val="p1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7C73">
              <w:rPr>
                <w:rFonts w:ascii="Arial" w:hAnsi="Arial" w:cs="Arial"/>
                <w:sz w:val="18"/>
                <w:szCs w:val="18"/>
              </w:rPr>
              <w:t>Calculada como: 48-ALSFRS-R al diagnóstico/nº meses desde</w:t>
            </w:r>
            <w:r>
              <w:rPr>
                <w:rFonts w:ascii="Arial" w:hAnsi="Arial" w:cs="Arial"/>
                <w:sz w:val="18"/>
                <w:szCs w:val="18"/>
              </w:rPr>
              <w:t xml:space="preserve"> el</w:t>
            </w:r>
            <w:r w:rsidRPr="00127C73">
              <w:rPr>
                <w:rFonts w:ascii="Arial" w:hAnsi="Arial" w:cs="Arial"/>
                <w:sz w:val="18"/>
                <w:szCs w:val="18"/>
              </w:rPr>
              <w:t xml:space="preserve"> inicio de </w:t>
            </w:r>
            <w:r>
              <w:rPr>
                <w:rFonts w:ascii="Arial" w:hAnsi="Arial" w:cs="Arial"/>
                <w:sz w:val="18"/>
                <w:szCs w:val="18"/>
              </w:rPr>
              <w:t xml:space="preserve">los </w:t>
            </w:r>
            <w:r w:rsidRPr="00127C73">
              <w:rPr>
                <w:rFonts w:ascii="Arial" w:hAnsi="Arial" w:cs="Arial"/>
                <w:sz w:val="18"/>
                <w:szCs w:val="18"/>
              </w:rPr>
              <w:t>síntomas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27</w:t>
            </w:r>
          </w:p>
        </w:tc>
      </w:tr>
      <w:tr w:rsidR="00306E72" w:rsidRPr="00127C73" w14:paraId="210C9B7D" w14:textId="77777777" w:rsidTr="001E4D3A">
        <w:trPr>
          <w:trHeight w:val="180"/>
        </w:trPr>
        <w:tc>
          <w:tcPr>
            <w:tcW w:w="3269" w:type="dxa"/>
          </w:tcPr>
          <w:p w14:paraId="20CE2EDF" w14:textId="77777777" w:rsidR="00306E72" w:rsidRPr="004A08F4" w:rsidRDefault="00306E72" w:rsidP="001E4D3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4A08F4">
              <w:rPr>
                <w:rFonts w:ascii="Arial" w:hAnsi="Arial" w:cs="Arial"/>
                <w:sz w:val="20"/>
                <w:szCs w:val="18"/>
              </w:rPr>
              <w:t xml:space="preserve">Categoría de </w:t>
            </w:r>
            <w:proofErr w:type="spellStart"/>
            <w:r w:rsidRPr="004A08F4">
              <w:rPr>
                <w:rFonts w:ascii="Arial" w:hAnsi="Arial" w:cs="Arial"/>
                <w:sz w:val="20"/>
                <w:szCs w:val="18"/>
              </w:rPr>
              <w:t>Awaji</w:t>
            </w:r>
            <w:proofErr w:type="spellEnd"/>
            <w:r w:rsidRPr="004A08F4">
              <w:rPr>
                <w:rFonts w:ascii="Arial" w:hAnsi="Arial" w:cs="Arial"/>
                <w:sz w:val="20"/>
                <w:szCs w:val="18"/>
              </w:rPr>
              <w:t xml:space="preserve"> al diagnóstico</w:t>
            </w:r>
          </w:p>
        </w:tc>
        <w:tc>
          <w:tcPr>
            <w:tcW w:w="5947" w:type="dxa"/>
          </w:tcPr>
          <w:p w14:paraId="20E8E101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cumple criterios, Posible, Probable, Definida</w:t>
            </w:r>
          </w:p>
        </w:tc>
      </w:tr>
    </w:tbl>
    <w:p w14:paraId="7BB5BFC1" w14:textId="77777777" w:rsidR="00306E72" w:rsidRPr="004E1F6D" w:rsidRDefault="00306E72" w:rsidP="00306E72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068A5BE8" w14:textId="77777777" w:rsidR="00306E72" w:rsidRPr="00B105CD" w:rsidRDefault="00306E72" w:rsidP="00306E72">
      <w:pPr>
        <w:jc w:val="both"/>
        <w:rPr>
          <w:rFonts w:ascii="Arial" w:hAnsi="Arial" w:cs="Arial"/>
          <w:i/>
          <w:sz w:val="15"/>
          <w:szCs w:val="16"/>
        </w:rPr>
      </w:pPr>
      <w:r w:rsidRPr="00B105CD">
        <w:rPr>
          <w:rFonts w:ascii="Arial" w:hAnsi="Arial" w:cs="Arial"/>
          <w:sz w:val="15"/>
          <w:szCs w:val="16"/>
        </w:rPr>
        <w:t xml:space="preserve"> </w:t>
      </w:r>
      <w:r w:rsidRPr="00B105CD">
        <w:rPr>
          <w:rFonts w:ascii="Arial" w:hAnsi="Arial" w:cs="Arial"/>
          <w:i/>
          <w:sz w:val="15"/>
          <w:szCs w:val="16"/>
        </w:rPr>
        <w:t>ALSFRS-R: Escala Funcional para ELA revisada</w:t>
      </w:r>
    </w:p>
    <w:p w14:paraId="04F49273" w14:textId="77777777" w:rsidR="00306E72" w:rsidRPr="004E1F6D" w:rsidRDefault="00306E72" w:rsidP="00306E72">
      <w:pPr>
        <w:pStyle w:val="ListParagraph"/>
        <w:jc w:val="both"/>
        <w:rPr>
          <w:rFonts w:ascii="Arial" w:hAnsi="Arial" w:cs="Arial"/>
          <w:i/>
          <w:sz w:val="22"/>
        </w:rPr>
      </w:pPr>
    </w:p>
    <w:p w14:paraId="35A2FDF9" w14:textId="77777777" w:rsidR="00306E72" w:rsidRPr="00251D59" w:rsidRDefault="00306E72" w:rsidP="00306E72">
      <w:pPr>
        <w:pStyle w:val="ListParagraph"/>
        <w:jc w:val="both"/>
        <w:rPr>
          <w:rFonts w:ascii="Arial" w:hAnsi="Arial" w:cs="Arial"/>
          <w:color w:val="000000" w:themeColor="text1"/>
        </w:rPr>
      </w:pPr>
    </w:p>
    <w:p w14:paraId="48F61C23" w14:textId="77777777" w:rsidR="00306E72" w:rsidRPr="007027B3" w:rsidRDefault="00306E72" w:rsidP="00306E72">
      <w:pPr>
        <w:pStyle w:val="Caption"/>
        <w:keepNext/>
        <w:jc w:val="both"/>
        <w:outlineLvl w:val="0"/>
        <w:rPr>
          <w:rFonts w:ascii="Arial" w:hAnsi="Arial" w:cs="Arial"/>
          <w:b/>
          <w:i w:val="0"/>
          <w:color w:val="000000" w:themeColor="text1"/>
          <w:sz w:val="22"/>
        </w:rPr>
      </w:pPr>
      <w:r w:rsidRPr="007027B3">
        <w:rPr>
          <w:rFonts w:ascii="Arial" w:hAnsi="Arial" w:cs="Arial"/>
          <w:b/>
          <w:i w:val="0"/>
          <w:color w:val="000000" w:themeColor="text1"/>
          <w:sz w:val="22"/>
        </w:rPr>
        <w:t xml:space="preserve">Tabla </w:t>
      </w:r>
      <w:r>
        <w:rPr>
          <w:rFonts w:ascii="Arial" w:hAnsi="Arial" w:cs="Arial"/>
          <w:b/>
          <w:i w:val="0"/>
          <w:color w:val="000000" w:themeColor="text1"/>
          <w:sz w:val="22"/>
        </w:rPr>
        <w:t xml:space="preserve">suplementaria 2 </w:t>
      </w:r>
      <w:r w:rsidRPr="007027B3">
        <w:rPr>
          <w:rFonts w:ascii="Arial" w:hAnsi="Arial" w:cs="Arial"/>
          <w:b/>
          <w:i w:val="0"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i w:val="0"/>
          <w:color w:val="000000" w:themeColor="text1"/>
          <w:sz w:val="22"/>
        </w:rPr>
        <w:t xml:space="preserve"> </w:t>
      </w:r>
      <w:r w:rsidRPr="007027B3">
        <w:rPr>
          <w:rFonts w:ascii="Arial" w:hAnsi="Arial" w:cs="Arial"/>
          <w:b/>
          <w:i w:val="0"/>
          <w:color w:val="000000" w:themeColor="text1"/>
          <w:sz w:val="22"/>
        </w:rPr>
        <w:t xml:space="preserve">Datos del trayecto diagnóstico, recogidos retrospectivamente. </w:t>
      </w:r>
    </w:p>
    <w:tbl>
      <w:tblPr>
        <w:tblStyle w:val="TableGrid"/>
        <w:tblW w:w="9205" w:type="dxa"/>
        <w:tblLook w:val="04A0" w:firstRow="1" w:lastRow="0" w:firstColumn="1" w:lastColumn="0" w:noHBand="0" w:noVBand="1"/>
      </w:tblPr>
      <w:tblGrid>
        <w:gridCol w:w="3125"/>
        <w:gridCol w:w="6080"/>
      </w:tblGrid>
      <w:tr w:rsidR="00306E72" w:rsidRPr="00FB686D" w14:paraId="7EDFF402" w14:textId="77777777" w:rsidTr="001E4D3A">
        <w:tc>
          <w:tcPr>
            <w:tcW w:w="3125" w:type="dxa"/>
          </w:tcPr>
          <w:p w14:paraId="24A24D06" w14:textId="77777777" w:rsidR="00306E72" w:rsidRPr="004A08F4" w:rsidRDefault="00306E72" w:rsidP="001E4D3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16"/>
              </w:rPr>
            </w:pPr>
            <w:r w:rsidRPr="004A08F4">
              <w:rPr>
                <w:rFonts w:ascii="Arial" w:hAnsi="Arial" w:cs="Arial"/>
                <w:b/>
                <w:i/>
                <w:color w:val="000000" w:themeColor="text1"/>
                <w:sz w:val="20"/>
                <w:szCs w:val="16"/>
              </w:rPr>
              <w:t>Variable de interés</w:t>
            </w:r>
          </w:p>
        </w:tc>
        <w:tc>
          <w:tcPr>
            <w:tcW w:w="6080" w:type="dxa"/>
          </w:tcPr>
          <w:p w14:paraId="01719EA6" w14:textId="77777777" w:rsidR="00306E72" w:rsidRPr="004A08F4" w:rsidRDefault="00306E72" w:rsidP="001E4D3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16"/>
              </w:rPr>
            </w:pPr>
            <w:r w:rsidRPr="004A08F4">
              <w:rPr>
                <w:rFonts w:ascii="Arial" w:hAnsi="Arial" w:cs="Arial"/>
                <w:b/>
                <w:i/>
                <w:color w:val="000000" w:themeColor="text1"/>
                <w:sz w:val="20"/>
                <w:szCs w:val="16"/>
              </w:rPr>
              <w:t>Datos recogidos</w:t>
            </w:r>
          </w:p>
        </w:tc>
      </w:tr>
      <w:tr w:rsidR="00306E72" w:rsidRPr="00FB686D" w14:paraId="0F52C8ED" w14:textId="77777777" w:rsidTr="001E4D3A">
        <w:tc>
          <w:tcPr>
            <w:tcW w:w="3125" w:type="dxa"/>
          </w:tcPr>
          <w:p w14:paraId="70A0E949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Primera consulta</w:t>
            </w:r>
          </w:p>
        </w:tc>
        <w:tc>
          <w:tcPr>
            <w:tcW w:w="6080" w:type="dxa"/>
          </w:tcPr>
          <w:p w14:paraId="682284F0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Fecha y e</w:t>
            </w:r>
            <w:r w:rsidRPr="00127C73">
              <w:rPr>
                <w:rFonts w:ascii="Arial" w:hAnsi="Arial" w:cs="Arial"/>
                <w:sz w:val="18"/>
                <w:szCs w:val="16"/>
              </w:rPr>
              <w:t xml:space="preserve">specialidad del primer médico consultado </w:t>
            </w:r>
          </w:p>
        </w:tc>
      </w:tr>
      <w:tr w:rsidR="00306E72" w:rsidRPr="00FB686D" w14:paraId="30FDD75B" w14:textId="77777777" w:rsidTr="001E4D3A">
        <w:trPr>
          <w:trHeight w:val="414"/>
        </w:trPr>
        <w:tc>
          <w:tcPr>
            <w:tcW w:w="3125" w:type="dxa"/>
          </w:tcPr>
          <w:p w14:paraId="75F2E87D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127C73">
              <w:rPr>
                <w:rFonts w:ascii="Arial" w:hAnsi="Arial" w:cs="Arial"/>
                <w:sz w:val="18"/>
                <w:szCs w:val="16"/>
              </w:rPr>
              <w:t xml:space="preserve">Orientación clínica adecuada </w:t>
            </w:r>
          </w:p>
        </w:tc>
        <w:tc>
          <w:tcPr>
            <w:tcW w:w="6080" w:type="dxa"/>
          </w:tcPr>
          <w:p w14:paraId="02CDECB0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Se consideró adecuada cuando el primer médico derivó al paciente al neurólogo en menos de un mes desde la primera visita.</w:t>
            </w:r>
          </w:p>
        </w:tc>
      </w:tr>
      <w:tr w:rsidR="00306E72" w:rsidRPr="00FB686D" w14:paraId="6296C675" w14:textId="77777777" w:rsidTr="001E4D3A">
        <w:tc>
          <w:tcPr>
            <w:tcW w:w="3125" w:type="dxa"/>
          </w:tcPr>
          <w:p w14:paraId="153B997A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Número de e</w:t>
            </w:r>
            <w:r w:rsidRPr="00127C73">
              <w:rPr>
                <w:rFonts w:ascii="Arial" w:hAnsi="Arial" w:cs="Arial"/>
                <w:sz w:val="18"/>
                <w:szCs w:val="16"/>
              </w:rPr>
              <w:t>specialista</w:t>
            </w:r>
            <w:r>
              <w:rPr>
                <w:rFonts w:ascii="Arial" w:hAnsi="Arial" w:cs="Arial"/>
                <w:sz w:val="18"/>
                <w:szCs w:val="16"/>
              </w:rPr>
              <w:t>s</w:t>
            </w:r>
            <w:r w:rsidRPr="00127C73">
              <w:rPr>
                <w:rFonts w:ascii="Arial" w:hAnsi="Arial" w:cs="Arial"/>
                <w:sz w:val="18"/>
                <w:szCs w:val="16"/>
              </w:rPr>
              <w:t xml:space="preserve"> no neurólogo</w:t>
            </w:r>
            <w:r>
              <w:rPr>
                <w:rFonts w:ascii="Arial" w:hAnsi="Arial" w:cs="Arial"/>
                <w:sz w:val="18"/>
                <w:szCs w:val="16"/>
              </w:rPr>
              <w:t>s</w:t>
            </w:r>
          </w:p>
        </w:tc>
        <w:tc>
          <w:tcPr>
            <w:tcW w:w="6080" w:type="dxa"/>
          </w:tcPr>
          <w:p w14:paraId="2A7B9884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127C73">
              <w:rPr>
                <w:rFonts w:ascii="Arial" w:hAnsi="Arial" w:cs="Arial"/>
                <w:sz w:val="18"/>
                <w:szCs w:val="16"/>
              </w:rPr>
              <w:t>Número de especialistas visitados</w:t>
            </w:r>
            <w:r>
              <w:rPr>
                <w:rFonts w:ascii="Arial" w:hAnsi="Arial" w:cs="Arial"/>
                <w:sz w:val="18"/>
                <w:szCs w:val="16"/>
              </w:rPr>
              <w:t xml:space="preserve"> relacionados con los síntomas de ELA. </w:t>
            </w:r>
          </w:p>
        </w:tc>
      </w:tr>
      <w:tr w:rsidR="00306E72" w:rsidRPr="00FB686D" w14:paraId="50AE4040" w14:textId="77777777" w:rsidTr="001E4D3A">
        <w:trPr>
          <w:trHeight w:val="180"/>
        </w:trPr>
        <w:tc>
          <w:tcPr>
            <w:tcW w:w="3125" w:type="dxa"/>
          </w:tcPr>
          <w:p w14:paraId="4D4873C9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127C73">
              <w:rPr>
                <w:rFonts w:ascii="Arial" w:hAnsi="Arial" w:cs="Arial"/>
                <w:sz w:val="18"/>
                <w:szCs w:val="16"/>
              </w:rPr>
              <w:t>Consultas en Urgencias</w:t>
            </w:r>
          </w:p>
        </w:tc>
        <w:tc>
          <w:tcPr>
            <w:tcW w:w="6080" w:type="dxa"/>
          </w:tcPr>
          <w:p w14:paraId="6F8EB478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Número de visitas a urgencias por síntomas de ELA antes del diagnóstico</w:t>
            </w:r>
          </w:p>
        </w:tc>
      </w:tr>
      <w:tr w:rsidR="00306E72" w:rsidRPr="00FB686D" w14:paraId="199D6901" w14:textId="77777777" w:rsidTr="001E4D3A">
        <w:trPr>
          <w:trHeight w:val="180"/>
        </w:trPr>
        <w:tc>
          <w:tcPr>
            <w:tcW w:w="3125" w:type="dxa"/>
          </w:tcPr>
          <w:p w14:paraId="47E3BD61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127C73">
              <w:rPr>
                <w:rFonts w:ascii="Arial" w:hAnsi="Arial" w:cs="Arial"/>
                <w:sz w:val="18"/>
                <w:szCs w:val="16"/>
              </w:rPr>
              <w:t>Consulta en Centro Privado</w:t>
            </w:r>
          </w:p>
        </w:tc>
        <w:tc>
          <w:tcPr>
            <w:tcW w:w="6080" w:type="dxa"/>
          </w:tcPr>
          <w:p w14:paraId="06E4FBD2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Visita en un centro privado durante el trayecto diagnóstico por síntomas relacionados con la ELA </w:t>
            </w:r>
          </w:p>
        </w:tc>
      </w:tr>
      <w:tr w:rsidR="00306E72" w:rsidRPr="00FB686D" w14:paraId="3758A7F4" w14:textId="77777777" w:rsidTr="001E4D3A">
        <w:trPr>
          <w:trHeight w:val="180"/>
        </w:trPr>
        <w:tc>
          <w:tcPr>
            <w:tcW w:w="3125" w:type="dxa"/>
          </w:tcPr>
          <w:p w14:paraId="46D20A4E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Consulta en </w:t>
            </w:r>
            <w:r w:rsidRPr="00127C73">
              <w:rPr>
                <w:rFonts w:ascii="Arial" w:hAnsi="Arial" w:cs="Arial"/>
                <w:sz w:val="18"/>
                <w:szCs w:val="16"/>
              </w:rPr>
              <w:t>Neurología</w:t>
            </w:r>
          </w:p>
        </w:tc>
        <w:tc>
          <w:tcPr>
            <w:tcW w:w="6080" w:type="dxa"/>
          </w:tcPr>
          <w:p w14:paraId="02E21BFF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Fecha de la primera visita y número de visitas hasta el diagnóstico</w:t>
            </w:r>
          </w:p>
        </w:tc>
      </w:tr>
      <w:tr w:rsidR="00306E72" w:rsidRPr="00FB686D" w14:paraId="3A9D3B08" w14:textId="77777777" w:rsidTr="001E4D3A">
        <w:trPr>
          <w:trHeight w:val="180"/>
        </w:trPr>
        <w:tc>
          <w:tcPr>
            <w:tcW w:w="3125" w:type="dxa"/>
          </w:tcPr>
          <w:p w14:paraId="5F301CD3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127C73">
              <w:rPr>
                <w:rFonts w:ascii="Arial" w:hAnsi="Arial" w:cs="Arial"/>
                <w:sz w:val="18"/>
                <w:szCs w:val="16"/>
              </w:rPr>
              <w:t>Diagnóstico erróneo emitido por el neurólogo</w:t>
            </w:r>
          </w:p>
        </w:tc>
        <w:tc>
          <w:tcPr>
            <w:tcW w:w="6080" w:type="dxa"/>
          </w:tcPr>
          <w:p w14:paraId="53CEABAF" w14:textId="77777777" w:rsidR="00306E72" w:rsidRPr="00127C73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Diagnóstico o sospecha diagnóstica del primer neurólogo en visitar al paciente </w:t>
            </w:r>
          </w:p>
        </w:tc>
      </w:tr>
      <w:tr w:rsidR="00306E72" w:rsidRPr="00FB686D" w14:paraId="4B480EFD" w14:textId="77777777" w:rsidTr="001E4D3A">
        <w:trPr>
          <w:trHeight w:val="180"/>
        </w:trPr>
        <w:tc>
          <w:tcPr>
            <w:tcW w:w="3125" w:type="dxa"/>
          </w:tcPr>
          <w:p w14:paraId="3CEE6F4F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Primer estudio neurofisiológico</w:t>
            </w:r>
          </w:p>
        </w:tc>
        <w:tc>
          <w:tcPr>
            <w:tcW w:w="6080" w:type="dxa"/>
          </w:tcPr>
          <w:p w14:paraId="2230F587" w14:textId="77777777" w:rsidR="00306E72" w:rsidRPr="002F3333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  <w:vertAlign w:val="superscript"/>
              </w:rPr>
            </w:pPr>
            <w:r>
              <w:rPr>
                <w:rFonts w:ascii="Arial" w:hAnsi="Arial" w:cs="Arial"/>
                <w:sz w:val="18"/>
                <w:szCs w:val="16"/>
              </w:rPr>
              <w:t>Médico que solicita el primer estudio neurofisiológico, fecha de realización y resultado. Se consideraron como no concluyentes aquellos estudios que no cumplían</w:t>
            </w:r>
            <w:r w:rsidRPr="00127C73">
              <w:rPr>
                <w:rFonts w:ascii="Arial" w:hAnsi="Arial" w:cs="Arial"/>
                <w:sz w:val="18"/>
                <w:szCs w:val="16"/>
              </w:rPr>
              <w:t xml:space="preserve"> criterios electro</w:t>
            </w:r>
            <w:r>
              <w:rPr>
                <w:rFonts w:ascii="Arial" w:hAnsi="Arial" w:cs="Arial"/>
                <w:sz w:val="18"/>
                <w:szCs w:val="16"/>
              </w:rPr>
              <w:t>fisiológicos</w:t>
            </w:r>
            <w:r w:rsidRPr="00127C73">
              <w:rPr>
                <w:rFonts w:ascii="Arial" w:hAnsi="Arial" w:cs="Arial"/>
                <w:sz w:val="18"/>
                <w:szCs w:val="16"/>
              </w:rPr>
              <w:t xml:space="preserve"> de afectación de ninguna región o </w:t>
            </w:r>
            <w:r>
              <w:rPr>
                <w:rFonts w:ascii="Arial" w:hAnsi="Arial" w:cs="Arial"/>
                <w:sz w:val="18"/>
                <w:szCs w:val="16"/>
              </w:rPr>
              <w:t xml:space="preserve">en los que </w:t>
            </w:r>
            <w:r w:rsidRPr="00127C73">
              <w:rPr>
                <w:rFonts w:ascii="Arial" w:hAnsi="Arial" w:cs="Arial"/>
                <w:sz w:val="18"/>
                <w:szCs w:val="16"/>
              </w:rPr>
              <w:t>los estudios de</w:t>
            </w:r>
            <w:r>
              <w:rPr>
                <w:rFonts w:ascii="Arial" w:hAnsi="Arial" w:cs="Arial"/>
                <w:sz w:val="18"/>
                <w:szCs w:val="16"/>
              </w:rPr>
              <w:t xml:space="preserve"> conducción nerviosa no permitían</w:t>
            </w:r>
            <w:r w:rsidRPr="00127C73">
              <w:rPr>
                <w:rFonts w:ascii="Arial" w:hAnsi="Arial" w:cs="Arial"/>
                <w:sz w:val="18"/>
                <w:szCs w:val="16"/>
              </w:rPr>
              <w:t xml:space="preserve"> descartar otros trastornos como causa de los síntomas</w:t>
            </w:r>
            <w:r>
              <w:rPr>
                <w:rFonts w:ascii="Arial" w:hAnsi="Arial" w:cs="Arial"/>
                <w:sz w:val="18"/>
                <w:szCs w:val="16"/>
              </w:rPr>
              <w:t>, según los criterios de Awaji</w:t>
            </w:r>
            <w:r>
              <w:rPr>
                <w:rFonts w:ascii="Arial" w:hAnsi="Arial" w:cs="Arial"/>
                <w:sz w:val="18"/>
                <w:szCs w:val="16"/>
                <w:vertAlign w:val="superscript"/>
              </w:rPr>
              <w:t>28</w:t>
            </w:r>
          </w:p>
        </w:tc>
      </w:tr>
      <w:tr w:rsidR="00306E72" w:rsidRPr="00FB686D" w14:paraId="1187665D" w14:textId="77777777" w:rsidTr="001E4D3A">
        <w:trPr>
          <w:trHeight w:val="428"/>
        </w:trPr>
        <w:tc>
          <w:tcPr>
            <w:tcW w:w="3125" w:type="dxa"/>
          </w:tcPr>
          <w:p w14:paraId="2673DCAC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Último estudio neurofisiológico</w:t>
            </w:r>
          </w:p>
        </w:tc>
        <w:tc>
          <w:tcPr>
            <w:tcW w:w="6080" w:type="dxa"/>
          </w:tcPr>
          <w:p w14:paraId="45E58761" w14:textId="77777777" w:rsidR="00306E72" w:rsidRPr="00127C73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En el caso de p</w:t>
            </w:r>
            <w:r w:rsidRPr="00127C73">
              <w:rPr>
                <w:rFonts w:ascii="Arial" w:hAnsi="Arial" w:cs="Arial"/>
                <w:sz w:val="18"/>
                <w:szCs w:val="16"/>
              </w:rPr>
              <w:t>acientes con varios estudios neurofisiológicos</w:t>
            </w:r>
            <w:r>
              <w:rPr>
                <w:rFonts w:ascii="Arial" w:hAnsi="Arial" w:cs="Arial"/>
                <w:sz w:val="18"/>
                <w:szCs w:val="16"/>
              </w:rPr>
              <w:t>, se recogió la fecha del último estudio previo al diagnóstico</w:t>
            </w:r>
          </w:p>
        </w:tc>
      </w:tr>
      <w:tr w:rsidR="00306E72" w:rsidRPr="00FB686D" w14:paraId="5299BD1B" w14:textId="77777777" w:rsidTr="001E4D3A">
        <w:trPr>
          <w:trHeight w:val="428"/>
        </w:trPr>
        <w:tc>
          <w:tcPr>
            <w:tcW w:w="3125" w:type="dxa"/>
          </w:tcPr>
          <w:p w14:paraId="126EB443" w14:textId="77777777" w:rsidR="00306E72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127C73">
              <w:rPr>
                <w:rFonts w:ascii="Arial" w:hAnsi="Arial" w:cs="Arial"/>
                <w:sz w:val="18"/>
                <w:szCs w:val="18"/>
              </w:rPr>
              <w:t>Fecha de diagnóstico</w:t>
            </w:r>
          </w:p>
        </w:tc>
        <w:tc>
          <w:tcPr>
            <w:tcW w:w="6080" w:type="dxa"/>
          </w:tcPr>
          <w:p w14:paraId="3C0623D7" w14:textId="77777777" w:rsidR="00306E72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interrogó al paciente sobre la fecha en que se le comunicó el diagnóstico y posteriormente se corroboró dicha fecha en las notas médicas disponibles. En caso de discordancia, se consideró la fecha de prescripción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riluzol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6E72" w:rsidRPr="00FB686D" w14:paraId="0687B85E" w14:textId="77777777" w:rsidTr="001E4D3A">
        <w:trPr>
          <w:trHeight w:val="428"/>
        </w:trPr>
        <w:tc>
          <w:tcPr>
            <w:tcW w:w="3125" w:type="dxa"/>
          </w:tcPr>
          <w:p w14:paraId="6EF89204" w14:textId="77777777" w:rsidR="00306E72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Fecha de inicio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127C73">
              <w:rPr>
                <w:rFonts w:ascii="Arial" w:hAnsi="Arial" w:cs="Arial"/>
                <w:sz w:val="18"/>
                <w:szCs w:val="18"/>
              </w:rPr>
              <w:t>iluzol</w:t>
            </w:r>
            <w:proofErr w:type="spellEnd"/>
          </w:p>
        </w:tc>
        <w:tc>
          <w:tcPr>
            <w:tcW w:w="6080" w:type="dxa"/>
          </w:tcPr>
          <w:p w14:paraId="5106A228" w14:textId="77777777" w:rsidR="00306E72" w:rsidRDefault="00306E72" w:rsidP="001E4D3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prescripción</w:t>
            </w:r>
          </w:p>
        </w:tc>
      </w:tr>
      <w:tr w:rsidR="00306E72" w:rsidRPr="00FB686D" w14:paraId="7A53FFAC" w14:textId="77777777" w:rsidTr="001E4D3A">
        <w:trPr>
          <w:trHeight w:val="595"/>
        </w:trPr>
        <w:tc>
          <w:tcPr>
            <w:tcW w:w="3125" w:type="dxa"/>
          </w:tcPr>
          <w:p w14:paraId="1FB8ADD7" w14:textId="73C8051A" w:rsidR="00306E72" w:rsidRPr="00DB7C1C" w:rsidRDefault="00306E72" w:rsidP="001E4D3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Pruebas no indicadas</w:t>
            </w:r>
            <w:r w:rsidR="00FD0061">
              <w:rPr>
                <w:rFonts w:ascii="Arial" w:hAnsi="Arial" w:cs="Arial"/>
                <w:sz w:val="18"/>
                <w:szCs w:val="16"/>
              </w:rPr>
              <w:t>/innecesarias</w:t>
            </w:r>
          </w:p>
        </w:tc>
        <w:tc>
          <w:tcPr>
            <w:tcW w:w="6080" w:type="dxa"/>
          </w:tcPr>
          <w:p w14:paraId="0AF1D3B8" w14:textId="1799874C" w:rsidR="00306E72" w:rsidRDefault="00306E72" w:rsidP="00AE21D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Todas aquellas pruebas realizadas durante el estudio de la enfermedad que no figuran entre las indicadas para el diagnóstico de ELA según las guía europeas</w:t>
            </w:r>
            <w:r>
              <w:rPr>
                <w:rFonts w:ascii="Arial" w:hAnsi="Arial" w:cs="Arial"/>
                <w:sz w:val="18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AE21D2">
              <w:rPr>
                <w:rFonts w:ascii="Arial" w:hAnsi="Arial" w:cs="Arial"/>
                <w:sz w:val="18"/>
                <w:szCs w:val="16"/>
              </w:rPr>
              <w:t>(</w:t>
            </w:r>
            <w:proofErr w:type="spellStart"/>
            <w:r w:rsidR="00AE21D2">
              <w:rPr>
                <w:rFonts w:ascii="Arial" w:hAnsi="Arial" w:cs="Arial"/>
                <w:sz w:val="18"/>
                <w:szCs w:val="16"/>
              </w:rPr>
              <w:t>pej</w:t>
            </w:r>
            <w:proofErr w:type="spellEnd"/>
            <w:r w:rsidR="00AE21D2">
              <w:rPr>
                <w:rFonts w:ascii="Arial" w:hAnsi="Arial" w:cs="Arial"/>
                <w:sz w:val="18"/>
                <w:szCs w:val="16"/>
              </w:rPr>
              <w:t>. radiografía de la mano) o en aquellas realizadas de forma reiterativa, innecesariamente. Esta categorización se realizó por consenso en cada paciente.</w:t>
            </w:r>
          </w:p>
        </w:tc>
      </w:tr>
    </w:tbl>
    <w:p w14:paraId="038474C8" w14:textId="77777777" w:rsidR="00306E72" w:rsidRDefault="00306E72" w:rsidP="00306E72">
      <w:pPr>
        <w:rPr>
          <w:rFonts w:ascii="Arial" w:hAnsi="Arial" w:cs="Arial"/>
          <w:i/>
          <w:sz w:val="18"/>
        </w:rPr>
      </w:pPr>
    </w:p>
    <w:p w14:paraId="0B80C38C" w14:textId="77777777" w:rsidR="00306E72" w:rsidRPr="009C13DA" w:rsidRDefault="00306E72" w:rsidP="00306E72">
      <w:pPr>
        <w:rPr>
          <w:sz w:val="22"/>
        </w:rPr>
      </w:pPr>
      <w:r w:rsidRPr="009C13DA">
        <w:rPr>
          <w:rFonts w:ascii="Arial" w:hAnsi="Arial" w:cs="Arial"/>
          <w:i/>
          <w:sz w:val="18"/>
        </w:rPr>
        <w:t xml:space="preserve">Nota: la fecha de diagnóstico y de inicio de </w:t>
      </w:r>
      <w:proofErr w:type="spellStart"/>
      <w:r w:rsidRPr="009C13DA">
        <w:rPr>
          <w:rFonts w:ascii="Arial" w:hAnsi="Arial" w:cs="Arial"/>
          <w:i/>
          <w:sz w:val="18"/>
        </w:rPr>
        <w:t>riluzol</w:t>
      </w:r>
      <w:proofErr w:type="spellEnd"/>
      <w:r w:rsidRPr="009C13DA">
        <w:rPr>
          <w:rFonts w:ascii="Arial" w:hAnsi="Arial" w:cs="Arial"/>
          <w:i/>
          <w:sz w:val="18"/>
        </w:rPr>
        <w:t xml:space="preserve"> se recogieron prospectivamente pero se corroboraron retrospectivamente en las notas médicas disponibles.</w:t>
      </w:r>
    </w:p>
    <w:p w14:paraId="0CC993F1" w14:textId="4A15877F" w:rsidR="00523629" w:rsidRDefault="00523629">
      <w:bookmarkStart w:id="0" w:name="_GoBack"/>
      <w:bookmarkEnd w:id="0"/>
    </w:p>
    <w:sectPr w:rsidR="00523629" w:rsidSect="001505F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C6F48"/>
    <w:multiLevelType w:val="hybridMultilevel"/>
    <w:tmpl w:val="F3D8689E"/>
    <w:lvl w:ilvl="0" w:tplc="A7E0BE9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E5F8D"/>
    <w:multiLevelType w:val="hybridMultilevel"/>
    <w:tmpl w:val="822071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92A54"/>
    <w:multiLevelType w:val="hybridMultilevel"/>
    <w:tmpl w:val="F992EC10"/>
    <w:lvl w:ilvl="0" w:tplc="9732CFF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61B8F"/>
    <w:multiLevelType w:val="hybridMultilevel"/>
    <w:tmpl w:val="274E4D6E"/>
    <w:lvl w:ilvl="0" w:tplc="4176A3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07CDA"/>
    <w:multiLevelType w:val="hybridMultilevel"/>
    <w:tmpl w:val="3FD8AC0C"/>
    <w:lvl w:ilvl="0" w:tplc="321010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E6DAF"/>
    <w:multiLevelType w:val="hybridMultilevel"/>
    <w:tmpl w:val="5810B8C0"/>
    <w:lvl w:ilvl="0" w:tplc="0602F786">
      <w:start w:val="1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90146"/>
    <w:multiLevelType w:val="hybridMultilevel"/>
    <w:tmpl w:val="B1300E6C"/>
    <w:lvl w:ilvl="0" w:tplc="9D2870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22E4C"/>
    <w:multiLevelType w:val="hybridMultilevel"/>
    <w:tmpl w:val="90F0EE40"/>
    <w:lvl w:ilvl="0" w:tplc="089467B8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063E7"/>
    <w:multiLevelType w:val="hybridMultilevel"/>
    <w:tmpl w:val="7B9810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66D75"/>
    <w:multiLevelType w:val="hybridMultilevel"/>
    <w:tmpl w:val="E6481794"/>
    <w:lvl w:ilvl="0" w:tplc="778CC1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1B"/>
    <w:rsid w:val="00102134"/>
    <w:rsid w:val="001505FC"/>
    <w:rsid w:val="001A4A5E"/>
    <w:rsid w:val="001B2129"/>
    <w:rsid w:val="001E4D3A"/>
    <w:rsid w:val="002A6B4A"/>
    <w:rsid w:val="00306E72"/>
    <w:rsid w:val="00315FBC"/>
    <w:rsid w:val="00367DA1"/>
    <w:rsid w:val="003B45A9"/>
    <w:rsid w:val="003B699D"/>
    <w:rsid w:val="00415395"/>
    <w:rsid w:val="004564FE"/>
    <w:rsid w:val="00523629"/>
    <w:rsid w:val="005768C1"/>
    <w:rsid w:val="005D0338"/>
    <w:rsid w:val="005D7AB2"/>
    <w:rsid w:val="005E420D"/>
    <w:rsid w:val="00735CE1"/>
    <w:rsid w:val="007C5669"/>
    <w:rsid w:val="00824965"/>
    <w:rsid w:val="00861AE1"/>
    <w:rsid w:val="0086437C"/>
    <w:rsid w:val="00885A54"/>
    <w:rsid w:val="00893E67"/>
    <w:rsid w:val="008E6E4E"/>
    <w:rsid w:val="009430B0"/>
    <w:rsid w:val="009B41C6"/>
    <w:rsid w:val="009B7C1B"/>
    <w:rsid w:val="009E48EB"/>
    <w:rsid w:val="00A72422"/>
    <w:rsid w:val="00AA4022"/>
    <w:rsid w:val="00AE21D2"/>
    <w:rsid w:val="00BA2C7B"/>
    <w:rsid w:val="00C63A45"/>
    <w:rsid w:val="00C677E9"/>
    <w:rsid w:val="00C9038F"/>
    <w:rsid w:val="00CB6ECA"/>
    <w:rsid w:val="00CC7EC9"/>
    <w:rsid w:val="00D06F58"/>
    <w:rsid w:val="00E26F70"/>
    <w:rsid w:val="00E93E67"/>
    <w:rsid w:val="00ED0B93"/>
    <w:rsid w:val="00F0790E"/>
    <w:rsid w:val="00F24F71"/>
    <w:rsid w:val="00F26EDA"/>
    <w:rsid w:val="00F542A8"/>
    <w:rsid w:val="00F74A64"/>
    <w:rsid w:val="00FB6F1A"/>
    <w:rsid w:val="00FD0061"/>
    <w:rsid w:val="00FD4FD6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22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C1B"/>
  </w:style>
  <w:style w:type="paragraph" w:styleId="ListParagraph">
    <w:name w:val="List Paragraph"/>
    <w:basedOn w:val="Normal"/>
    <w:uiPriority w:val="34"/>
    <w:qFormat/>
    <w:rsid w:val="009B7C1B"/>
    <w:pPr>
      <w:ind w:left="720"/>
      <w:contextualSpacing/>
    </w:pPr>
  </w:style>
  <w:style w:type="table" w:styleId="PlainTable4">
    <w:name w:val="Plain Table 4"/>
    <w:basedOn w:val="TableNormal"/>
    <w:uiPriority w:val="44"/>
    <w:rsid w:val="009B7C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9B7C1B"/>
    <w:rPr>
      <w:rFonts w:ascii="Calibri" w:hAnsi="Calibri" w:cs="Times New Roman"/>
      <w:sz w:val="17"/>
      <w:szCs w:val="17"/>
      <w:lang w:eastAsia="es-ES_tradnl"/>
    </w:rPr>
  </w:style>
  <w:style w:type="paragraph" w:styleId="Caption">
    <w:name w:val="caption"/>
    <w:basedOn w:val="Normal"/>
    <w:next w:val="Normal"/>
    <w:uiPriority w:val="35"/>
    <w:unhideWhenUsed/>
    <w:qFormat/>
    <w:rsid w:val="009B7C1B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B7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9B7C1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7C1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C1B"/>
  </w:style>
  <w:style w:type="paragraph" w:styleId="Footer">
    <w:name w:val="footer"/>
    <w:basedOn w:val="Normal"/>
    <w:link w:val="FooterChar"/>
    <w:uiPriority w:val="99"/>
    <w:unhideWhenUsed/>
    <w:rsid w:val="009B7C1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C1B"/>
  </w:style>
  <w:style w:type="character" w:styleId="CommentReference">
    <w:name w:val="annotation reference"/>
    <w:basedOn w:val="DefaultParagraphFont"/>
    <w:uiPriority w:val="99"/>
    <w:semiHidden/>
    <w:unhideWhenUsed/>
    <w:rsid w:val="009B7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1B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7C1B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7C1B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B7C1B"/>
  </w:style>
  <w:style w:type="paragraph" w:customStyle="1" w:styleId="p2">
    <w:name w:val="p2"/>
    <w:basedOn w:val="Normal"/>
    <w:rsid w:val="009B7C1B"/>
    <w:rPr>
      <w:rFonts w:ascii="Helvetica" w:hAnsi="Helvetica" w:cs="Times New Roman"/>
      <w:sz w:val="12"/>
      <w:szCs w:val="12"/>
      <w:lang w:eastAsia="es-ES_tradnl"/>
    </w:rPr>
  </w:style>
  <w:style w:type="character" w:styleId="Hyperlink">
    <w:name w:val="Hyperlink"/>
    <w:basedOn w:val="DefaultParagraphFont"/>
    <w:uiPriority w:val="99"/>
    <w:unhideWhenUsed/>
    <w:rsid w:val="009B7C1B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50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BBE844B37624CA839420A95463F32" ma:contentTypeVersion="" ma:contentTypeDescription="Create a new document." ma:contentTypeScope="" ma:versionID="d56c40926f5662c740ae35fa7222f919">
  <xsd:schema xmlns:xsd="http://www.w3.org/2001/XMLSchema" xmlns:xs="http://www.w3.org/2001/XMLSchema" xmlns:p="http://schemas.microsoft.com/office/2006/metadata/properties" xmlns:ns2="99ab08b8-3ee1-473d-b2b1-537289d0091d" xmlns:ns3="2f69321a-4ae8-4b2f-9723-e9de53232710" targetNamespace="http://schemas.microsoft.com/office/2006/metadata/properties" ma:root="true" ma:fieldsID="14270a861483078af35179048abc2ab1" ns2:_="" ns3:_="">
    <xsd:import namespace="99ab08b8-3ee1-473d-b2b1-537289d0091d"/>
    <xsd:import namespace="2f69321a-4ae8-4b2f-9723-e9de5323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08b8-3ee1-473d-b2b1-537289d00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9321a-4ae8-4b2f-9723-e9de53232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Meeting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45EC-F25A-4ACA-8200-1A99ABB9C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b08b8-3ee1-473d-b2b1-537289d0091d"/>
    <ds:schemaRef ds:uri="2f69321a-4ae8-4b2f-9723-e9de5323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D8861-4226-4D40-A63A-A49FD5467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D64C23-79EF-4AFE-82B7-52BDB34073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1BD9A-A3B3-4076-96AC-A193A48E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Bandana Sharma</cp:lastModifiedBy>
  <cp:revision>2</cp:revision>
  <dcterms:created xsi:type="dcterms:W3CDTF">2018-05-22T10:40:00Z</dcterms:created>
  <dcterms:modified xsi:type="dcterms:W3CDTF">2018-05-22T10:40:00Z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http://www.zotero.org/styles/harvard1</vt:lpwstr>
  </property>
  <property fmtid="{D5CDD505-2E9C-101B-9397-08002B2CF9AE}" pid="7" name="Mendeley Recent Style Name 2_1">
    <vt:lpwstr>Harvard Reference format 1 (author-date)</vt:lpwstr>
  </property>
  <property fmtid="{D5CDD505-2E9C-101B-9397-08002B2CF9AE}" pid="8" name="Mendeley Recent Style Id 3_1">
    <vt:lpwstr>http://www.zotero.org/styles/journal-of-neurology</vt:lpwstr>
  </property>
  <property fmtid="{D5CDD505-2E9C-101B-9397-08002B2CF9AE}" pid="9" name="Mendeley Recent Style Name 3_1">
    <vt:lpwstr>Journal of Neurology</vt:lpwstr>
  </property>
  <property fmtid="{D5CDD505-2E9C-101B-9397-08002B2CF9AE}" pid="10" name="Mendeley Recent Style Id 4_1">
    <vt:lpwstr>http://www.zotero.org/styles/journal-of-neurology-neurosurgery-and-psychiatry</vt:lpwstr>
  </property>
  <property fmtid="{D5CDD505-2E9C-101B-9397-08002B2CF9AE}" pid="11" name="Mendeley Recent Style Name 4_1">
    <vt:lpwstr>Journal of Neurology, Neurosurgery, and Psychiatry</vt:lpwstr>
  </property>
  <property fmtid="{D5CDD505-2E9C-101B-9397-08002B2CF9AE}" pid="12" name="Mendeley Recent Style Id 5_1">
    <vt:lpwstr>http://www.zotero.org/styles/neurology</vt:lpwstr>
  </property>
  <property fmtid="{D5CDD505-2E9C-101B-9397-08002B2CF9AE}" pid="13" name="Mendeley Recent Style Name 5_1">
    <vt:lpwstr>Neurology</vt:lpwstr>
  </property>
  <property fmtid="{D5CDD505-2E9C-101B-9397-08002B2CF9AE}" pid="14" name="Mendeley Recent Style Id 6_1">
    <vt:lpwstr>http://www.zotero.org/styles/neurologia</vt:lpwstr>
  </property>
  <property fmtid="{D5CDD505-2E9C-101B-9397-08002B2CF9AE}" pid="15" name="Mendeley Recent Style Name 6_1">
    <vt:lpwstr>Neurología (Spanish)</vt:lpwstr>
  </property>
  <property fmtid="{D5CDD505-2E9C-101B-9397-08002B2CF9AE}" pid="16" name="Mendeley Recent Style Id 7_1">
    <vt:lpwstr>http://www.zotero.org/styles/neurourology-and-urodynamics</vt:lpwstr>
  </property>
  <property fmtid="{D5CDD505-2E9C-101B-9397-08002B2CF9AE}" pid="17" name="Mendeley Recent Style Name 7_1">
    <vt:lpwstr>Neurourology and Urodynamics</vt:lpwstr>
  </property>
  <property fmtid="{D5CDD505-2E9C-101B-9397-08002B2CF9AE}" pid="18" name="Mendeley Recent Style Id 8_1">
    <vt:lpwstr>http://www.zotero.org/styles/the-lancet-neurology</vt:lpwstr>
  </property>
  <property fmtid="{D5CDD505-2E9C-101B-9397-08002B2CF9AE}" pid="19" name="Mendeley Recent Style Name 8_1">
    <vt:lpwstr>The Lancet Neurology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21141e33-408e-3697-9393-2998db99da92</vt:lpwstr>
  </property>
  <property fmtid="{D5CDD505-2E9C-101B-9397-08002B2CF9AE}" pid="24" name="Mendeley Citation Style_1">
    <vt:lpwstr>http://www.zotero.org/styles/neurologia</vt:lpwstr>
  </property>
  <property fmtid="{D5CDD505-2E9C-101B-9397-08002B2CF9AE}" pid="25" name="ContentTypeId">
    <vt:lpwstr>0x010100F26BBE844B37624CA839420A95463F32</vt:lpwstr>
  </property>
</Properties>
</file>