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92" w:rsidRPr="00552292" w:rsidRDefault="00552292" w:rsidP="00FA6642">
      <w:pPr>
        <w:rPr>
          <w:b/>
          <w:sz w:val="28"/>
          <w:szCs w:val="28"/>
        </w:rPr>
      </w:pPr>
      <w:r w:rsidRPr="00552292">
        <w:rPr>
          <w:b/>
          <w:sz w:val="28"/>
          <w:szCs w:val="28"/>
        </w:rPr>
        <w:t xml:space="preserve">Anexo. Material </w:t>
      </w:r>
      <w:r w:rsidRPr="00552292">
        <w:rPr>
          <w:b/>
          <w:i/>
          <w:sz w:val="28"/>
          <w:szCs w:val="28"/>
        </w:rPr>
        <w:t>online</w:t>
      </w:r>
    </w:p>
    <w:p w:rsidR="00552292" w:rsidRDefault="00552292" w:rsidP="00FA6642"/>
    <w:p w:rsidR="00FA6642" w:rsidRDefault="006067C6" w:rsidP="00FA6642">
      <w:r w:rsidRPr="00552292">
        <w:rPr>
          <w:b/>
        </w:rPr>
        <w:t xml:space="preserve">Figura </w:t>
      </w:r>
      <w:r w:rsidR="008F45B6" w:rsidRPr="00552292">
        <w:rPr>
          <w:b/>
        </w:rPr>
        <w:t>I</w:t>
      </w:r>
      <w:r w:rsidRPr="00552292">
        <w:rPr>
          <w:b/>
        </w:rPr>
        <w:t>.</w:t>
      </w:r>
      <w:r w:rsidR="00552292">
        <w:t xml:space="preserve"> </w:t>
      </w:r>
      <w:r>
        <w:t>Tendencia en la frecuencia de consumo semanal o diario de cerveza</w:t>
      </w:r>
      <w:r w:rsidR="00FA6642">
        <w:t xml:space="preserve"> </w:t>
      </w:r>
      <w:r w:rsidR="00FA6642" w:rsidRPr="00552292">
        <w:t>en la población adolescente escolarizada española en 2002, 2006 y 2010, diferenciando</w:t>
      </w:r>
      <w:r w:rsidR="008C0FA3" w:rsidRPr="00552292">
        <w:t xml:space="preserve"> por</w:t>
      </w:r>
      <w:r w:rsidR="00FA6642" w:rsidRPr="00552292">
        <w:t xml:space="preserve"> sexo y edad.</w:t>
      </w:r>
    </w:p>
    <w:p w:rsidR="006067C6" w:rsidRDefault="006067C6" w:rsidP="006067C6"/>
    <w:p w:rsidR="006067C6" w:rsidRDefault="00A157DA" w:rsidP="006067C6">
      <w:r>
        <w:rPr>
          <w:noProof/>
        </w:rPr>
        <w:drawing>
          <wp:inline distT="0" distB="0" distL="0" distR="0">
            <wp:extent cx="4953663" cy="2989691"/>
            <wp:effectExtent l="0" t="0" r="18415" b="203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067C6" w:rsidRDefault="006067C6" w:rsidP="006067C6"/>
    <w:p w:rsidR="006067C6" w:rsidRDefault="006067C6">
      <w:r>
        <w:br w:type="page"/>
      </w:r>
    </w:p>
    <w:p w:rsidR="00FA6642" w:rsidRDefault="00305583" w:rsidP="00FA6642">
      <w:r w:rsidRPr="00552292">
        <w:rPr>
          <w:b/>
        </w:rPr>
        <w:lastRenderedPageBreak/>
        <w:t>Figura II</w:t>
      </w:r>
      <w:r w:rsidR="00552292" w:rsidRPr="00552292">
        <w:rPr>
          <w:b/>
        </w:rPr>
        <w:t>.</w:t>
      </w:r>
      <w:r w:rsidR="00552292">
        <w:t xml:space="preserve"> </w:t>
      </w:r>
      <w:r w:rsidR="006067C6">
        <w:t>Tendencia en la frecuencia de consumo semanal o diario de vino</w:t>
      </w:r>
      <w:r w:rsidR="00FA6642">
        <w:t xml:space="preserve"> </w:t>
      </w:r>
      <w:r w:rsidR="00FA6642" w:rsidRPr="00552292">
        <w:t>en la población adolescente escolarizada española en 2002, 2006 y 2010, diferenciando</w:t>
      </w:r>
      <w:r w:rsidR="008C0FA3" w:rsidRPr="00552292">
        <w:t xml:space="preserve"> por</w:t>
      </w:r>
      <w:r w:rsidR="00FA6642" w:rsidRPr="00552292">
        <w:t xml:space="preserve"> sexo y edad.</w:t>
      </w:r>
    </w:p>
    <w:p w:rsidR="006067C6" w:rsidRDefault="006067C6" w:rsidP="006067C6"/>
    <w:p w:rsidR="006067C6" w:rsidRDefault="00A157DA" w:rsidP="006067C6">
      <w:r>
        <w:rPr>
          <w:noProof/>
        </w:rPr>
        <w:drawing>
          <wp:inline distT="0" distB="0" distL="0" distR="0">
            <wp:extent cx="5343277" cy="3737113"/>
            <wp:effectExtent l="0" t="0" r="10160" b="158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067C6" w:rsidRDefault="006067C6" w:rsidP="006067C6"/>
    <w:p w:rsidR="00EC152D" w:rsidRDefault="00EC152D">
      <w:r>
        <w:br w:type="page"/>
      </w:r>
    </w:p>
    <w:p w:rsidR="00FA6642" w:rsidRPr="00552292" w:rsidRDefault="00305583" w:rsidP="00FA6642">
      <w:r w:rsidRPr="00552292">
        <w:rPr>
          <w:b/>
        </w:rPr>
        <w:lastRenderedPageBreak/>
        <w:t>Figura III</w:t>
      </w:r>
      <w:r w:rsidR="00552292" w:rsidRPr="00552292">
        <w:rPr>
          <w:b/>
        </w:rPr>
        <w:t>.</w:t>
      </w:r>
      <w:r w:rsidR="00552292">
        <w:t xml:space="preserve"> </w:t>
      </w:r>
      <w:r w:rsidR="006067C6">
        <w:t xml:space="preserve">Tendencia en </w:t>
      </w:r>
      <w:r w:rsidR="00FA6642">
        <w:t>el consumo semanal o diario de l</w:t>
      </w:r>
      <w:r w:rsidR="006067C6">
        <w:t>icores</w:t>
      </w:r>
      <w:r w:rsidR="00FA6642">
        <w:t xml:space="preserve"> </w:t>
      </w:r>
      <w:r w:rsidR="00FA6642" w:rsidRPr="00552292">
        <w:t>en la población adolescente escolarizada española en 2002, 2006 y 2010, diferenciando</w:t>
      </w:r>
      <w:r w:rsidR="008C0FA3" w:rsidRPr="00552292">
        <w:t xml:space="preserve"> por</w:t>
      </w:r>
      <w:bookmarkStart w:id="0" w:name="_GoBack"/>
      <w:bookmarkEnd w:id="0"/>
      <w:r w:rsidR="00FA6642" w:rsidRPr="00552292">
        <w:t xml:space="preserve"> sexo y edad.</w:t>
      </w:r>
    </w:p>
    <w:p w:rsidR="006067C6" w:rsidRDefault="006067C6" w:rsidP="006067C6"/>
    <w:p w:rsidR="006067C6" w:rsidRDefault="00A157DA" w:rsidP="006067C6">
      <w:r>
        <w:rPr>
          <w:noProof/>
        </w:rPr>
        <w:drawing>
          <wp:inline distT="0" distB="0" distL="0" distR="0">
            <wp:extent cx="5327374" cy="3204376"/>
            <wp:effectExtent l="0" t="0" r="26035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067C6" w:rsidSect="009C7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6067C6"/>
    <w:rsid w:val="00305583"/>
    <w:rsid w:val="00552292"/>
    <w:rsid w:val="006067C6"/>
    <w:rsid w:val="008C0FA3"/>
    <w:rsid w:val="008F45B6"/>
    <w:rsid w:val="009C7C70"/>
    <w:rsid w:val="00A157DA"/>
    <w:rsid w:val="00EA17E7"/>
    <w:rsid w:val="00EC152D"/>
    <w:rsid w:val="00FA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ar%20Ramos\Dropbox\00%20Piwi\ARTICULOS\Otras%20personas%20escriben\con%20Inma%20-%20tendencias%20alcohol\con%20Inma%20-%20tendencias%20alcohol\Envio%204\Gr&#225;fic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ar%20Ramos\Dropbox\00%20Piwi\ARTICULOS\Otras%20personas%20escriben\con%20Inma%20-%20tendencias%20alcohol\con%20Inma%20-%20tendencias%20alcohol\Envio%204\Gr&#225;fic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ar%20Ramos\Dropbox\00%20Piwi\ARTICULOS\Otras%20personas%20escriben\con%20Inma%20-%20tendencias%20alcohol\con%20Inma%20-%20tendencias%20alcohol\Envio%204\Gr&#225;f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lineChart>
        <c:grouping val="standard"/>
        <c:ser>
          <c:idx val="0"/>
          <c:order val="0"/>
          <c:tx>
            <c:strRef>
              <c:f>Consumo!$A$3:$B$3</c:f>
              <c:strCache>
                <c:ptCount val="1"/>
                <c:pt idx="0">
                  <c:v>Chico 15-16</c:v>
                </c:pt>
              </c:strCache>
            </c:strRef>
          </c:tx>
          <c:spPr>
            <a:ln>
              <a:solidFill>
                <a:schemeClr val="tx1"/>
              </a:solidFill>
              <a:prstDash val="lgDashDot"/>
            </a:ln>
          </c:spPr>
          <c:marker>
            <c:symbol val="none"/>
          </c:marker>
          <c:cat>
            <c:numRef>
              <c:f>Consumo!$C$2:$E$2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Consumo!$C$3:$E$3</c:f>
              <c:numCache>
                <c:formatCode>0%</c:formatCode>
                <c:ptCount val="3"/>
                <c:pt idx="0">
                  <c:v>0.14300000000000004</c:v>
                </c:pt>
                <c:pt idx="1">
                  <c:v>0.15800000000000006</c:v>
                </c:pt>
                <c:pt idx="2">
                  <c:v>0.13400000000000001</c:v>
                </c:pt>
              </c:numCache>
            </c:numRef>
          </c:val>
        </c:ser>
        <c:ser>
          <c:idx val="1"/>
          <c:order val="1"/>
          <c:tx>
            <c:strRef>
              <c:f>Consumo!$A$4:$B$4</c:f>
              <c:strCache>
                <c:ptCount val="1"/>
                <c:pt idx="0">
                  <c:v>Chico 17-18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ymbol val="none"/>
          </c:marker>
          <c:cat>
            <c:numRef>
              <c:f>Consumo!$C$2:$E$2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Consumo!$C$4:$E$4</c:f>
              <c:numCache>
                <c:formatCode>0%</c:formatCode>
                <c:ptCount val="3"/>
                <c:pt idx="0">
                  <c:v>0.25900000000000001</c:v>
                </c:pt>
                <c:pt idx="1">
                  <c:v>0.30300000000000016</c:v>
                </c:pt>
                <c:pt idx="2">
                  <c:v>0.28200000000000008</c:v>
                </c:pt>
              </c:numCache>
            </c:numRef>
          </c:val>
        </c:ser>
        <c:ser>
          <c:idx val="2"/>
          <c:order val="2"/>
          <c:tx>
            <c:strRef>
              <c:f>Consumo!$A$5:$B$5</c:f>
              <c:strCache>
                <c:ptCount val="1"/>
                <c:pt idx="0">
                  <c:v>Chica 15-16</c:v>
                </c:pt>
              </c:strCache>
            </c:strRef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numRef>
              <c:f>Consumo!$C$2:$E$2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Consumo!$C$5:$E$5</c:f>
              <c:numCache>
                <c:formatCode>0%</c:formatCode>
                <c:ptCount val="3"/>
                <c:pt idx="0">
                  <c:v>3.500000000000001E-2</c:v>
                </c:pt>
                <c:pt idx="1">
                  <c:v>5.6000000000000001E-2</c:v>
                </c:pt>
                <c:pt idx="2">
                  <c:v>7.4000000000000024E-2</c:v>
                </c:pt>
              </c:numCache>
            </c:numRef>
          </c:val>
        </c:ser>
        <c:ser>
          <c:idx val="3"/>
          <c:order val="3"/>
          <c:tx>
            <c:strRef>
              <c:f>Consumo!$A$6:$B$6</c:f>
              <c:strCache>
                <c:ptCount val="1"/>
                <c:pt idx="0">
                  <c:v>Chica 17-18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Consumo!$C$2:$E$2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Consumo!$C$6:$E$6</c:f>
              <c:numCache>
                <c:formatCode>0%</c:formatCode>
                <c:ptCount val="3"/>
                <c:pt idx="0">
                  <c:v>0.10500000000000002</c:v>
                </c:pt>
                <c:pt idx="1">
                  <c:v>0.129</c:v>
                </c:pt>
                <c:pt idx="2">
                  <c:v>0.11699999999999998</c:v>
                </c:pt>
              </c:numCache>
            </c:numRef>
          </c:val>
        </c:ser>
        <c:marker val="1"/>
        <c:axId val="93382912"/>
        <c:axId val="97059584"/>
      </c:lineChart>
      <c:catAx>
        <c:axId val="93382912"/>
        <c:scaling>
          <c:orientation val="minMax"/>
        </c:scaling>
        <c:axPos val="b"/>
        <c:numFmt formatCode="General" sourceLinked="1"/>
        <c:tickLblPos val="nextTo"/>
        <c:crossAx val="97059584"/>
        <c:crosses val="autoZero"/>
        <c:auto val="1"/>
        <c:lblAlgn val="ctr"/>
        <c:lblOffset val="100"/>
      </c:catAx>
      <c:valAx>
        <c:axId val="97059584"/>
        <c:scaling>
          <c:orientation val="minMax"/>
        </c:scaling>
        <c:axPos val="l"/>
        <c:majorGridlines>
          <c:spPr>
            <a:ln>
              <a:prstDash val="sysDot"/>
            </a:ln>
          </c:spPr>
        </c:majorGridlines>
        <c:numFmt formatCode="0%" sourceLinked="1"/>
        <c:tickLblPos val="nextTo"/>
        <c:crossAx val="933829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/>
      <c:lineChart>
        <c:grouping val="standard"/>
        <c:ser>
          <c:idx val="0"/>
          <c:order val="0"/>
          <c:tx>
            <c:strRef>
              <c:f>Consumo!$A$9:$B$9</c:f>
              <c:strCache>
                <c:ptCount val="1"/>
                <c:pt idx="0">
                  <c:v>Chico 15-16</c:v>
                </c:pt>
              </c:strCache>
            </c:strRef>
          </c:tx>
          <c:spPr>
            <a:ln>
              <a:solidFill>
                <a:schemeClr val="tx1"/>
              </a:solidFill>
              <a:prstDash val="lgDashDot"/>
            </a:ln>
          </c:spPr>
          <c:marker>
            <c:symbol val="none"/>
          </c:marker>
          <c:cat>
            <c:numRef>
              <c:f>Consumo!$C$8:$E$8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Consumo!$C$9:$E$9</c:f>
              <c:numCache>
                <c:formatCode>0%</c:formatCode>
                <c:ptCount val="3"/>
                <c:pt idx="0">
                  <c:v>8.6000000000000021E-2</c:v>
                </c:pt>
                <c:pt idx="1">
                  <c:v>6.200000000000002E-2</c:v>
                </c:pt>
                <c:pt idx="2">
                  <c:v>4.8000000000000001E-2</c:v>
                </c:pt>
              </c:numCache>
            </c:numRef>
          </c:val>
        </c:ser>
        <c:ser>
          <c:idx val="1"/>
          <c:order val="1"/>
          <c:tx>
            <c:strRef>
              <c:f>Consumo!$A$10:$B$10</c:f>
              <c:strCache>
                <c:ptCount val="1"/>
                <c:pt idx="0">
                  <c:v>Chico 17-18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ymbol val="none"/>
          </c:marker>
          <c:cat>
            <c:numRef>
              <c:f>Consumo!$C$8:$E$8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Consumo!$C$10:$E$10</c:f>
              <c:numCache>
                <c:formatCode>0%</c:formatCode>
                <c:ptCount val="3"/>
                <c:pt idx="0">
                  <c:v>0.13200000000000001</c:v>
                </c:pt>
                <c:pt idx="1">
                  <c:v>0.125</c:v>
                </c:pt>
                <c:pt idx="2">
                  <c:v>6.200000000000002E-2</c:v>
                </c:pt>
              </c:numCache>
            </c:numRef>
          </c:val>
        </c:ser>
        <c:ser>
          <c:idx val="2"/>
          <c:order val="2"/>
          <c:tx>
            <c:strRef>
              <c:f>Consumo!$A$11:$B$11</c:f>
              <c:strCache>
                <c:ptCount val="1"/>
                <c:pt idx="0">
                  <c:v>Chica 15-16</c:v>
                </c:pt>
              </c:strCache>
            </c:strRef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numRef>
              <c:f>Consumo!$C$8:$E$8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Consumo!$C$11:$E$11</c:f>
              <c:numCache>
                <c:formatCode>0%</c:formatCode>
                <c:ptCount val="3"/>
                <c:pt idx="0">
                  <c:v>3.9000000000000014E-2</c:v>
                </c:pt>
                <c:pt idx="1">
                  <c:v>4.1000000000000002E-2</c:v>
                </c:pt>
                <c:pt idx="2">
                  <c:v>3.100000000000001E-2</c:v>
                </c:pt>
              </c:numCache>
            </c:numRef>
          </c:val>
        </c:ser>
        <c:ser>
          <c:idx val="3"/>
          <c:order val="3"/>
          <c:tx>
            <c:strRef>
              <c:f>Consumo!$A$12:$B$12</c:f>
              <c:strCache>
                <c:ptCount val="1"/>
                <c:pt idx="0">
                  <c:v>Chica 17-18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Consumo!$C$8:$E$8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Consumo!$C$12:$E$12</c:f>
              <c:numCache>
                <c:formatCode>0%</c:formatCode>
                <c:ptCount val="3"/>
                <c:pt idx="0">
                  <c:v>0.10199999999999998</c:v>
                </c:pt>
                <c:pt idx="1">
                  <c:v>0.11199999999999996</c:v>
                </c:pt>
                <c:pt idx="2">
                  <c:v>4.2000000000000016E-2</c:v>
                </c:pt>
              </c:numCache>
            </c:numRef>
          </c:val>
        </c:ser>
        <c:marker val="1"/>
        <c:axId val="96830976"/>
        <c:axId val="96832512"/>
      </c:lineChart>
      <c:catAx>
        <c:axId val="96830976"/>
        <c:scaling>
          <c:orientation val="minMax"/>
        </c:scaling>
        <c:axPos val="b"/>
        <c:numFmt formatCode="General" sourceLinked="1"/>
        <c:tickLblPos val="nextTo"/>
        <c:crossAx val="96832512"/>
        <c:crosses val="autoZero"/>
        <c:auto val="1"/>
        <c:lblAlgn val="ctr"/>
        <c:lblOffset val="100"/>
      </c:catAx>
      <c:valAx>
        <c:axId val="96832512"/>
        <c:scaling>
          <c:orientation val="minMax"/>
        </c:scaling>
        <c:axPos val="l"/>
        <c:majorGridlines>
          <c:spPr>
            <a:ln>
              <a:prstDash val="sysDot"/>
            </a:ln>
          </c:spPr>
        </c:majorGridlines>
        <c:numFmt formatCode="0%" sourceLinked="1"/>
        <c:tickLblPos val="nextTo"/>
        <c:crossAx val="968309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style val="4"/>
  <c:chart>
    <c:plotArea>
      <c:layout/>
      <c:lineChart>
        <c:grouping val="standard"/>
        <c:ser>
          <c:idx val="0"/>
          <c:order val="0"/>
          <c:tx>
            <c:strRef>
              <c:f>Consumo!$A$15:$B$15</c:f>
              <c:strCache>
                <c:ptCount val="1"/>
                <c:pt idx="0">
                  <c:v>Chico 15-16</c:v>
                </c:pt>
              </c:strCache>
            </c:strRef>
          </c:tx>
          <c:spPr>
            <a:ln>
              <a:solidFill>
                <a:schemeClr val="tx1"/>
              </a:solidFill>
              <a:prstDash val="lgDashDot"/>
            </a:ln>
          </c:spPr>
          <c:marker>
            <c:symbol val="none"/>
          </c:marker>
          <c:cat>
            <c:numRef>
              <c:f>Consumo!$C$14:$E$14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Consumo!$C$15:$E$15</c:f>
              <c:numCache>
                <c:formatCode>0%</c:formatCode>
                <c:ptCount val="3"/>
                <c:pt idx="0">
                  <c:v>0.18200000000000005</c:v>
                </c:pt>
                <c:pt idx="1">
                  <c:v>0.17300000000000001</c:v>
                </c:pt>
                <c:pt idx="2">
                  <c:v>0.14200000000000004</c:v>
                </c:pt>
              </c:numCache>
            </c:numRef>
          </c:val>
        </c:ser>
        <c:ser>
          <c:idx val="1"/>
          <c:order val="1"/>
          <c:tx>
            <c:strRef>
              <c:f>Consumo!$A$16:$B$16</c:f>
              <c:strCache>
                <c:ptCount val="1"/>
                <c:pt idx="0">
                  <c:v>Chico 17-18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ymbol val="none"/>
          </c:marker>
          <c:cat>
            <c:numRef>
              <c:f>Consumo!$C$14:$E$14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Consumo!$C$16:$E$16</c:f>
              <c:numCache>
                <c:formatCode>0%</c:formatCode>
                <c:ptCount val="3"/>
                <c:pt idx="0">
                  <c:v>0.37400000000000011</c:v>
                </c:pt>
                <c:pt idx="1">
                  <c:v>0.33300000000000013</c:v>
                </c:pt>
                <c:pt idx="2">
                  <c:v>0.26500000000000001</c:v>
                </c:pt>
              </c:numCache>
            </c:numRef>
          </c:val>
        </c:ser>
        <c:ser>
          <c:idx val="2"/>
          <c:order val="2"/>
          <c:tx>
            <c:strRef>
              <c:f>Consumo!$A$17:$B$17</c:f>
              <c:strCache>
                <c:ptCount val="1"/>
                <c:pt idx="0">
                  <c:v>Chica 15-16</c:v>
                </c:pt>
              </c:strCache>
            </c:strRef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numRef>
              <c:f>Consumo!$C$14:$E$14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Consumo!$C$17:$E$17</c:f>
              <c:numCache>
                <c:formatCode>0%</c:formatCode>
                <c:ptCount val="3"/>
                <c:pt idx="0">
                  <c:v>0.16400000000000001</c:v>
                </c:pt>
                <c:pt idx="1">
                  <c:v>0.16200000000000001</c:v>
                </c:pt>
                <c:pt idx="2">
                  <c:v>0.15400000000000005</c:v>
                </c:pt>
              </c:numCache>
            </c:numRef>
          </c:val>
        </c:ser>
        <c:ser>
          <c:idx val="3"/>
          <c:order val="3"/>
          <c:tx>
            <c:strRef>
              <c:f>Consumo!$A$18:$B$18</c:f>
              <c:strCache>
                <c:ptCount val="1"/>
                <c:pt idx="0">
                  <c:v>Chica 17-18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Consumo!$C$14:$E$14</c:f>
              <c:numCache>
                <c:formatCode>General</c:formatCode>
                <c:ptCount val="3"/>
                <c:pt idx="0">
                  <c:v>2002</c:v>
                </c:pt>
                <c:pt idx="1">
                  <c:v>2006</c:v>
                </c:pt>
                <c:pt idx="2">
                  <c:v>2010</c:v>
                </c:pt>
              </c:numCache>
            </c:numRef>
          </c:cat>
          <c:val>
            <c:numRef>
              <c:f>Consumo!$C$18:$E$18</c:f>
              <c:numCache>
                <c:formatCode>0%</c:formatCode>
                <c:ptCount val="3"/>
                <c:pt idx="0">
                  <c:v>0.26200000000000001</c:v>
                </c:pt>
                <c:pt idx="1">
                  <c:v>0.27700000000000002</c:v>
                </c:pt>
                <c:pt idx="2">
                  <c:v>0.18900000000000006</c:v>
                </c:pt>
              </c:numCache>
            </c:numRef>
          </c:val>
        </c:ser>
        <c:marker val="1"/>
        <c:axId val="66615552"/>
        <c:axId val="66637824"/>
      </c:lineChart>
      <c:catAx>
        <c:axId val="66615552"/>
        <c:scaling>
          <c:orientation val="minMax"/>
        </c:scaling>
        <c:axPos val="b"/>
        <c:numFmt formatCode="General" sourceLinked="1"/>
        <c:tickLblPos val="nextTo"/>
        <c:crossAx val="66637824"/>
        <c:crosses val="autoZero"/>
        <c:auto val="1"/>
        <c:lblAlgn val="ctr"/>
        <c:lblOffset val="100"/>
      </c:catAx>
      <c:valAx>
        <c:axId val="66637824"/>
        <c:scaling>
          <c:orientation val="minMax"/>
        </c:scaling>
        <c:axPos val="l"/>
        <c:maj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  <a:prstDash val="sysDot"/>
            </a:ln>
          </c:spPr>
        </c:majorGridlines>
        <c:numFmt formatCode="0%" sourceLinked="1"/>
        <c:tickLblPos val="nextTo"/>
        <c:crossAx val="666155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Inmaculada US</dc:creator>
  <cp:lastModifiedBy>carmen</cp:lastModifiedBy>
  <cp:revision>7</cp:revision>
  <dcterms:created xsi:type="dcterms:W3CDTF">2015-01-16T11:51:00Z</dcterms:created>
  <dcterms:modified xsi:type="dcterms:W3CDTF">2015-01-23T10:58:00Z</dcterms:modified>
</cp:coreProperties>
</file>