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45" w:rsidRDefault="00236945" w:rsidP="00072A20">
      <w:pPr>
        <w:rPr>
          <w:b/>
        </w:rPr>
      </w:pPr>
      <w:r w:rsidRPr="009D1BF8">
        <w:rPr>
          <w:rFonts w:ascii="Arial" w:hAnsi="Arial" w:cs="Arial"/>
        </w:rPr>
        <w:t>Tabla</w:t>
      </w:r>
      <w:r>
        <w:rPr>
          <w:rFonts w:ascii="Arial" w:hAnsi="Arial" w:cs="Arial"/>
        </w:rPr>
        <w:t xml:space="preserve"> Suplementaria 1</w:t>
      </w:r>
      <w:r w:rsidRPr="009D1BF8">
        <w:rPr>
          <w:rFonts w:ascii="Arial" w:hAnsi="Arial" w:cs="Arial"/>
        </w:rPr>
        <w:t>. Resultados de la valoración de los tres investigadores que llevaron a cabo el estudio de las páginas web. Se destaca en color rojo las discrepancias encontradas.</w:t>
      </w:r>
    </w:p>
    <w:tbl>
      <w:tblPr>
        <w:tblW w:w="1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498"/>
        <w:gridCol w:w="551"/>
        <w:gridCol w:w="551"/>
        <w:gridCol w:w="594"/>
        <w:gridCol w:w="550"/>
        <w:gridCol w:w="550"/>
        <w:gridCol w:w="550"/>
        <w:gridCol w:w="574"/>
        <w:gridCol w:w="549"/>
        <w:gridCol w:w="549"/>
        <w:gridCol w:w="549"/>
        <w:gridCol w:w="654"/>
        <w:gridCol w:w="550"/>
        <w:gridCol w:w="549"/>
        <w:gridCol w:w="549"/>
        <w:gridCol w:w="592"/>
        <w:gridCol w:w="550"/>
        <w:gridCol w:w="549"/>
        <w:gridCol w:w="549"/>
        <w:gridCol w:w="592"/>
        <w:gridCol w:w="581"/>
        <w:gridCol w:w="581"/>
        <w:gridCol w:w="519"/>
        <w:gridCol w:w="574"/>
      </w:tblGrid>
      <w:tr w:rsidR="00236945" w:rsidRPr="00072A20" w:rsidTr="00623C9B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72A2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Indicaciones occidentales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Indicaciones MTC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Usados tradicionalmente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Aviso legal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Precauciones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Alegación de Producto Seguro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lang w:eastAsia="es-ES"/>
              </w:rPr>
              <w:t>Página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Inv. 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Inv. 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Inv. 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Inv. 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Inv. 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Inv. 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</w:t>
            </w:r>
            <w:proofErr w:type="spellEnd"/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Final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5712FC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5712FC" w:rsidRDefault="005712FC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="005712FC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</w:t>
            </w:r>
            <w:bookmarkStart w:id="0" w:name="_GoBack"/>
            <w:bookmarkEnd w:id="0"/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="005712FC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AF39FA" w:rsidRDefault="00AF39FA" w:rsidP="00AF39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AF39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Pr="00AF39FA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SI</w:t>
            </w:r>
            <w:r w:rsidR="00AF39FA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</w:t>
            </w:r>
            <w:r w:rsidRPr="00072A2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7278FA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36945" w:rsidRPr="00072A20" w:rsidTr="00623C9B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45" w:rsidRPr="00072A20" w:rsidRDefault="00236945" w:rsidP="00623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72A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</w:tbl>
    <w:p w:rsidR="00236945" w:rsidRDefault="00236945" w:rsidP="00072A20">
      <w:pPr>
        <w:rPr>
          <w:b/>
        </w:rPr>
      </w:pPr>
    </w:p>
    <w:p w:rsidR="00072A20" w:rsidRPr="007278FA" w:rsidRDefault="005712FC" w:rsidP="00072A20">
      <w:pPr>
        <w:pStyle w:val="Prrafodelista"/>
        <w:numPr>
          <w:ilvl w:val="0"/>
          <w:numId w:val="1"/>
        </w:numPr>
      </w:pPr>
      <w:r>
        <w:t>Discrepancia al considerar que el producto no se ofertaba para tratar un síndrome chino, sino para paliar uno de sus signos. Se discutió y tras revisar la definición operativa, si se consideró como una indicación de MTC</w:t>
      </w:r>
    </w:p>
    <w:p w:rsidR="00072A20" w:rsidRPr="007278FA" w:rsidRDefault="00072A20" w:rsidP="00072A20">
      <w:pPr>
        <w:pStyle w:val="Prrafodelista"/>
        <w:numPr>
          <w:ilvl w:val="0"/>
          <w:numId w:val="1"/>
        </w:numPr>
      </w:pPr>
      <w:r w:rsidRPr="007278FA">
        <w:t>Problema relacionado con la o</w:t>
      </w:r>
      <w:r w:rsidR="007278FA" w:rsidRPr="007278FA">
        <w:t xml:space="preserve">misión de lectura. </w:t>
      </w:r>
    </w:p>
    <w:p w:rsidR="009954FD" w:rsidRPr="009954FD" w:rsidRDefault="009954FD" w:rsidP="00072A20">
      <w:pPr>
        <w:pStyle w:val="Prrafodelista"/>
        <w:numPr>
          <w:ilvl w:val="0"/>
          <w:numId w:val="1"/>
        </w:numPr>
      </w:pPr>
      <w:r w:rsidRPr="009954FD">
        <w:rPr>
          <w:rFonts w:ascii="Calibri" w:hAnsi="Calibri"/>
          <w:shd w:val="clear" w:color="auto" w:fill="FFFFFF"/>
        </w:rPr>
        <w:t>Discrepancia referente a si se considera o no precauciones aquéllas descritas en términos de MTC. Finalmente, se decidió </w:t>
      </w:r>
      <w:r w:rsidRPr="009954FD">
        <w:rPr>
          <w:rStyle w:val="apple-converted-space"/>
          <w:rFonts w:ascii="Calibri" w:hAnsi="Calibri"/>
          <w:shd w:val="clear" w:color="auto" w:fill="FFFFFF"/>
        </w:rPr>
        <w:t> </w:t>
      </w:r>
      <w:r w:rsidRPr="009954FD">
        <w:rPr>
          <w:rFonts w:ascii="Calibri" w:hAnsi="Calibri"/>
          <w:shd w:val="clear" w:color="auto" w:fill="FFFFFF"/>
        </w:rPr>
        <w:t>que las únicas precauciones a considerar son las descritas en términos de medicina alopática.</w:t>
      </w:r>
      <w:r w:rsidRPr="009954FD">
        <w:t xml:space="preserve"> </w:t>
      </w:r>
    </w:p>
    <w:p w:rsidR="009954FD" w:rsidRDefault="00AF39FA" w:rsidP="009954FD">
      <w:pPr>
        <w:pStyle w:val="Prrafodelista"/>
        <w:numPr>
          <w:ilvl w:val="0"/>
          <w:numId w:val="1"/>
        </w:numPr>
      </w:pPr>
      <w:r>
        <w:t xml:space="preserve">Discrepancia ya que el producto declaraba su utilidad ya que se empleaba en la población china de forma habitual. </w:t>
      </w:r>
      <w:r w:rsidR="009954FD">
        <w:t xml:space="preserve"> La discrepancia surgió porque no se  empleaba la frase “tradicional”. </w:t>
      </w:r>
      <w:r>
        <w:t>Tras consultar la definición operativa se decidió considerarlo como uso tradicional</w:t>
      </w:r>
    </w:p>
    <w:p w:rsidR="00EE1914" w:rsidRDefault="009954FD" w:rsidP="009954FD">
      <w:pPr>
        <w:pStyle w:val="Prrafodelista"/>
        <w:numPr>
          <w:ilvl w:val="0"/>
          <w:numId w:val="1"/>
        </w:numPr>
      </w:pPr>
      <w:r w:rsidRPr="009954FD">
        <w:t>En este caso, se planteó la discrepancia porque en la página nº 28 había un aviso legal, pero referido al contenido de la página web y no al producto  como en los anteriores casos.  Este hecho, unido a que el texto de este aviso legal no indicaba que los productos ofertados no son medicamentos, decidió a los revisores a no considerarlo como aviso legal.</w:t>
      </w:r>
    </w:p>
    <w:sectPr w:rsidR="00EE1914" w:rsidSect="00072A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DD0"/>
    <w:multiLevelType w:val="hybridMultilevel"/>
    <w:tmpl w:val="B49A0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0"/>
    <w:rsid w:val="00072A20"/>
    <w:rsid w:val="001C2BBE"/>
    <w:rsid w:val="00236945"/>
    <w:rsid w:val="005277CA"/>
    <w:rsid w:val="005645F3"/>
    <w:rsid w:val="005712FC"/>
    <w:rsid w:val="005C165F"/>
    <w:rsid w:val="007278FA"/>
    <w:rsid w:val="009954FD"/>
    <w:rsid w:val="00AF39FA"/>
    <w:rsid w:val="00E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A"/>
  </w:style>
  <w:style w:type="paragraph" w:styleId="Ttulo1">
    <w:name w:val="heading 1"/>
    <w:basedOn w:val="Normal"/>
    <w:next w:val="Normal"/>
    <w:link w:val="Ttulo1Car"/>
    <w:uiPriority w:val="9"/>
    <w:qFormat/>
    <w:rsid w:val="00527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7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7CA"/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27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5277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072A2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5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A"/>
  </w:style>
  <w:style w:type="paragraph" w:styleId="Ttulo1">
    <w:name w:val="heading 1"/>
    <w:basedOn w:val="Normal"/>
    <w:next w:val="Normal"/>
    <w:link w:val="Ttulo1Car"/>
    <w:uiPriority w:val="9"/>
    <w:qFormat/>
    <w:rsid w:val="00527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7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7CA"/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27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5277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072A2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E6B9-3E5C-4F0F-9818-BAEE803E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2</cp:revision>
  <dcterms:created xsi:type="dcterms:W3CDTF">2016-12-11T18:48:00Z</dcterms:created>
  <dcterms:modified xsi:type="dcterms:W3CDTF">2016-12-11T18:48:00Z</dcterms:modified>
</cp:coreProperties>
</file>