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 w:eastAsia="es-ES"/>
        </w:rPr>
        <w:t>Appendix</w:t>
      </w:r>
    </w:p>
    <w:p w:rsid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sz w:val="24"/>
          <w:szCs w:val="24"/>
          <w:lang w:val="en-US" w:eastAsia="es-ES"/>
        </w:rPr>
      </w:pPr>
      <w:r w:rsidRPr="000210C3">
        <w:rPr>
          <w:rFonts w:ascii="Arial" w:hAnsi="Arial" w:cs="Arial"/>
          <w:b/>
          <w:sz w:val="24"/>
          <w:szCs w:val="24"/>
          <w:lang w:val="en-US" w:eastAsia="es-ES"/>
        </w:rPr>
        <w:t xml:space="preserve">Figure I. </w:t>
      </w:r>
      <w:r w:rsidRPr="000210C3">
        <w:rPr>
          <w:rFonts w:ascii="Arial" w:hAnsi="Arial" w:cs="Arial"/>
          <w:sz w:val="24"/>
          <w:szCs w:val="24"/>
          <w:lang w:val="en-US" w:eastAsia="es-ES"/>
        </w:rPr>
        <w:t>Stages in the adaptation process of the Pregnancy Physical Activity Questionnaire to Spanish.</w:t>
      </w: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  <w:r>
        <w:rPr>
          <w:noProof/>
          <w:lang w:val="en-IN" w:eastAsia="en-IN"/>
        </w:rPr>
        <w:drawing>
          <wp:inline distT="0" distB="0" distL="0" distR="0">
            <wp:extent cx="2156778" cy="4398973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78" cy="439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tbl>
      <w:tblPr>
        <w:tblpPr w:leftFromText="141" w:rightFromText="141" w:vertAnchor="page" w:horzAnchor="margin" w:tblpY="2701"/>
        <w:tblW w:w="13750" w:type="dxa"/>
        <w:tblLook w:val="04A0" w:firstRow="1" w:lastRow="0" w:firstColumn="1" w:lastColumn="0" w:noHBand="0" w:noVBand="1"/>
      </w:tblPr>
      <w:tblGrid>
        <w:gridCol w:w="2127"/>
        <w:gridCol w:w="5528"/>
        <w:gridCol w:w="6095"/>
      </w:tblGrid>
      <w:tr w:rsidR="000210C3" w:rsidRPr="009555C6" w:rsidTr="009555C6">
        <w:tc>
          <w:tcPr>
            <w:tcW w:w="137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555C6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Table I</w:t>
            </w:r>
          </w:p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Questions </w:t>
            </w:r>
            <w:r w:rsidR="009555C6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arising in the process</w:t>
            </w:r>
            <w:r w:rsidR="006B18CD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9555C6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of direct and reverse translation and raised on the cognitive test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.</w:t>
            </w:r>
          </w:p>
        </w:tc>
      </w:tr>
      <w:tr w:rsidR="000210C3" w:rsidRPr="000210C3" w:rsidTr="009555C6">
        <w:tc>
          <w:tcPr>
            <w:tcW w:w="21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n-U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Items</w:t>
            </w:r>
            <w:proofErr w:type="spellEnd"/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n-U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Detected</w:t>
            </w:r>
            <w:proofErr w:type="spellEnd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9555C6"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p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roblem</w:t>
            </w:r>
            <w:proofErr w:type="spellEnd"/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n-U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Consensus</w:t>
            </w:r>
            <w:proofErr w:type="spellEnd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9555C6"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t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erm</w:t>
            </w:r>
            <w:proofErr w:type="spellEnd"/>
          </w:p>
        </w:tc>
      </w:tr>
      <w:tr w:rsidR="000210C3" w:rsidRPr="009555C6" w:rsidTr="009555C6">
        <w:tc>
          <w:tcPr>
            <w:tcW w:w="2127" w:type="dxa"/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Item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2 of PPAQ</w:t>
            </w:r>
          </w:p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n-U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Period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left="175" w:hanging="175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The conceptual equivalence between period and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periodo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or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menstruacion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was raised</w:t>
            </w:r>
          </w:p>
        </w:tc>
        <w:tc>
          <w:tcPr>
            <w:tcW w:w="6095" w:type="dxa"/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left="175" w:hanging="175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Periodo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, because of the women preference following the results of the cognitive test and its used among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gynaecologist</w:t>
            </w:r>
            <w:proofErr w:type="spellEnd"/>
          </w:p>
        </w:tc>
      </w:tr>
      <w:tr w:rsidR="000210C3" w:rsidRPr="009555C6" w:rsidTr="009555C6">
        <w:tc>
          <w:tcPr>
            <w:tcW w:w="2127" w:type="dxa"/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Item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26</w:t>
            </w:r>
            <w:r w:rsidR="006B18CD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of PPAQ</w:t>
            </w:r>
          </w:p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n-U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Jogging</w:t>
            </w:r>
          </w:p>
        </w:tc>
        <w:tc>
          <w:tcPr>
            <w:tcW w:w="5528" w:type="dxa"/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left="175" w:hanging="175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The conceptual equivalence between jogging and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trotar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suavemente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or</w:t>
            </w:r>
            <w:r w:rsidR="006B18CD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correr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suavemente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” was raised </w:t>
            </w:r>
          </w:p>
        </w:tc>
        <w:tc>
          <w:tcPr>
            <w:tcW w:w="6095" w:type="dxa"/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left="175" w:hanging="175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Correr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, because of its lower comprehension difficulty following the results of the cognitive test</w:t>
            </w:r>
          </w:p>
        </w:tc>
      </w:tr>
      <w:tr w:rsidR="000210C3" w:rsidRPr="009555C6" w:rsidTr="009555C6"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right="-155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Item 33 and 34 of PPAQ</w:t>
            </w:r>
          </w:p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Carrying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left="175" w:hanging="175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The conceptual equivalence and comprehension difficulty between carrying and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portar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or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sostener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was raised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10C3" w:rsidRPr="000210C3" w:rsidRDefault="000210C3" w:rsidP="000210C3">
            <w:pPr>
              <w:spacing w:after="0" w:line="360" w:lineRule="auto"/>
              <w:ind w:left="175" w:right="-108" w:hanging="175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Sostener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, because of the women preference following the results of the cognitive test</w:t>
            </w:r>
          </w:p>
        </w:tc>
      </w:tr>
    </w:tbl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Arial" w:hAnsi="Arial" w:cs="Arial"/>
          <w:b/>
          <w:sz w:val="24"/>
          <w:szCs w:val="24"/>
          <w:lang w:val="en-US" w:eastAsia="es-ES"/>
        </w:rPr>
      </w:pPr>
    </w:p>
    <w:tbl>
      <w:tblPr>
        <w:tblpPr w:leftFromText="141" w:rightFromText="141" w:vertAnchor="page" w:horzAnchor="margin" w:tblpXSpec="center" w:tblpY="1742"/>
        <w:tblW w:w="151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35"/>
        <w:gridCol w:w="4252"/>
        <w:gridCol w:w="3827"/>
        <w:gridCol w:w="4820"/>
      </w:tblGrid>
      <w:tr w:rsidR="000210C3" w:rsidRPr="009555C6" w:rsidTr="009555C6">
        <w:tc>
          <w:tcPr>
            <w:tcW w:w="1513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555C6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lastRenderedPageBreak/>
              <w:t>Table II</w:t>
            </w:r>
          </w:p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Examples of the </w:t>
            </w:r>
            <w:r w:rsidR="009555C6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complete process of transcultural adaptation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.</w:t>
            </w:r>
          </w:p>
        </w:tc>
      </w:tr>
      <w:tr w:rsidR="000210C3" w:rsidRPr="000210C3" w:rsidTr="009555C6">
        <w:tc>
          <w:tcPr>
            <w:tcW w:w="223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0C3" w:rsidRPr="00BE0BFF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Process</w:t>
            </w:r>
            <w:proofErr w:type="spellEnd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of </w:t>
            </w:r>
            <w:r w:rsidR="009555C6"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t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ranscultural </w:t>
            </w:r>
            <w:proofErr w:type="spellStart"/>
            <w:r w:rsidR="009555C6"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a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daptation</w:t>
            </w:r>
            <w:proofErr w:type="spellEnd"/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0C3" w:rsidRPr="00BE0BFF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Item</w:t>
            </w:r>
            <w:proofErr w:type="spellEnd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2 of PPAQ</w:t>
            </w: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0C3" w:rsidRPr="00BE0BFF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Item</w:t>
            </w:r>
            <w:proofErr w:type="spellEnd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26 of PPAQ</w:t>
            </w:r>
          </w:p>
        </w:tc>
        <w:tc>
          <w:tcPr>
            <w:tcW w:w="482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0C3" w:rsidRPr="00BE0BFF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Item</w:t>
            </w:r>
            <w:proofErr w:type="spellEnd"/>
            <w:r w:rsidRPr="00BE0BFF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33 of PPAQ</w:t>
            </w:r>
          </w:p>
        </w:tc>
      </w:tr>
      <w:tr w:rsidR="000210C3" w:rsidRPr="009555C6" w:rsidTr="009555C6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Original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version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What was the first day of your last period?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How much time do you usually spend: Jogging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How much time do you usually spend: Standing or slowly walking at work while carrying things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Direct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translation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¿Cuál fue el primer día de su última menstruación?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Durante este trimestre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, ¿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nto tiempo emplea habitualmente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t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rotando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¿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nto tiempo suele emplear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d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 pie o caminando lentamente en el trabajo mientras porta cosas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Equivalence</w:t>
            </w:r>
            <w:proofErr w:type="spellEnd"/>
            <w:r w:rsidR="006B18CD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8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Difficulty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Direct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translation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B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¿Cuál fue el primer día de su último periodo?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Durante este trimestre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, ¿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nto tiempo emplea habitualmente</w:t>
            </w:r>
          </w:p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c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orriendo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¿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nto tiempo suele emplear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d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 pie o caminando lentamente en el trabajo mientras sostiene cosas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Equivalence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8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Difficulty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lastRenderedPageBreak/>
              <w:t>First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consensus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version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¿Cuál fue el primer día de su último periodo?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Durante este trimestre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, ¿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nto tiempo emplea habitualmente </w:t>
            </w:r>
          </w:p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t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rotando</w:t>
            </w:r>
            <w:proofErr w:type="gramEnd"/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suavemente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¿</w:t>
            </w:r>
            <w:proofErr w:type="spellStart"/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a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nto</w:t>
            </w:r>
            <w:proofErr w:type="spellEnd"/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tiempo suele emplear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d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 pie o caminando lentamente en el trabajo mientras sostiene cosas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</w:tr>
      <w:tr w:rsidR="000210C3" w:rsidRPr="009555C6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Reverse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translation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When was the first day of your last period?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During this trimester how much time do you usually spend: Gentle Jogging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How much time do you usually spend: Standing or walking slowly at work while carrying things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Second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consensus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version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tabs>
                <w:tab w:val="left" w:pos="4144"/>
              </w:tabs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Two options suggested to pregnant women in the cognitive test:</w:t>
            </w:r>
          </w:p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¿Cuál fue el primer día de su último periodo?</w:t>
            </w:r>
          </w:p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¿Cuál fue el primer día de su última menstruación?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Two options suggested to pregnant women in the cognitive test:</w:t>
            </w:r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Durante este trimestre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, ¿</w:t>
            </w: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cu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á</w:t>
            </w: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 xml:space="preserve">nto tiempo emplea habitualmente 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c</w:t>
            </w: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orriendo suavemente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?</w:t>
            </w:r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Durante este trimestre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, ¿</w:t>
            </w: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cu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á</w:t>
            </w: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 xml:space="preserve">nto tiempo emplea habitualmente 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t</w:t>
            </w:r>
            <w:r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rotando suavemente</w:t>
            </w:r>
            <w:r w:rsidR="009555C6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Two options suggested to pregnant women in the cognitive test:</w:t>
            </w:r>
          </w:p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¿</w:t>
            </w:r>
            <w:r w:rsidR="000210C3"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Cu</w:t>
            </w: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á</w:t>
            </w:r>
            <w:r w:rsidR="000210C3"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nto tiempo suele emplear</w:t>
            </w: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 xml:space="preserve"> d</w:t>
            </w:r>
            <w:r w:rsidR="000210C3"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e pie o caminando lentamente en el trabajo mientras sostiene cosas</w:t>
            </w: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?</w:t>
            </w:r>
          </w:p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¿</w:t>
            </w:r>
            <w:r w:rsidR="000210C3"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Cu</w:t>
            </w: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á</w:t>
            </w:r>
            <w:r w:rsidR="000210C3"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nto tiempo suele emplear</w:t>
            </w: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 xml:space="preserve"> d</w:t>
            </w:r>
            <w:r w:rsidR="000210C3" w:rsidRPr="000210C3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e pie o caminando lentamente en el trabajo mientras porta cosas</w:t>
            </w:r>
            <w:r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?</w:t>
            </w:r>
          </w:p>
        </w:tc>
      </w:tr>
      <w:tr w:rsidR="000210C3" w:rsidRPr="009555C6" w:rsidTr="009555C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Cognitive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Test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Most of pregnant women (8/16) preferred the option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periodo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to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menstruación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”, Two pregnant women didn’t found differences between both terms. </w:t>
            </w:r>
          </w:p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lastRenderedPageBreak/>
              <w:t>Periodo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: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t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hey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recognised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the use of this term more usual in their daily life and in their conversation with the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gynaecologist</w:t>
            </w:r>
            <w:proofErr w:type="spellEnd"/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Menstruación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: 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t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hey attributed lower use of this term.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lastRenderedPageBreak/>
              <w:t>Most of pregnant women (14/16) preferred the option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corriendo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suavemente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to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trotando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suavemente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”. </w:t>
            </w:r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Correr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: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They attributed lower comprehension difficulty</w:t>
            </w:r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lastRenderedPageBreak/>
              <w:t>Trotar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: 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t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hey attributed higher comprehension difficulty and some of them did not understand its meaning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lastRenderedPageBreak/>
              <w:t>All of the pregnant women preferred the option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sostienes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to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portas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”. They believed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sostienes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 has a higher conceptual equivalence and lower comprehension difficulty than “</w:t>
            </w: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portas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”</w:t>
            </w:r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lastRenderedPageBreak/>
              <w:t>Sostener</w:t>
            </w:r>
            <w:proofErr w:type="spellEnd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: 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t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his term has a lower comprehension difficulty and its use is more common in Spanish.</w:t>
            </w:r>
          </w:p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0210C3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Portar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: 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t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his term has a higher comprehension difficulty. </w:t>
            </w:r>
          </w:p>
        </w:tc>
      </w:tr>
      <w:tr w:rsidR="000210C3" w:rsidRPr="000210C3" w:rsidTr="009555C6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lastRenderedPageBreak/>
              <w:t xml:space="preserve">Final </w:t>
            </w:r>
            <w:proofErr w:type="spellStart"/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v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ersion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¿Cuál fue el primer día de su último periodo?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0C3" w:rsidRPr="000210C3" w:rsidRDefault="000210C3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Durante este trimestre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, ¿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nto tiempo emplea habitualmente 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c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orriendo suavemente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0C3" w:rsidRPr="000210C3" w:rsidRDefault="009555C6" w:rsidP="000210C3">
            <w:pPr>
              <w:spacing w:after="20" w:line="360" w:lineRule="auto"/>
              <w:ind w:left="175" w:right="-108" w:hanging="141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¿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Cu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á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nto tiempo suele emplear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d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e pie o caminando lentamente en el trabajo mientras sostiene cosas</w:t>
            </w: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>?</w:t>
            </w:r>
          </w:p>
        </w:tc>
      </w:tr>
    </w:tbl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-47"/>
        <w:tblW w:w="1445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064"/>
        <w:gridCol w:w="1134"/>
        <w:gridCol w:w="851"/>
        <w:gridCol w:w="425"/>
        <w:gridCol w:w="567"/>
        <w:gridCol w:w="636"/>
        <w:gridCol w:w="637"/>
        <w:gridCol w:w="767"/>
        <w:gridCol w:w="1217"/>
        <w:gridCol w:w="1134"/>
        <w:gridCol w:w="708"/>
        <w:gridCol w:w="567"/>
        <w:gridCol w:w="567"/>
        <w:gridCol w:w="640"/>
        <w:gridCol w:w="709"/>
        <w:gridCol w:w="709"/>
      </w:tblGrid>
      <w:tr w:rsidR="000210C3" w:rsidRPr="009555C6" w:rsidTr="009555C6">
        <w:trPr>
          <w:trHeight w:val="557"/>
        </w:trPr>
        <w:tc>
          <w:tcPr>
            <w:tcW w:w="14459" w:type="dxa"/>
            <w:gridSpan w:val="17"/>
          </w:tcPr>
          <w:p w:rsidR="009555C6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lastRenderedPageBreak/>
              <w:t>Table III</w:t>
            </w:r>
          </w:p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Comparison of total activity between 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SenseWear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Armband and Pregnancy Physical Activity Questionnaire in pregnant women by age, 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>body mass index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, and trimester of gestation, parity, occupational and educational level in pregnant women</w:t>
            </w:r>
            <w:r w:rsidRPr="000210C3">
              <w:rPr>
                <w:rFonts w:ascii="Arial" w:hAnsi="Arial" w:cs="Arial"/>
                <w:color w:val="FF0000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(n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208).</w:t>
            </w:r>
          </w:p>
        </w:tc>
      </w:tr>
      <w:tr w:rsidR="000210C3" w:rsidRPr="000210C3" w:rsidTr="009555C6">
        <w:trPr>
          <w:trHeight w:val="346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 w:eastAsia="es-ES"/>
              </w:rPr>
            </w:pPr>
          </w:p>
        </w:tc>
        <w:tc>
          <w:tcPr>
            <w:tcW w:w="6081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Total activity (</w:t>
            </w:r>
            <w:r w:rsidR="009555C6"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l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ight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 xml:space="preserve"> and above</w:t>
            </w: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)</w:t>
            </w:r>
          </w:p>
        </w:tc>
        <w:tc>
          <w:tcPr>
            <w:tcW w:w="6251" w:type="dxa"/>
            <w:gridSpan w:val="8"/>
            <w:tcBorders>
              <w:top w:val="single" w:sz="4" w:space="0" w:color="auto"/>
              <w:bottom w:val="nil"/>
            </w:tcBorders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Moderate to vigorous activity</w:t>
            </w:r>
          </w:p>
        </w:tc>
      </w:tr>
      <w:tr w:rsidR="000210C3" w:rsidRPr="000210C3" w:rsidTr="009555C6">
        <w:trPr>
          <w:trHeight w:val="424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 w:eastAsia="es-E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Estimated (SWA)</w:t>
            </w:r>
          </w:p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(min/d)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BE0BFF" w:rsidRDefault="000210C3" w:rsidP="000210C3">
            <w:pPr>
              <w:spacing w:after="0" w:line="360" w:lineRule="auto"/>
              <w:ind w:right="-79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Self-reported (PPAQ)</w:t>
            </w:r>
          </w:p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(min/d)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10C3" w:rsidRPr="00BE0BFF" w:rsidRDefault="009555C6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 xml:space="preserve">p </w:t>
            </w:r>
            <w:r w:rsidR="000210C3"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value between methods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DM (SD) (min/d)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CCC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Pearson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P</w:t>
            </w:r>
            <w:r w:rsidRPr="00BE0BFF">
              <w:rPr>
                <w:rFonts w:ascii="Arial" w:hAnsi="Arial" w:cs="Arial"/>
                <w:b/>
                <w:sz w:val="24"/>
                <w:szCs w:val="24"/>
                <w:vertAlign w:val="subscript"/>
                <w:lang w:val="en-US" w:eastAsia="es-ES"/>
              </w:rPr>
              <w:t>Pearson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Estimated (SWA)</w:t>
            </w:r>
          </w:p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(min/d)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Self-reported (PPAQ)</w:t>
            </w:r>
          </w:p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(min/d)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10C3" w:rsidRPr="00BE0BFF" w:rsidRDefault="009555C6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 xml:space="preserve">p </w:t>
            </w:r>
            <w:r w:rsidR="000210C3"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value between methods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DM (SD)</w:t>
            </w:r>
          </w:p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(min/d)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CCC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BE0BFF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Pearson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proofErr w:type="spellStart"/>
            <w:r w:rsidRPr="00BE0BFF">
              <w:rPr>
                <w:rFonts w:ascii="Arial" w:hAnsi="Arial" w:cs="Arial"/>
                <w:b/>
                <w:sz w:val="24"/>
                <w:szCs w:val="24"/>
                <w:lang w:val="en-US" w:eastAsia="es-ES"/>
              </w:rPr>
              <w:t>P</w:t>
            </w:r>
            <w:r w:rsidRPr="00BE0BFF">
              <w:rPr>
                <w:rFonts w:ascii="Arial" w:hAnsi="Arial" w:cs="Arial"/>
                <w:b/>
                <w:sz w:val="24"/>
                <w:szCs w:val="24"/>
                <w:vertAlign w:val="subscript"/>
                <w:lang w:val="en-US" w:eastAsia="es-ES"/>
              </w:rPr>
              <w:t>Pearson</w:t>
            </w:r>
            <w:proofErr w:type="spellEnd"/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All (N</w:t>
            </w:r>
            <w:r w:rsidR="009555C6"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 </w:t>
            </w: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=</w:t>
            </w:r>
            <w:r w:rsidR="009555C6"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 xml:space="preserve"> </w:t>
            </w: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208)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101.8</w:t>
            </w:r>
            <w:r w:rsidR="006B18CD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(31.2)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134.1 (62.0)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32.3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(63.6)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0.004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36.5 (19.4)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41.6 (43.4)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(47.8)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0.826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Age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95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20-30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years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(n=48)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106.3 (32.5)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126.2 (63.4)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19.9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(63.1)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0.070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40.0 (19.0)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41.8 (49.8)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(54.0)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0.788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95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31-44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years</w:t>
            </w:r>
            <w:r w:rsidR="006B18CD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(n=160)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100.4 (30.8)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136.5 (61.6)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36.1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(63.4)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0.016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35.4 (19.4)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41.6 (41.5)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6.2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(46.0)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0.927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9555C6" w:rsidP="000210C3">
            <w:pPr>
              <w:spacing w:after="0" w:line="360" w:lineRule="auto"/>
              <w:ind w:left="182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p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value between groups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0.974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</w:pP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BMI (kg/m</w:t>
            </w:r>
            <w:r w:rsidRPr="00BE0BFF">
              <w:rPr>
                <w:rFonts w:ascii="Arial" w:hAnsi="Arial" w:cs="Arial"/>
                <w:i/>
                <w:sz w:val="24"/>
                <w:szCs w:val="24"/>
                <w:vertAlign w:val="superscript"/>
                <w:lang w:val="en-US" w:eastAsia="es-ES"/>
              </w:rPr>
              <w:t>2</w:t>
            </w: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95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lastRenderedPageBreak/>
              <w:t>&lt;25 (n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126)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109.7 (29.9)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130.4 (60.5)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20.7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(61.9)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0.023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40.9 (19.6)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38.2 (39.7)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-2.7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(44.0)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0.875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95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≥25 (n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82)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88.6 (29.0)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140.3 (64.4)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51.8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(61.9)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0.31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0.006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29.2 (16.8)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47.5 (48.7)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18.3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(51.2)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0.864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9555C6" w:rsidP="000210C3">
            <w:pPr>
              <w:spacing w:after="0" w:line="360" w:lineRule="auto"/>
              <w:ind w:left="182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p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value between groups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0.262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</w:pPr>
            <w:r w:rsidRPr="00BE0BFF"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  <w:t>Trimester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95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Second (n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130)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106.0 (32.2)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149.9 (62.2)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(62.6)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0.006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38.7 (19.4)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48.6 (47.5)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9.8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(51.1)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0.863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95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Third (n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78)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95.3 (28.6)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114.4 (56.7)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19.1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(63.2)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0.896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33.0 (18.9)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31.0 (33.8)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0.668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-2.0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(41.7)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0.100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9555C6" w:rsidP="000210C3">
            <w:pPr>
              <w:spacing w:after="0" w:line="360" w:lineRule="auto"/>
              <w:ind w:left="182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p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value between groups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Parity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0 (n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114)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97.3 (30.1)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117.8 (52.0)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20.5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(51.9)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0.002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36.6 (19.3)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34.7 (42.9)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-1.8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(46.7)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0.845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&gt;1 (n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94)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107.1 (31.8)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153.9 (67.5)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46.7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(73.1)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0.609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36.4 (19.6)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50.0 (42.7)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13.6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(48.0)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0.600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9555C6" w:rsidP="000210C3">
            <w:pPr>
              <w:spacing w:after="0" w:line="360" w:lineRule="auto"/>
              <w:ind w:left="182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p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value between groups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lastRenderedPageBreak/>
              <w:t>Occupational</w:t>
            </w:r>
            <w:proofErr w:type="spellEnd"/>
            <w:r w:rsidRPr="00BE0BFF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 xml:space="preserve"> status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BE0BFF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i/>
                <w:sz w:val="24"/>
                <w:szCs w:val="24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Workers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(n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101)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104.4 (29.8)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148.5 (58.6)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(55.8)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0.35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35.6 (17.6)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56.4 (50.1)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20.7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(52.1)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0.587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Non-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workers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(n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=</w:t>
            </w:r>
            <w:r w:rsidR="009555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103)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99.7 (32.8)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118.6 (61.0)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18.9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(66.4)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0.328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37.5 (21.0)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26.3 (28.7)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-11.2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(36.1)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0.738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9555C6" w:rsidP="000210C3">
            <w:pPr>
              <w:spacing w:after="0" w:line="360" w:lineRule="auto"/>
              <w:ind w:left="182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p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value between groups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BE0BFF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</w:pPr>
            <w:proofErr w:type="spellStart"/>
            <w:r w:rsidRPr="00BE0BFF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Educational</w:t>
            </w:r>
            <w:proofErr w:type="spellEnd"/>
            <w:r w:rsidRPr="00BE0BFF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BE0BFF">
              <w:rPr>
                <w:rFonts w:ascii="Arial" w:hAnsi="Arial" w:cs="Arial"/>
                <w:i/>
                <w:sz w:val="24"/>
                <w:szCs w:val="24"/>
                <w:lang w:val="es-ES" w:eastAsia="es-ES"/>
              </w:rPr>
              <w:t>level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Non-</w:t>
            </w: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tertiary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(n</w:t>
            </w:r>
            <w:r w:rsidR="0022459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=</w:t>
            </w:r>
            <w:r w:rsidR="0022459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109)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105.8 (32.5)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133.0 (64.8)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27.2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(66.4)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0.037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38.2 (19.5)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42.4 (32.3)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0.339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(46.4)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0.901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noWrap/>
          </w:tcPr>
          <w:p w:rsidR="000210C3" w:rsidRPr="000210C3" w:rsidRDefault="000210C3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Tertiary</w:t>
            </w:r>
            <w:proofErr w:type="spellEnd"/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(n</w:t>
            </w:r>
            <w:r w:rsidR="0022459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=</w:t>
            </w:r>
            <w:r w:rsidR="0022459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s-ES" w:eastAsia="es-ES"/>
              </w:rPr>
              <w:t>99)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97.4 (29.3)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135.4 (59.1)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38.0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(60.1)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0.035</w:t>
            </w: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34.6 (19.2)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40.8 (44.8)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6.2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(49.6)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-0.05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0.637</w:t>
            </w:r>
          </w:p>
        </w:tc>
      </w:tr>
      <w:tr w:rsidR="000210C3" w:rsidRPr="000210C3" w:rsidTr="009555C6">
        <w:trPr>
          <w:trHeight w:val="170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0210C3" w:rsidRPr="000210C3" w:rsidRDefault="00224597" w:rsidP="000210C3">
            <w:pPr>
              <w:spacing w:after="0" w:line="360" w:lineRule="auto"/>
              <w:ind w:left="154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p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0210C3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value between groups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17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210C3"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  <w:t>0.788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ind w:righ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10C3" w:rsidRPr="000210C3" w:rsidRDefault="000210C3" w:rsidP="000210C3">
            <w:pPr>
              <w:spacing w:after="0" w:line="360" w:lineRule="auto"/>
              <w:ind w:left="2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210C3" w:rsidRPr="009555C6" w:rsidTr="009555C6">
        <w:trPr>
          <w:trHeight w:val="454"/>
        </w:trPr>
        <w:tc>
          <w:tcPr>
            <w:tcW w:w="14459" w:type="dxa"/>
            <w:gridSpan w:val="17"/>
          </w:tcPr>
          <w:p w:rsidR="000210C3" w:rsidRPr="000210C3" w:rsidRDefault="000210C3" w:rsidP="000210C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BMI: 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b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ody mass index;</w:t>
            </w:r>
            <w:r w:rsidR="006B18CD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CCC: 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c</w:t>
            </w:r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oncordance correlation coefficient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;</w:t>
            </w:r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DM: 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d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ifference mean between methods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;</w:t>
            </w:r>
            <w:r w:rsidR="006B18CD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Pearson: Pearson correlation coefficient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;</w:t>
            </w:r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PPearson</w:t>
            </w:r>
            <w:proofErr w:type="spellEnd"/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: p</w:t>
            </w:r>
            <w:r w:rsidR="00224597"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value for Pearson correlation coefficient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; </w:t>
            </w:r>
            <w:r w:rsidRPr="000210C3">
              <w:rPr>
                <w:rFonts w:ascii="Arial" w:hAnsi="Arial" w:cs="Arial"/>
                <w:sz w:val="24"/>
                <w:szCs w:val="24"/>
                <w:lang w:val="en-US" w:eastAsia="es-ES"/>
              </w:rPr>
              <w:t>SD: standard deviation</w:t>
            </w:r>
            <w:r w:rsidR="00224597">
              <w:rPr>
                <w:rFonts w:ascii="Arial" w:hAnsi="Arial" w:cs="Arial"/>
                <w:sz w:val="24"/>
                <w:szCs w:val="24"/>
                <w:lang w:val="en-US" w:eastAsia="es-ES"/>
              </w:rPr>
              <w:t>.</w:t>
            </w:r>
          </w:p>
        </w:tc>
      </w:tr>
    </w:tbl>
    <w:p w:rsidR="000210C3" w:rsidRPr="000210C3" w:rsidRDefault="000210C3" w:rsidP="000210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 w:eastAsia="es-ES"/>
        </w:rPr>
      </w:pPr>
    </w:p>
    <w:p w:rsidR="00A47699" w:rsidRPr="000210C3" w:rsidRDefault="00A47699">
      <w:pPr>
        <w:rPr>
          <w:lang w:val="en-US"/>
        </w:rPr>
      </w:pPr>
    </w:p>
    <w:sectPr w:rsidR="00A47699" w:rsidRPr="000210C3" w:rsidSect="000210C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3"/>
    <w:rsid w:val="000210C3"/>
    <w:rsid w:val="000A07C7"/>
    <w:rsid w:val="00224597"/>
    <w:rsid w:val="006B18CD"/>
    <w:rsid w:val="008620AC"/>
    <w:rsid w:val="009555C6"/>
    <w:rsid w:val="00A47699"/>
    <w:rsid w:val="00BE0BFF"/>
    <w:rsid w:val="00E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34612-0BC3-4C7B-A10F-F976137D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company</dc:creator>
  <cp:keywords/>
  <dc:description/>
  <cp:lastModifiedBy>Dup Tshering Bhutia</cp:lastModifiedBy>
  <cp:revision>2</cp:revision>
  <dcterms:created xsi:type="dcterms:W3CDTF">2018-02-23T09:23:00Z</dcterms:created>
  <dcterms:modified xsi:type="dcterms:W3CDTF">2018-02-23T09:23:00Z</dcterms:modified>
</cp:coreProperties>
</file>