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BC7D3" w14:textId="745D466C" w:rsidR="00983E85" w:rsidRPr="00E71AC9" w:rsidRDefault="00707E2A" w:rsidP="00F339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E71AC9">
        <w:rPr>
          <w:rFonts w:ascii="Times New Roman" w:hAnsi="Times New Roman"/>
          <w:b/>
          <w:sz w:val="24"/>
          <w:szCs w:val="24"/>
          <w:lang w:val="en-GB"/>
        </w:rPr>
        <w:t>Appendix</w:t>
      </w:r>
      <w:r w:rsidR="006C2A9F">
        <w:rPr>
          <w:rFonts w:ascii="Times New Roman" w:hAnsi="Times New Roman"/>
          <w:b/>
          <w:sz w:val="24"/>
          <w:szCs w:val="24"/>
          <w:lang w:val="en-GB"/>
        </w:rPr>
        <w:t xml:space="preserve"> 1</w:t>
      </w:r>
    </w:p>
    <w:p w14:paraId="18CD0DBC" w14:textId="77777777" w:rsidR="008740A6" w:rsidRDefault="008740A6" w:rsidP="008E11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02FEA6BF" w14:textId="4219F4BA" w:rsidR="00D01D0B" w:rsidRPr="008E1115" w:rsidRDefault="007131D3" w:rsidP="008E11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This </w:t>
      </w:r>
      <w:r w:rsidR="00707E2A">
        <w:rPr>
          <w:rFonts w:ascii="Times New Roman" w:hAnsi="Times New Roman"/>
          <w:bCs/>
          <w:sz w:val="24"/>
          <w:szCs w:val="24"/>
          <w:lang w:val="en-US"/>
        </w:rPr>
        <w:t>appendix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>describe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01D0B">
        <w:rPr>
          <w:rFonts w:ascii="Times New Roman" w:hAnsi="Times New Roman"/>
          <w:bCs/>
          <w:sz w:val="24"/>
          <w:szCs w:val="24"/>
          <w:lang w:val="en-US"/>
        </w:rPr>
        <w:t xml:space="preserve">the main databases that 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 xml:space="preserve">have been </w:t>
      </w:r>
      <w:r w:rsidR="00D01D0B">
        <w:rPr>
          <w:rFonts w:ascii="Times New Roman" w:hAnsi="Times New Roman"/>
          <w:bCs/>
          <w:sz w:val="24"/>
          <w:szCs w:val="24"/>
          <w:lang w:val="en-US"/>
        </w:rPr>
        <w:t>used</w:t>
      </w:r>
      <w:r w:rsidR="00356E10">
        <w:rPr>
          <w:rFonts w:ascii="Times New Roman" w:hAnsi="Times New Roman"/>
          <w:bCs/>
          <w:sz w:val="24"/>
          <w:szCs w:val="24"/>
          <w:lang w:val="en-US"/>
        </w:rPr>
        <w:t xml:space="preserve"> in this study</w:t>
      </w:r>
      <w:r w:rsidR="00D01D0B">
        <w:rPr>
          <w:rFonts w:ascii="Times New Roman" w:hAnsi="Times New Roman"/>
          <w:bCs/>
          <w:sz w:val="24"/>
          <w:szCs w:val="24"/>
          <w:lang w:val="en-US"/>
        </w:rPr>
        <w:t xml:space="preserve">. Firstly, we have collected </w:t>
      </w:r>
      <w:r w:rsidR="008E1115">
        <w:rPr>
          <w:rFonts w:ascii="Times New Roman" w:hAnsi="Times New Roman"/>
          <w:sz w:val="24"/>
          <w:szCs w:val="24"/>
          <w:lang w:val="en-US"/>
        </w:rPr>
        <w:t>the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740A6" w:rsidRPr="003B6AA2">
        <w:rPr>
          <w:rFonts w:ascii="Times New Roman" w:hAnsi="Times New Roman"/>
          <w:sz w:val="24"/>
          <w:szCs w:val="24"/>
          <w:lang w:val="en-US"/>
        </w:rPr>
        <w:t>symmetric input-output table</w:t>
      </w:r>
      <w:r w:rsidR="008740A6">
        <w:rPr>
          <w:rFonts w:ascii="Times New Roman" w:hAnsi="Times New Roman"/>
          <w:sz w:val="24"/>
          <w:szCs w:val="24"/>
          <w:lang w:val="en-US"/>
        </w:rPr>
        <w:t>s</w:t>
      </w:r>
      <w:r w:rsidR="008740A6" w:rsidRPr="003B6A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(henceforth, SIOT)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from the </w:t>
      </w:r>
      <w:r w:rsidR="008E1115" w:rsidRPr="008E1115">
        <w:rPr>
          <w:rFonts w:ascii="Times New Roman" w:hAnsi="Times New Roman"/>
          <w:sz w:val="24"/>
          <w:szCs w:val="24"/>
          <w:lang w:val="en-US"/>
        </w:rPr>
        <w:t xml:space="preserve">World Input-Output Database </w:t>
      </w:r>
      <w:r w:rsidR="008E1115">
        <w:rPr>
          <w:rFonts w:ascii="Times New Roman" w:hAnsi="Times New Roman"/>
          <w:sz w:val="24"/>
          <w:szCs w:val="24"/>
          <w:lang w:val="en-US"/>
        </w:rPr>
        <w:t>(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WIOD</w:t>
      </w:r>
      <w:r w:rsidR="008E1115">
        <w:rPr>
          <w:rFonts w:ascii="Times New Roman" w:hAnsi="Times New Roman"/>
          <w:sz w:val="24"/>
          <w:szCs w:val="24"/>
          <w:lang w:val="en-US"/>
        </w:rPr>
        <w:t>, onwards)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.</w:t>
      </w:r>
      <w:r w:rsidR="00D01D0B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1"/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115">
        <w:rPr>
          <w:rFonts w:ascii="Times New Roman" w:hAnsi="Times New Roman"/>
          <w:sz w:val="24"/>
          <w:szCs w:val="24"/>
          <w:lang w:val="en-US"/>
        </w:rPr>
        <w:t>The last release</w:t>
      </w:r>
      <w:r w:rsidR="00946219">
        <w:rPr>
          <w:rFonts w:ascii="Times New Roman" w:hAnsi="Times New Roman"/>
          <w:sz w:val="24"/>
          <w:szCs w:val="24"/>
          <w:lang w:val="en-US"/>
        </w:rPr>
        <w:t xml:space="preserve"> of this d</w:t>
      </w:r>
      <w:r w:rsidR="008E1115">
        <w:rPr>
          <w:rFonts w:ascii="Times New Roman" w:hAnsi="Times New Roman"/>
          <w:sz w:val="24"/>
          <w:szCs w:val="24"/>
          <w:lang w:val="en-US"/>
        </w:rPr>
        <w:t xml:space="preserve">atabase was compiled in November of 2016 and </w:t>
      </w:r>
      <w:r w:rsidR="008E1115" w:rsidRPr="008E1115">
        <w:rPr>
          <w:rFonts w:ascii="Times New Roman" w:hAnsi="Times New Roman"/>
          <w:sz w:val="24"/>
          <w:szCs w:val="24"/>
          <w:lang w:val="en-US"/>
        </w:rPr>
        <w:t xml:space="preserve">covers 28 EU countries </w:t>
      </w:r>
      <w:r w:rsidR="00946219">
        <w:rPr>
          <w:rFonts w:ascii="Times New Roman" w:hAnsi="Times New Roman"/>
          <w:sz w:val="24"/>
          <w:szCs w:val="24"/>
          <w:lang w:val="en-US"/>
        </w:rPr>
        <w:t>plus</w:t>
      </w:r>
      <w:r w:rsidR="008E1115" w:rsidRPr="008E1115">
        <w:rPr>
          <w:rFonts w:ascii="Times New Roman" w:hAnsi="Times New Roman"/>
          <w:sz w:val="24"/>
          <w:szCs w:val="24"/>
          <w:lang w:val="en-US"/>
        </w:rPr>
        <w:t xml:space="preserve"> 15 other major countries in the world for the period from 2000 to 2014.</w:t>
      </w:r>
      <w:r w:rsidR="008E11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D0B">
        <w:rPr>
          <w:rFonts w:ascii="Times New Roman" w:hAnsi="Times New Roman"/>
          <w:sz w:val="24"/>
          <w:szCs w:val="24"/>
          <w:lang w:val="en-US"/>
        </w:rPr>
        <w:t>SIOT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are defined at </w:t>
      </w:r>
      <w:r w:rsidR="00D01D0B">
        <w:rPr>
          <w:rFonts w:ascii="Times New Roman" w:hAnsi="Times New Roman"/>
          <w:sz w:val="24"/>
          <w:szCs w:val="24"/>
          <w:lang w:val="en-US"/>
        </w:rPr>
        <w:t>producer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prices in this </w:t>
      </w:r>
      <w:r w:rsidR="008E1115">
        <w:rPr>
          <w:rFonts w:ascii="Times New Roman" w:hAnsi="Times New Roman"/>
          <w:sz w:val="24"/>
          <w:szCs w:val="24"/>
          <w:lang w:val="en-US"/>
        </w:rPr>
        <w:t>WIOD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and adhere to the 2008 version of the System of National Accounts (SNA, onwards). The information is disaggregated in 56 sectors </w:t>
      </w:r>
      <w:r w:rsidR="00BA7A20">
        <w:rPr>
          <w:rFonts w:ascii="Times New Roman" w:hAnsi="Times New Roman"/>
          <w:sz w:val="24"/>
          <w:szCs w:val="24"/>
          <w:lang w:val="en-US"/>
        </w:rPr>
        <w:t>according to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the International Standard Industrial Classifi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cation </w:t>
      </w:r>
      <w:r w:rsidR="009B1815">
        <w:rPr>
          <w:rFonts w:ascii="Times New Roman" w:hAnsi="Times New Roman"/>
          <w:sz w:val="24"/>
          <w:szCs w:val="24"/>
          <w:lang w:val="en-US"/>
        </w:rPr>
        <w:t xml:space="preserve">(ISIC </w:t>
      </w:r>
      <w:r w:rsidR="00D01D0B">
        <w:rPr>
          <w:rFonts w:ascii="Times New Roman" w:hAnsi="Times New Roman"/>
          <w:sz w:val="24"/>
          <w:szCs w:val="24"/>
          <w:lang w:val="en-US"/>
        </w:rPr>
        <w:t>revision 4</w:t>
      </w:r>
      <w:r w:rsidR="009B1815">
        <w:rPr>
          <w:rFonts w:ascii="Times New Roman" w:hAnsi="Times New Roman"/>
          <w:sz w:val="24"/>
          <w:szCs w:val="24"/>
          <w:lang w:val="en-US"/>
        </w:rPr>
        <w:t>)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. Following the </w:t>
      </w:r>
      <w:r w:rsidR="00BA7A20">
        <w:rPr>
          <w:rFonts w:ascii="Times New Roman" w:hAnsi="Times New Roman"/>
          <w:sz w:val="24"/>
          <w:szCs w:val="24"/>
          <w:lang w:val="en-US"/>
        </w:rPr>
        <w:t>appropriate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 methodology</w:t>
      </w:r>
      <w:proofErr w:type="gramStart"/>
      <w:r w:rsidR="008740A6">
        <w:rPr>
          <w:rFonts w:ascii="Times New Roman" w:hAnsi="Times New Roman"/>
          <w:sz w:val="24"/>
          <w:szCs w:val="24"/>
          <w:lang w:val="en-US"/>
        </w:rPr>
        <w:t>,</w:t>
      </w:r>
      <w:r w:rsidR="008740A6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proofErr w:type="gramEnd"/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we have extracted the domestic SIOT for the Spanish economy in 2012 to further aggregate data in 18 sectors</w:t>
      </w:r>
      <w:r w:rsidR="00197D30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197D30" w:rsidRPr="00F738ED">
        <w:rPr>
          <w:rFonts w:ascii="Times New Roman" w:hAnsi="Times New Roman"/>
          <w:sz w:val="24"/>
          <w:szCs w:val="24"/>
          <w:highlight w:val="green"/>
          <w:lang w:val="en-US"/>
        </w:rPr>
        <w:t>Table 1</w:t>
      </w:r>
      <w:r w:rsidR="00197D30">
        <w:rPr>
          <w:rFonts w:ascii="Times New Roman" w:hAnsi="Times New Roman"/>
          <w:sz w:val="24"/>
          <w:szCs w:val="24"/>
          <w:lang w:val="en-US"/>
        </w:rPr>
        <w:t>)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. For</w:t>
      </w:r>
      <w:r w:rsidR="00946219">
        <w:rPr>
          <w:rFonts w:ascii="Times New Roman" w:hAnsi="Times New Roman"/>
          <w:sz w:val="24"/>
          <w:szCs w:val="24"/>
          <w:lang w:val="en-US"/>
        </w:rPr>
        <w:t xml:space="preserve"> the purpose of this investigation, sector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 “Health services and social work activities” has been split into 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its 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 xml:space="preserve">two major divisions to </w:t>
      </w:r>
      <w:r w:rsidR="00D01D0B">
        <w:rPr>
          <w:rFonts w:ascii="Times New Roman" w:hAnsi="Times New Roman"/>
          <w:sz w:val="24"/>
          <w:szCs w:val="24"/>
          <w:lang w:val="en-US"/>
        </w:rPr>
        <w:t xml:space="preserve">find out the employment depending specifically on the 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consumption of soci</w:t>
      </w:r>
      <w:r w:rsidR="00D01D0B">
        <w:rPr>
          <w:rFonts w:ascii="Times New Roman" w:hAnsi="Times New Roman"/>
          <w:sz w:val="24"/>
          <w:szCs w:val="24"/>
          <w:lang w:val="en-US"/>
        </w:rPr>
        <w:t>al work activities</w:t>
      </w:r>
      <w:r w:rsidR="00D01D0B" w:rsidRPr="003B6AA2">
        <w:rPr>
          <w:rFonts w:ascii="Times New Roman" w:hAnsi="Times New Roman"/>
          <w:sz w:val="24"/>
          <w:szCs w:val="24"/>
          <w:lang w:val="en-US"/>
        </w:rPr>
        <w:t>.</w:t>
      </w:r>
    </w:p>
    <w:p w14:paraId="7E4FAEA5" w14:textId="1E58E735" w:rsidR="00D01D0B" w:rsidRPr="00C05B0F" w:rsidRDefault="00D01D0B" w:rsidP="00D01D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household consumption funded with the total costs of dependency has been estimated </w:t>
      </w:r>
      <w:r w:rsidRPr="0047154D">
        <w:rPr>
          <w:rFonts w:ascii="Times New Roman" w:hAnsi="Times New Roman"/>
          <w:sz w:val="24"/>
          <w:szCs w:val="24"/>
          <w:lang w:val="en-US"/>
        </w:rPr>
        <w:t>from the Household Budget Survey (HBS onwards) carried out in 2012 by the Spanish Statistics Institute</w:t>
      </w:r>
      <w:r w:rsidR="008740A6">
        <w:rPr>
          <w:rFonts w:ascii="Times New Roman" w:hAnsi="Times New Roman"/>
          <w:sz w:val="24"/>
          <w:szCs w:val="24"/>
          <w:lang w:val="en-US"/>
        </w:rPr>
        <w:t>.</w:t>
      </w:r>
      <w:r w:rsidR="008740A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7154D">
        <w:rPr>
          <w:rFonts w:ascii="Times New Roman" w:hAnsi="Times New Roman"/>
          <w:sz w:val="24"/>
          <w:szCs w:val="24"/>
          <w:lang w:val="en-US"/>
        </w:rPr>
        <w:t xml:space="preserve"> This database provides information on the am</w:t>
      </w:r>
      <w:r>
        <w:rPr>
          <w:rFonts w:ascii="Times New Roman" w:hAnsi="Times New Roman"/>
          <w:sz w:val="24"/>
          <w:szCs w:val="24"/>
          <w:lang w:val="en-US"/>
        </w:rPr>
        <w:t>ount and structure of household</w:t>
      </w:r>
      <w:r w:rsidRPr="0047154D">
        <w:rPr>
          <w:rFonts w:ascii="Times New Roman" w:hAnsi="Times New Roman"/>
          <w:sz w:val="24"/>
          <w:szCs w:val="24"/>
          <w:lang w:val="en-US"/>
        </w:rPr>
        <w:t xml:space="preserve"> expenditure based on the COICOP (Classification of Individual Consumption by Purpose). The HBS also contains socioeconomic data about the standard of living, </w:t>
      </w:r>
      <w:r w:rsidRPr="0047154D">
        <w:rPr>
          <w:rFonts w:ascii="Times New Roman" w:hAnsi="Times New Roman"/>
          <w:sz w:val="24"/>
          <w:szCs w:val="24"/>
          <w:lang w:val="en-GB"/>
        </w:rPr>
        <w:t xml:space="preserve">income and the professional activity of the household reference person. </w:t>
      </w:r>
      <w:r>
        <w:rPr>
          <w:rFonts w:ascii="Times New Roman" w:hAnsi="Times New Roman"/>
          <w:sz w:val="24"/>
          <w:szCs w:val="24"/>
          <w:lang w:val="en-GB"/>
        </w:rPr>
        <w:t xml:space="preserve">For simplicity, we shall assume that a household is classified according to the status of its reference person. </w:t>
      </w:r>
      <w:r w:rsidRPr="00C05B0F">
        <w:rPr>
          <w:rFonts w:ascii="Times New Roman" w:hAnsi="Times New Roman"/>
          <w:bCs/>
          <w:sz w:val="24"/>
          <w:szCs w:val="24"/>
          <w:lang w:val="en-GB"/>
        </w:rPr>
        <w:t xml:space="preserve">The compensation and number of workers by productive sectors were </w:t>
      </w:r>
      <w:r w:rsidR="008C7930">
        <w:rPr>
          <w:rFonts w:ascii="Times New Roman" w:hAnsi="Times New Roman"/>
          <w:bCs/>
          <w:sz w:val="24"/>
          <w:szCs w:val="24"/>
          <w:lang w:val="en-GB"/>
        </w:rPr>
        <w:t>extracted</w:t>
      </w:r>
      <w:r w:rsidRPr="00C05B0F">
        <w:rPr>
          <w:rFonts w:ascii="Times New Roman" w:hAnsi="Times New Roman"/>
          <w:bCs/>
          <w:sz w:val="24"/>
          <w:szCs w:val="24"/>
          <w:lang w:val="en-GB"/>
        </w:rPr>
        <w:t xml:space="preserve"> from the National Accounting of the Spanish Statistics Institute.</w:t>
      </w:r>
    </w:p>
    <w:p w14:paraId="569509B4" w14:textId="5B1F846C" w:rsidR="00946219" w:rsidRDefault="006A1ECB" w:rsidP="006909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Given that</w:t>
      </w:r>
      <w:r w:rsidR="00690969" w:rsidRPr="0047154D">
        <w:rPr>
          <w:rFonts w:ascii="Times New Roman" w:hAnsi="Times New Roman"/>
          <w:bCs/>
          <w:sz w:val="24"/>
          <w:szCs w:val="24"/>
          <w:lang w:val="en-GB"/>
        </w:rPr>
        <w:t xml:space="preserve"> HBS </w:t>
      </w:r>
      <w:r w:rsidR="000943ED">
        <w:rPr>
          <w:rFonts w:ascii="Times New Roman" w:hAnsi="Times New Roman"/>
          <w:bCs/>
          <w:sz w:val="24"/>
          <w:szCs w:val="24"/>
          <w:lang w:val="en-GB"/>
        </w:rPr>
        <w:t>micro</w:t>
      </w:r>
      <w:r w:rsidR="00690969" w:rsidRPr="0047154D">
        <w:rPr>
          <w:rFonts w:ascii="Times New Roman" w:hAnsi="Times New Roman"/>
          <w:bCs/>
          <w:sz w:val="24"/>
          <w:szCs w:val="24"/>
          <w:lang w:val="en-GB"/>
        </w:rPr>
        <w:t>data ref</w:t>
      </w:r>
      <w:r w:rsidR="00690969">
        <w:rPr>
          <w:rFonts w:ascii="Times New Roman" w:hAnsi="Times New Roman"/>
          <w:bCs/>
          <w:sz w:val="24"/>
          <w:szCs w:val="24"/>
          <w:lang w:val="en-GB"/>
        </w:rPr>
        <w:t xml:space="preserve">er to </w:t>
      </w:r>
      <w:r w:rsidR="00C621AE">
        <w:rPr>
          <w:rFonts w:ascii="Times New Roman" w:hAnsi="Times New Roman"/>
          <w:bCs/>
          <w:sz w:val="24"/>
          <w:szCs w:val="24"/>
          <w:lang w:val="en-GB"/>
        </w:rPr>
        <w:t>commodity expenditures</w:t>
      </w:r>
      <w:r w:rsidR="00690969">
        <w:rPr>
          <w:rFonts w:ascii="Times New Roman" w:hAnsi="Times New Roman"/>
          <w:bCs/>
          <w:sz w:val="24"/>
          <w:szCs w:val="24"/>
          <w:lang w:val="en-GB"/>
        </w:rPr>
        <w:t>,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it has been</w:t>
      </w:r>
      <w:r w:rsidR="00690969">
        <w:rPr>
          <w:rFonts w:ascii="Times New Roman" w:hAnsi="Times New Roman"/>
          <w:bCs/>
          <w:sz w:val="24"/>
          <w:szCs w:val="24"/>
          <w:lang w:val="en-GB"/>
        </w:rPr>
        <w:t xml:space="preserve"> necessary </w:t>
      </w:r>
      <w:r w:rsidR="00690969" w:rsidRPr="0047154D">
        <w:rPr>
          <w:rFonts w:ascii="Times New Roman" w:hAnsi="Times New Roman"/>
          <w:bCs/>
          <w:sz w:val="24"/>
          <w:szCs w:val="24"/>
          <w:lang w:val="en-GB"/>
        </w:rPr>
        <w:t>to allocate these commodities to the industrial sectoring scheme adopted by the SIOT</w:t>
      </w:r>
      <w:r w:rsidR="0050357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>to</w:t>
      </w:r>
      <w:r w:rsidRPr="0047154D">
        <w:rPr>
          <w:rFonts w:ascii="Times New Roman" w:hAnsi="Times New Roman"/>
          <w:bCs/>
          <w:sz w:val="24"/>
          <w:szCs w:val="24"/>
          <w:lang w:val="en-GB"/>
        </w:rPr>
        <w:t xml:space="preserve"> provide comparable results between consumption p</w:t>
      </w:r>
      <w:r>
        <w:rPr>
          <w:rFonts w:ascii="Times New Roman" w:hAnsi="Times New Roman"/>
          <w:bCs/>
          <w:sz w:val="24"/>
          <w:szCs w:val="24"/>
          <w:lang w:val="en-GB"/>
        </w:rPr>
        <w:t>urposes and sectoral production</w:t>
      </w:r>
      <w:r w:rsidR="00690969" w:rsidRPr="0047154D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GB"/>
        </w:rPr>
        <w:t>Nowadays, there is no</w:t>
      </w:r>
      <w:r w:rsidR="00690969" w:rsidRPr="0047154D">
        <w:rPr>
          <w:rFonts w:ascii="Times New Roman" w:hAnsi="Times New Roman"/>
          <w:bCs/>
          <w:sz w:val="24"/>
          <w:szCs w:val="24"/>
          <w:lang w:val="en-GB"/>
        </w:rPr>
        <w:t xml:space="preserve"> official 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>correspondence between the HBS and the SIOT, the</w:t>
      </w:r>
      <w:r w:rsidRPr="0034115D">
        <w:rPr>
          <w:rFonts w:ascii="Times New Roman" w:hAnsi="Times New Roman"/>
          <w:bCs/>
          <w:sz w:val="24"/>
          <w:szCs w:val="24"/>
          <w:lang w:val="en-GB"/>
        </w:rPr>
        <w:t>refore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 xml:space="preserve"> HBS data </w:t>
      </w:r>
      <w:r w:rsidRPr="0034115D">
        <w:rPr>
          <w:rFonts w:ascii="Times New Roman" w:hAnsi="Times New Roman"/>
          <w:bCs/>
          <w:sz w:val="24"/>
          <w:szCs w:val="24"/>
          <w:lang w:val="en-GB"/>
        </w:rPr>
        <w:t>have been aggreg</w:t>
      </w:r>
      <w:r w:rsidR="00C4640F" w:rsidRPr="0034115D">
        <w:rPr>
          <w:rFonts w:ascii="Times New Roman" w:hAnsi="Times New Roman"/>
          <w:bCs/>
          <w:sz w:val="24"/>
          <w:szCs w:val="24"/>
          <w:lang w:val="en-GB"/>
        </w:rPr>
        <w:t xml:space="preserve">ated according to the </w:t>
      </w:r>
      <w:r w:rsidR="0050357C" w:rsidRPr="0034115D">
        <w:rPr>
          <w:rFonts w:ascii="Times New Roman" w:hAnsi="Times New Roman"/>
          <w:bCs/>
          <w:sz w:val="24"/>
          <w:szCs w:val="24"/>
          <w:lang w:val="en-GB"/>
        </w:rPr>
        <w:t>correspondence</w:t>
      </w:r>
      <w:r w:rsidRPr="0034115D">
        <w:rPr>
          <w:rFonts w:ascii="Times New Roman" w:hAnsi="Times New Roman"/>
          <w:bCs/>
          <w:sz w:val="24"/>
          <w:szCs w:val="24"/>
          <w:lang w:val="en-GB"/>
        </w:rPr>
        <w:t xml:space="preserve"> table based on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8D4415">
        <w:rPr>
          <w:rFonts w:ascii="Times New Roman" w:hAnsi="Times New Roman"/>
          <w:bCs/>
          <w:sz w:val="24"/>
          <w:szCs w:val="24"/>
          <w:lang w:val="en-GB"/>
        </w:rPr>
        <w:t xml:space="preserve">the previous 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>18-sector</w:t>
      </w:r>
      <w:r w:rsidR="008D4415">
        <w:rPr>
          <w:rFonts w:ascii="Times New Roman" w:hAnsi="Times New Roman"/>
          <w:bCs/>
          <w:sz w:val="24"/>
          <w:szCs w:val="24"/>
          <w:lang w:val="en-GB"/>
        </w:rPr>
        <w:t>ing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8D4415">
        <w:rPr>
          <w:rFonts w:ascii="Times New Roman" w:hAnsi="Times New Roman"/>
          <w:bCs/>
          <w:sz w:val="24"/>
          <w:szCs w:val="24"/>
          <w:lang w:val="en-GB"/>
        </w:rPr>
        <w:t>scheme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8D4415">
        <w:rPr>
          <w:rFonts w:ascii="Times New Roman" w:hAnsi="Times New Roman"/>
          <w:bCs/>
          <w:sz w:val="24"/>
          <w:szCs w:val="24"/>
          <w:lang w:val="en-GB"/>
        </w:rPr>
        <w:t>of</w:t>
      </w:r>
      <w:r w:rsidR="00690969" w:rsidRPr="0034115D">
        <w:rPr>
          <w:rFonts w:ascii="Times New Roman" w:hAnsi="Times New Roman"/>
          <w:bCs/>
          <w:sz w:val="24"/>
          <w:szCs w:val="24"/>
          <w:lang w:val="en-GB"/>
        </w:rPr>
        <w:t xml:space="preserve"> the SIOT</w:t>
      </w:r>
      <w:r w:rsidR="0034115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8D4415">
        <w:rPr>
          <w:rFonts w:ascii="Times New Roman" w:hAnsi="Times New Roman"/>
          <w:bCs/>
          <w:sz w:val="24"/>
          <w:szCs w:val="24"/>
          <w:lang w:val="en-GB"/>
        </w:rPr>
        <w:t xml:space="preserve">and a correspondence tool provided by United Nations that matches the Central Product Classification and the COICOP </w:t>
      </w:r>
      <w:r w:rsidR="0034115D">
        <w:rPr>
          <w:rFonts w:ascii="Times New Roman" w:hAnsi="Times New Roman"/>
          <w:bCs/>
          <w:sz w:val="24"/>
          <w:szCs w:val="24"/>
          <w:lang w:val="en-GB"/>
        </w:rPr>
        <w:t>(</w:t>
      </w:r>
      <w:r w:rsidR="0034115D" w:rsidRPr="00F738ED">
        <w:rPr>
          <w:rFonts w:ascii="Times New Roman" w:hAnsi="Times New Roman"/>
          <w:bCs/>
          <w:sz w:val="24"/>
          <w:szCs w:val="24"/>
          <w:highlight w:val="green"/>
          <w:lang w:val="en-GB"/>
        </w:rPr>
        <w:t>Table 2</w:t>
      </w:r>
      <w:r w:rsidR="0034115D">
        <w:rPr>
          <w:rFonts w:ascii="Times New Roman" w:hAnsi="Times New Roman"/>
          <w:bCs/>
          <w:sz w:val="24"/>
          <w:szCs w:val="24"/>
          <w:lang w:val="en-GB"/>
        </w:rPr>
        <w:t>).</w:t>
      </w:r>
      <w:r w:rsidR="0028636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19D4D096" w14:textId="77777777" w:rsidR="006A1ECB" w:rsidRDefault="006A1ECB" w:rsidP="006909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1452C1DE" w14:textId="77777777" w:rsidR="006A1ECB" w:rsidRDefault="006A1ECB" w:rsidP="006909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7964514" w14:textId="77777777" w:rsidR="008740A6" w:rsidRDefault="00197D30" w:rsidP="001F03E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F738ED">
        <w:rPr>
          <w:rFonts w:ascii="Times New Roman" w:hAnsi="Times New Roman"/>
          <w:b/>
          <w:bCs/>
          <w:sz w:val="24"/>
          <w:szCs w:val="24"/>
          <w:lang w:val="en-GB"/>
        </w:rPr>
        <w:t>Table</w:t>
      </w:r>
      <w:r w:rsidR="008740A6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F738ED">
        <w:rPr>
          <w:rFonts w:ascii="Times New Roman" w:hAnsi="Times New Roman"/>
          <w:b/>
          <w:bCs/>
          <w:sz w:val="24"/>
          <w:szCs w:val="24"/>
          <w:lang w:val="en-GB"/>
        </w:rPr>
        <w:t>1</w:t>
      </w:r>
    </w:p>
    <w:p w14:paraId="18F221D2" w14:textId="53AA9F3D" w:rsidR="007A37AD" w:rsidRDefault="00197D30" w:rsidP="001F03E7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Correspondence table from TSIO to 18 sectors in the model</w:t>
      </w:r>
    </w:p>
    <w:tbl>
      <w:tblPr>
        <w:tblW w:w="50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824"/>
        <w:gridCol w:w="3494"/>
      </w:tblGrid>
      <w:tr w:rsidR="007A37AD" w:rsidRPr="00ED228A" w14:paraId="747F94E6" w14:textId="3A87540A" w:rsidTr="00770B35">
        <w:trPr>
          <w:trHeight w:val="300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643E8" w14:textId="4803257A" w:rsidR="007A37AD" w:rsidRPr="007A37AD" w:rsidRDefault="007A37AD" w:rsidP="007A37AD">
            <w:pPr>
              <w:rPr>
                <w:rFonts w:ascii="Calibri" w:hAnsi="Calibri"/>
                <w:b/>
                <w:bCs/>
                <w:lang w:val="en-GB"/>
              </w:rPr>
            </w:pPr>
            <w:r w:rsidRPr="007A37AD">
              <w:rPr>
                <w:rFonts w:ascii="Calibri" w:hAnsi="Calibri"/>
                <w:b/>
                <w:bCs/>
                <w:lang w:val="en-GB"/>
              </w:rPr>
              <w:t>TSIO (ISIC rev4)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FCB1D" w14:textId="1C099194" w:rsidR="007A37AD" w:rsidRPr="007A37AD" w:rsidRDefault="007A37AD" w:rsidP="007A37AD">
            <w:pPr>
              <w:rPr>
                <w:rFonts w:ascii="Calibri" w:hAnsi="Calibri"/>
                <w:b/>
                <w:bCs/>
                <w:lang w:val="en-GB"/>
              </w:rPr>
            </w:pPr>
            <w:r w:rsidRPr="007A37AD">
              <w:rPr>
                <w:rFonts w:ascii="Calibri" w:hAnsi="Calibri"/>
                <w:b/>
                <w:bCs/>
                <w:lang w:val="en-GB"/>
              </w:rPr>
              <w:t>R-18</w:t>
            </w:r>
          </w:p>
        </w:tc>
      </w:tr>
      <w:tr w:rsidR="00FA1215" w:rsidRPr="00ED228A" w14:paraId="754A858D" w14:textId="4C2B048E" w:rsidTr="00770B35">
        <w:trPr>
          <w:trHeight w:hRule="exact" w:val="549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03DB4" w14:textId="370EC1F0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Crop and animal production, hunting and related service activities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629D" w14:textId="30D5D88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A</w:t>
            </w:r>
          </w:p>
        </w:tc>
        <w:tc>
          <w:tcPr>
            <w:tcW w:w="2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A92F4" w14:textId="207E90BA" w:rsidR="00FA1215" w:rsidRPr="00ED228A" w:rsidRDefault="00FA1215" w:rsidP="00FA1215">
            <w:pPr>
              <w:rPr>
                <w:rFonts w:cs="Arial"/>
                <w:bCs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Agriculture, forestry and fishing</w:t>
            </w:r>
          </w:p>
        </w:tc>
      </w:tr>
      <w:tr w:rsidR="00FA1215" w:rsidRPr="00ED228A" w14:paraId="1724FC92" w14:textId="12C46C8A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255F4" w14:textId="56FC8A12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Forestry and logging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54C29" w14:textId="6CCC84EE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4B211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3873503A" w14:textId="41AFF80A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A34AD" w14:textId="73856777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Fishing and aquaculture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BC286" w14:textId="004AC348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6483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ED228A" w14:paraId="2259E3FF" w14:textId="13DBB701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980FC" w14:textId="138F4A73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Mining and quarrying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ED289" w14:textId="0C71479A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B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6ACA" w14:textId="0EC7B1EE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lang w:val="en-GB"/>
              </w:rPr>
              <w:t>Mining and quarrying</w:t>
            </w:r>
          </w:p>
        </w:tc>
      </w:tr>
      <w:tr w:rsidR="00FA1215" w:rsidRPr="00ED228A" w14:paraId="26E81221" w14:textId="30F5C7E3" w:rsidTr="00770B35">
        <w:trPr>
          <w:trHeight w:hRule="exact" w:val="581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C703F" w14:textId="434588C2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food products, beverages and tobacco products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1B7C" w14:textId="70D48E5F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C</w:t>
            </w:r>
          </w:p>
        </w:tc>
        <w:tc>
          <w:tcPr>
            <w:tcW w:w="2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16B8" w14:textId="78BF047A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lang w:val="en-GB"/>
              </w:rPr>
              <w:t>Manufacture</w:t>
            </w:r>
          </w:p>
        </w:tc>
      </w:tr>
      <w:tr w:rsidR="00FA1215" w:rsidRPr="00C9298C" w14:paraId="164A8A41" w14:textId="4B2E8715" w:rsidTr="00770B35">
        <w:trPr>
          <w:trHeight w:hRule="exact" w:val="562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C32E9" w14:textId="5008485B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textiles, wearing apparel and leather products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67EA" w14:textId="43D0058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FC3B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54E6DDA1" w14:textId="67D947D6" w:rsidTr="00770B35">
        <w:trPr>
          <w:trHeight w:hRule="exact" w:val="995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A6A2D3" w14:textId="11B03142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wood and of products of wood and cork, except furniture; manufacture of articles of straw and plaiting materials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8F9D" w14:textId="1E6FEE19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5C5D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305A3138" w14:textId="13A4A96C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150F7" w14:textId="55ECA908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paper and paper products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8D35" w14:textId="470DEC74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4A8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06F3B6E0" w14:textId="52AD1DE0" w:rsidTr="00770B35">
        <w:trPr>
          <w:trHeight w:hRule="exact" w:val="276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F0F62" w14:textId="4E0E6220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Printing and reproduction of recorded media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9C10" w14:textId="7C3500E5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FF09E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66848833" w14:textId="399EB9DC" w:rsidTr="00770B35">
        <w:trPr>
          <w:trHeight w:hRule="exact" w:val="56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B75BC" w14:textId="137417DF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 xml:space="preserve">Manufacture of coke and refined petroleum products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B3B9" w14:textId="18703A78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D0C4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2C984639" w14:textId="3BDDEEF1" w:rsidTr="00770B35">
        <w:trPr>
          <w:trHeight w:hRule="exact" w:val="572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9F62E" w14:textId="7AD99B06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 xml:space="preserve">Manufacture of chemicals and chemical products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138A" w14:textId="247FC904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6EE3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14A29BE5" w14:textId="2CBEE46A" w:rsidTr="00770B35">
        <w:trPr>
          <w:trHeight w:hRule="exact" w:val="566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AB64C" w14:textId="3DFAE05A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basic pharmaceutical products and pharmaceutical preparations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313FD" w14:textId="554F538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A34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3176FEE2" w14:textId="63BBC29B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35CE2" w14:textId="5E57915D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rubber and plastic products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F4F3" w14:textId="5F43466A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ACB8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704FE4F9" w14:textId="015FE4B7" w:rsidTr="00770B35">
        <w:trPr>
          <w:trHeight w:hRule="exact" w:val="577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CE4B1" w14:textId="552A8DCE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other non-metallic mineral products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0EA9C" w14:textId="32F14672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FA19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6E1891DE" w14:textId="69E88512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0141A" w14:textId="74AED670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basic metals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2643" w14:textId="6D28598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5EFBD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79B48E92" w14:textId="4E0AE43A" w:rsidTr="00770B35">
        <w:trPr>
          <w:trHeight w:hRule="exact" w:val="548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0EF87" w14:textId="38F52D08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fabricated metal products, except machinery and equipment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C2D6" w14:textId="3FFE9EC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5240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6E7313C3" w14:textId="0F7A182D" w:rsidTr="00770B35">
        <w:trPr>
          <w:trHeight w:hRule="exact" w:val="5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6350" w14:textId="50E237C9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computer, electronic and optical products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B2CC" w14:textId="261D136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E2F4B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7E03FDE1" w14:textId="07692BE3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A225D" w14:textId="6805CE44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electrical equipment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8E26" w14:textId="447D2BBB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55C8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17AACAD1" w14:textId="767CC385" w:rsidTr="00770B35">
        <w:trPr>
          <w:trHeight w:hRule="exact" w:val="567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17C07" w14:textId="05F1828D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 xml:space="preserve">Manufacture of machinery and equipment </w:t>
            </w:r>
            <w:proofErr w:type="spellStart"/>
            <w:r w:rsidRPr="00ED228A">
              <w:rPr>
                <w:lang w:val="en-GB"/>
              </w:rPr>
              <w:t>n.e.c</w:t>
            </w:r>
            <w:proofErr w:type="spellEnd"/>
            <w:r w:rsidRPr="00ED228A">
              <w:rPr>
                <w:lang w:val="en-GB"/>
              </w:rPr>
              <w:t>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D660" w14:textId="1103875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5C2E6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27BB3629" w14:textId="79F2B583" w:rsidTr="00770B35">
        <w:trPr>
          <w:trHeight w:hRule="exact" w:val="561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36096" w14:textId="7165FBFD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motor vehicles, trailers and semi-trailers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D849" w14:textId="4F6AF4DC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A5920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7E6CC456" w14:textId="46AA0840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A8ADF" w14:textId="24093B25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other transport equipment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70C6" w14:textId="55406BDF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B612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04499DC8" w14:textId="439C0B0F" w:rsidTr="00770B35">
        <w:trPr>
          <w:trHeight w:hRule="exact" w:val="57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51E7D" w14:textId="4B0BB16B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Manufacture of furniture; other manufacturing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5C01" w14:textId="23771C96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12720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01DD86B0" w14:textId="2E26C6F3" w:rsidTr="00770B35">
        <w:trPr>
          <w:trHeight w:hRule="exact" w:val="55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6B5A9" w14:textId="58BD056E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Repair and installation of machinery and equipment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C604" w14:textId="2B90606A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B2754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C9298C" w14:paraId="3732B9F4" w14:textId="61108D31" w:rsidTr="00770B35">
        <w:trPr>
          <w:trHeight w:hRule="exact" w:val="576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C10A" w14:textId="4437D063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Electricity, gas, steam and air conditioning supply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D7FB4" w14:textId="1D48F484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D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57C2C" w14:textId="420C4211" w:rsidR="00FA1215" w:rsidRPr="00ED228A" w:rsidRDefault="00FA1215" w:rsidP="00ED228A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Electricity, gas, steam and air conditioning supply</w:t>
            </w:r>
          </w:p>
        </w:tc>
      </w:tr>
      <w:tr w:rsidR="00FA1215" w:rsidRPr="00C9298C" w14:paraId="5F703D2B" w14:textId="147988FE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4A3FA" w14:textId="01F5F1C6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Water collection, treatment and supply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DAAE9" w14:textId="12D92E6B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E</w:t>
            </w:r>
          </w:p>
        </w:tc>
        <w:tc>
          <w:tcPr>
            <w:tcW w:w="2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9260F" w14:textId="722DAC80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lang w:val="en-GB"/>
              </w:rPr>
              <w:t>Water collection, treatment and supply and waste collection</w:t>
            </w:r>
          </w:p>
        </w:tc>
      </w:tr>
      <w:tr w:rsidR="00FA1215" w:rsidRPr="00C9298C" w14:paraId="7AA8886D" w14:textId="4985C040" w:rsidTr="00770B35">
        <w:trPr>
          <w:trHeight w:hRule="exact" w:val="9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39C44" w14:textId="305A1B2E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lastRenderedPageBreak/>
              <w:t xml:space="preserve">Sewerage; waste collection, treatment and disposal activities; materials recovery; remediation activities and other waste management services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56EF5" w14:textId="6C63ED3E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D36E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ED228A" w14:paraId="6D478601" w14:textId="00A146F2" w:rsidTr="00770B35">
        <w:trPr>
          <w:trHeight w:hRule="exact" w:val="284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6C8AA" w14:textId="7F899EE7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lastRenderedPageBreak/>
              <w:t>Construction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373B" w14:textId="2E972A6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F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5667" w14:textId="4E9B9127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Construction</w:t>
            </w:r>
          </w:p>
        </w:tc>
      </w:tr>
    </w:tbl>
    <w:p w14:paraId="525B224D" w14:textId="77777777" w:rsidR="00ED228A" w:rsidRDefault="00ED228A"/>
    <w:tbl>
      <w:tblPr>
        <w:tblW w:w="50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848"/>
        <w:gridCol w:w="3472"/>
      </w:tblGrid>
      <w:tr w:rsidR="007A37AD" w:rsidRPr="00ED228A" w14:paraId="7C8BEACE" w14:textId="77777777" w:rsidTr="00770B35">
        <w:trPr>
          <w:trHeight w:hRule="exact" w:val="348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BD81B7" w14:textId="512DAA20" w:rsidR="007A37AD" w:rsidRPr="007A37AD" w:rsidRDefault="007A37AD" w:rsidP="007A37AD">
            <w:pPr>
              <w:rPr>
                <w:lang w:val="en-GB"/>
              </w:rPr>
            </w:pPr>
            <w:r w:rsidRPr="007A37AD">
              <w:rPr>
                <w:rFonts w:ascii="Calibri" w:hAnsi="Calibri"/>
                <w:b/>
                <w:bCs/>
                <w:lang w:val="en-GB"/>
              </w:rPr>
              <w:t>TSIO (ISIC rev4)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00851" w14:textId="2996FEC5" w:rsidR="007A37AD" w:rsidRPr="007A37AD" w:rsidRDefault="007A37AD" w:rsidP="007A37AD">
            <w:pPr>
              <w:rPr>
                <w:rFonts w:cs="Arial"/>
                <w:bCs/>
                <w:lang w:val="en-GB"/>
              </w:rPr>
            </w:pPr>
            <w:r w:rsidRPr="007A37AD">
              <w:rPr>
                <w:rFonts w:ascii="Calibri" w:hAnsi="Calibri"/>
                <w:b/>
                <w:bCs/>
                <w:lang w:val="en-GB"/>
              </w:rPr>
              <w:t>R-18</w:t>
            </w:r>
          </w:p>
        </w:tc>
      </w:tr>
      <w:tr w:rsidR="00FA1215" w:rsidRPr="00ED228A" w14:paraId="7EF3D404" w14:textId="079E98DF" w:rsidTr="00770B35">
        <w:trPr>
          <w:trHeight w:hRule="exact" w:val="578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CBA90" w14:textId="2A4019B3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Wholesale and retail trade and repair of motor vehicles and motorcycles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D67C" w14:textId="7841714C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G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B4DB8" w14:textId="767E9807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Wholesale and retail trade</w:t>
            </w:r>
          </w:p>
        </w:tc>
      </w:tr>
      <w:tr w:rsidR="00FA1215" w:rsidRPr="00C9298C" w14:paraId="38CDC5E9" w14:textId="4BC17A36" w:rsidTr="00770B35">
        <w:trPr>
          <w:trHeight w:hRule="exact" w:val="587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98CCB" w14:textId="7EF9F512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Wholesale trade, except of motor vehicles and motorcycles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6B71F" w14:textId="1902619D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A58CF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0C79BBB5" w14:textId="68ADEC51" w:rsidTr="00770B35">
        <w:trPr>
          <w:trHeight w:hRule="exact" w:val="566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E5D20" w14:textId="4B938FF6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Retail trade, except of motor vehicles and motorcycles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DA0C" w14:textId="0B678873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C793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295D5ABC" w14:textId="56A83EAC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2CC92" w14:textId="53D0FB0A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Land transport and transport via pipelines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77EA" w14:textId="10EF78C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H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3876" w14:textId="6B4F4D35" w:rsidR="00FA1215" w:rsidRPr="00ED228A" w:rsidRDefault="00FA1215" w:rsidP="00ED228A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Transport</w:t>
            </w:r>
          </w:p>
        </w:tc>
      </w:tr>
      <w:tr w:rsidR="00FA1215" w:rsidRPr="00ED228A" w14:paraId="76AD88A2" w14:textId="3877B087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EB6C9" w14:textId="700043D5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Water transport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B906" w14:textId="503ADE36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0495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2287366D" w14:textId="6208A44A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F93A0" w14:textId="3F8A1359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Air transport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9574B" w14:textId="7D6BA6D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94C3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22E0A4D6" w14:textId="38BEA334" w:rsidTr="00770B35">
        <w:trPr>
          <w:trHeight w:hRule="exact" w:val="558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FAC2B" w14:textId="56B6A9B3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Warehousing and support activities for transportation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A0091" w14:textId="25EB7AAA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7DBBC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2702851B" w14:textId="6B057211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06F2D" w14:textId="6454D78D" w:rsidR="00FA1215" w:rsidRPr="00ED228A" w:rsidRDefault="00FA1215" w:rsidP="00FA1215">
            <w:pPr>
              <w:rPr>
                <w:sz w:val="16"/>
                <w:szCs w:val="16"/>
                <w:lang w:val="en-GB"/>
              </w:rPr>
            </w:pPr>
            <w:r w:rsidRPr="00ED228A">
              <w:rPr>
                <w:lang w:val="en-GB"/>
              </w:rPr>
              <w:t>Postal and courier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80CD0" w14:textId="586B99B4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EDE9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C9298C" w14:paraId="376CD911" w14:textId="57B4E7AC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97BD6" w14:textId="25DE1E3B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Accommodation and food service activities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7FC8A" w14:textId="3D32DE0E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I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9E21" w14:textId="670B2DB8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Accom</w:t>
            </w:r>
            <w:r w:rsidR="002A5BCF">
              <w:rPr>
                <w:rFonts w:cs="Arial"/>
                <w:bCs/>
                <w:lang w:val="en-GB"/>
              </w:rPr>
              <w:t>m</w:t>
            </w:r>
            <w:r w:rsidRPr="00ED228A">
              <w:rPr>
                <w:rFonts w:cs="Arial"/>
                <w:bCs/>
                <w:lang w:val="en-GB"/>
              </w:rPr>
              <w:t>odation and food service activities</w:t>
            </w:r>
          </w:p>
        </w:tc>
      </w:tr>
      <w:tr w:rsidR="00FA1215" w:rsidRPr="00ED228A" w14:paraId="406FF8FC" w14:textId="7B47405C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D04341" w14:textId="553A8763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Publishing activities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5D0C" w14:textId="70511E8B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b/>
                <w:bCs/>
                <w:lang w:val="en-GB"/>
              </w:rPr>
              <w:t>J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D0A98" w14:textId="6B403824" w:rsidR="00FA1215" w:rsidRPr="00ED228A" w:rsidRDefault="00FA1215" w:rsidP="00FA1215">
            <w:pPr>
              <w:rPr>
                <w:bCs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Information and communication</w:t>
            </w:r>
          </w:p>
        </w:tc>
      </w:tr>
      <w:tr w:rsidR="00FA1215" w:rsidRPr="00C9298C" w14:paraId="4AF8323B" w14:textId="130C6F1E" w:rsidTr="00770B35">
        <w:trPr>
          <w:trHeight w:hRule="exact" w:val="989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FBA8D" w14:textId="4168C585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Motion picture, video and television programme production, sound recording and music publishing activities; programming and broadcasting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E83C" w14:textId="00D1C171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F9C27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34F6069F" w14:textId="74E65E3B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BE22B" w14:textId="6B6E5003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Telecommunications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0F01" w14:textId="09F6C227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9E403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0955E914" w14:textId="2A6D1431" w:rsidTr="00770B35">
        <w:trPr>
          <w:trHeight w:hRule="exact" w:val="851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8E2CB" w14:textId="020074FC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Computer programming, consultancy and related activities; information service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0B90" w14:textId="5A830B30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C721E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7C2F8FA7" w14:textId="33A2CC54" w:rsidTr="00770B35">
        <w:trPr>
          <w:trHeight w:hRule="exact" w:val="586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B50D9" w14:textId="66949E9E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Financial service activities, except insurance and pension funding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1A348" w14:textId="1AEFD39D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K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58DC8" w14:textId="32E5D44B" w:rsidR="00FA1215" w:rsidRPr="00ED228A" w:rsidRDefault="00FA1215" w:rsidP="002A5BCF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Financial and insurance activities</w:t>
            </w:r>
          </w:p>
        </w:tc>
      </w:tr>
      <w:tr w:rsidR="00FA1215" w:rsidRPr="00C9298C" w14:paraId="08A6471C" w14:textId="299CEE46" w:rsidTr="00770B35">
        <w:trPr>
          <w:trHeight w:hRule="exact" w:val="566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6FCDE" w14:textId="6E9600A5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Insurance, reinsurance and pension funding, except compulsory social security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46D6" w14:textId="50CFCD69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DCB40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2B0AD176" w14:textId="031B053C" w:rsidTr="00770B35">
        <w:trPr>
          <w:trHeight w:hRule="exact" w:val="560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BD75" w14:textId="0BA3A458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Activities auxiliary to financial services and insurance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6B49" w14:textId="4F080A56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47E01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ED228A" w14:paraId="102B8127" w14:textId="4782B07A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27614" w14:textId="1FE474C0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Real estate activities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FBD7" w14:textId="3DF9E9DC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L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0711" w14:textId="0DDDE20E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Real estate activities</w:t>
            </w:r>
          </w:p>
        </w:tc>
      </w:tr>
      <w:tr w:rsidR="00FA1215" w:rsidRPr="00C9298C" w14:paraId="2997F0BE" w14:textId="045113B6" w:rsidTr="00770B35">
        <w:trPr>
          <w:trHeight w:hRule="exact" w:val="726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66F4F" w14:textId="1A5FA6BF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Legal and accounting activities; activities of head offices; management consultancy activities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ACCB" w14:textId="378D7783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M-N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DC66" w14:textId="71B5C12C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Professional, scientific and technical activities; administrative and support service activities</w:t>
            </w:r>
          </w:p>
        </w:tc>
      </w:tr>
      <w:tr w:rsidR="00FA1215" w:rsidRPr="00C9298C" w14:paraId="251B0F15" w14:textId="52AD0022" w:rsidTr="00770B35">
        <w:trPr>
          <w:trHeight w:hRule="exact" w:val="575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B6A23" w14:textId="628C9B51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Architectural and engineering activities; technical testing and analysis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0FA4A" w14:textId="18C92867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F257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3B2C5B7C" w14:textId="3D5FD337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E504E" w14:textId="472F5987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Scientific research and development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3AD8" w14:textId="781FB1B6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B621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ED228A" w14:paraId="23D69451" w14:textId="6DF5DEF6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E6A68" w14:textId="7E8A677B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Advertising and market research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46344" w14:textId="72F17918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6E71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1E03ADC4" w14:textId="5CD4AE41" w:rsidTr="00770B35">
        <w:trPr>
          <w:trHeight w:hRule="exact" w:val="572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4AE14" w14:textId="1EB0D8EA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Other professional, scientific and technical activities; veterinary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6BA85" w14:textId="34BF6FCD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DF35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FA1215" w:rsidRPr="00C9298C" w14:paraId="5B179D7B" w14:textId="08D8EE2A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DE889" w14:textId="017E4CF9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Administrative and support service activities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C489" w14:textId="2F30DC79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890B" w14:textId="77777777" w:rsidR="00FA1215" w:rsidRPr="00ED228A" w:rsidRDefault="00FA1215" w:rsidP="00FA1215">
            <w:pPr>
              <w:rPr>
                <w:bCs/>
                <w:lang w:val="en-GB"/>
              </w:rPr>
            </w:pPr>
          </w:p>
        </w:tc>
      </w:tr>
      <w:tr w:rsidR="00ED228A" w:rsidRPr="00ED228A" w14:paraId="13DCD5E9" w14:textId="71D71EEB" w:rsidTr="00770B35">
        <w:trPr>
          <w:trHeight w:hRule="exact" w:val="60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16441" w14:textId="655B9644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Public administration and defence; compulsory social security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9ABB" w14:textId="6F4092D5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O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A18DA" w14:textId="72B28887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Public administration, defence</w:t>
            </w:r>
          </w:p>
        </w:tc>
      </w:tr>
      <w:tr w:rsidR="00ED228A" w:rsidRPr="00ED228A" w14:paraId="0C83162D" w14:textId="38284A39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71959" w14:textId="05A0962F" w:rsidR="00FA1215" w:rsidRPr="00ED228A" w:rsidRDefault="00FA1215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Education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17B9" w14:textId="1B4DD9A3" w:rsidR="00FA1215" w:rsidRPr="00ED228A" w:rsidRDefault="00FA1215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P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43D2D" w14:textId="34FBEDA0" w:rsidR="00FA1215" w:rsidRPr="00ED228A" w:rsidRDefault="00FA1215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Education</w:t>
            </w:r>
          </w:p>
        </w:tc>
      </w:tr>
      <w:tr w:rsidR="001F03E7" w:rsidRPr="00ED228A" w14:paraId="4B2C1709" w14:textId="299BEAB3" w:rsidTr="00770B35">
        <w:trPr>
          <w:trHeight w:hRule="exact" w:val="284"/>
        </w:trPr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68328" w14:textId="7CAE4217" w:rsidR="001F03E7" w:rsidRPr="00ED228A" w:rsidRDefault="001F03E7" w:rsidP="00FA1215">
            <w:pPr>
              <w:rPr>
                <w:lang w:val="en-GB"/>
              </w:rPr>
            </w:pPr>
            <w:r w:rsidRPr="00ED228A">
              <w:rPr>
                <w:lang w:val="en-GB"/>
              </w:rPr>
              <w:t>Human health and social work activities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5C213" w14:textId="14A2F731" w:rsidR="001F03E7" w:rsidRPr="00ED228A" w:rsidRDefault="001F03E7" w:rsidP="00ED228A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Q86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9889" w14:textId="55F31C35" w:rsidR="001F03E7" w:rsidRPr="00ED228A" w:rsidRDefault="001F03E7" w:rsidP="00FA1215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Health services</w:t>
            </w:r>
          </w:p>
        </w:tc>
      </w:tr>
      <w:tr w:rsidR="001F03E7" w:rsidRPr="00ED228A" w14:paraId="21E79E2B" w14:textId="77777777" w:rsidTr="00770B35">
        <w:trPr>
          <w:trHeight w:hRule="exact" w:val="284"/>
        </w:trPr>
        <w:tc>
          <w:tcPr>
            <w:tcW w:w="2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592FC" w14:textId="77777777" w:rsidR="001F03E7" w:rsidRPr="00ED228A" w:rsidRDefault="001F03E7" w:rsidP="001F03E7">
            <w:pPr>
              <w:rPr>
                <w:lang w:val="en-GB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D35F" w14:textId="400A10DC" w:rsidR="001F03E7" w:rsidRPr="00ED228A" w:rsidRDefault="001F03E7" w:rsidP="001F03E7">
            <w:pPr>
              <w:jc w:val="center"/>
              <w:rPr>
                <w:rFonts w:cs="Arial"/>
                <w:b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Q87-88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DA6DF" w14:textId="5D3590E7" w:rsidR="001F03E7" w:rsidRPr="00ED228A" w:rsidRDefault="001F03E7" w:rsidP="001F03E7">
            <w:pPr>
              <w:rPr>
                <w:rFonts w:cs="Arial"/>
                <w:bCs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Social work activities</w:t>
            </w:r>
          </w:p>
        </w:tc>
      </w:tr>
      <w:tr w:rsidR="001F03E7" w:rsidRPr="00C9298C" w14:paraId="12941D06" w14:textId="35F3B2DC" w:rsidTr="00770B35">
        <w:trPr>
          <w:trHeight w:hRule="exact" w:val="284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C8C4F" w14:textId="442A7553" w:rsidR="001F03E7" w:rsidRPr="00ED228A" w:rsidRDefault="001F03E7" w:rsidP="001F03E7">
            <w:pPr>
              <w:rPr>
                <w:lang w:val="en-GB"/>
              </w:rPr>
            </w:pPr>
            <w:r w:rsidRPr="00ED228A">
              <w:rPr>
                <w:lang w:val="en-GB"/>
              </w:rPr>
              <w:t>Other service activities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B9A6" w14:textId="64BD2FDA" w:rsidR="001F03E7" w:rsidRPr="00ED228A" w:rsidRDefault="001F03E7" w:rsidP="001F03E7">
            <w:pPr>
              <w:jc w:val="center"/>
              <w:rPr>
                <w:b/>
                <w:bCs/>
                <w:lang w:val="en-GB"/>
              </w:rPr>
            </w:pPr>
            <w:r w:rsidRPr="00ED228A">
              <w:rPr>
                <w:rFonts w:cs="Arial"/>
                <w:b/>
                <w:lang w:val="en-GB"/>
              </w:rPr>
              <w:t>R-U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7BC2" w14:textId="0101A69F" w:rsidR="001F03E7" w:rsidRPr="00ED228A" w:rsidRDefault="001F03E7" w:rsidP="001F03E7">
            <w:pPr>
              <w:rPr>
                <w:rFonts w:cs="Arial"/>
                <w:lang w:val="en-GB"/>
              </w:rPr>
            </w:pPr>
            <w:r w:rsidRPr="00ED228A">
              <w:rPr>
                <w:rFonts w:cs="Arial"/>
                <w:bCs/>
                <w:lang w:val="en-GB"/>
              </w:rPr>
              <w:t>Arts, entertainment and recreation; other service activities; activities of household and extra-territorial organizations and bodies</w:t>
            </w:r>
          </w:p>
        </w:tc>
      </w:tr>
      <w:tr w:rsidR="001F03E7" w:rsidRPr="00C9298C" w14:paraId="7E56C95C" w14:textId="5C95B983" w:rsidTr="00770B35">
        <w:trPr>
          <w:trHeight w:hRule="exact" w:val="453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2A3A7B" w14:textId="0010EAFC" w:rsidR="001F03E7" w:rsidRPr="00ED228A" w:rsidRDefault="001F03E7" w:rsidP="001F03E7">
            <w:pPr>
              <w:rPr>
                <w:lang w:val="en-GB"/>
              </w:rPr>
            </w:pPr>
            <w:r w:rsidRPr="00ED228A">
              <w:rPr>
                <w:lang w:val="en-GB"/>
              </w:rPr>
              <w:t>Activit</w:t>
            </w:r>
            <w:r>
              <w:rPr>
                <w:lang w:val="en-GB"/>
              </w:rPr>
              <w:t>ies of households as employers;</w:t>
            </w: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1B6D" w14:textId="7A0D2123" w:rsidR="001F03E7" w:rsidRPr="00ED228A" w:rsidRDefault="001F03E7" w:rsidP="001F03E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AAFFA" w14:textId="5CC15C60" w:rsidR="001F03E7" w:rsidRPr="00ED228A" w:rsidRDefault="001F03E7" w:rsidP="001F03E7">
            <w:pPr>
              <w:rPr>
                <w:rFonts w:cs="Arial"/>
                <w:lang w:val="en-GB"/>
              </w:rPr>
            </w:pPr>
          </w:p>
        </w:tc>
      </w:tr>
      <w:tr w:rsidR="001F03E7" w:rsidRPr="00C9298C" w14:paraId="1DA57FA2" w14:textId="0A3DFE6A" w:rsidTr="00770B35">
        <w:trPr>
          <w:trHeight w:hRule="exact" w:val="562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7B932" w14:textId="5D28C15B" w:rsidR="001F03E7" w:rsidRPr="00ED228A" w:rsidRDefault="001F03E7" w:rsidP="001F03E7">
            <w:pPr>
              <w:rPr>
                <w:lang w:val="en-GB"/>
              </w:rPr>
            </w:pPr>
            <w:r w:rsidRPr="00ED228A">
              <w:rPr>
                <w:lang w:val="en-GB"/>
              </w:rPr>
              <w:t>Activities of extraterritorial organizations and bodies</w:t>
            </w: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EFC5" w14:textId="44FBF552" w:rsidR="001F03E7" w:rsidRPr="00ED228A" w:rsidRDefault="001F03E7" w:rsidP="001F03E7">
            <w:pPr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DE7" w14:textId="77777777" w:rsidR="001F03E7" w:rsidRPr="00ED228A" w:rsidRDefault="001F03E7" w:rsidP="001F03E7">
            <w:pPr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13795DDF" w14:textId="77777777" w:rsidR="008740A6" w:rsidRDefault="008740A6" w:rsidP="004704A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</w:p>
    <w:p w14:paraId="1C1EE2E0" w14:textId="77777777" w:rsidR="008740A6" w:rsidRDefault="008740A6" w:rsidP="004704A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</w:p>
    <w:p w14:paraId="5A4FCA4B" w14:textId="77777777" w:rsidR="008740A6" w:rsidRPr="00F738ED" w:rsidRDefault="00197D30" w:rsidP="004704A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F738ED">
        <w:rPr>
          <w:rFonts w:ascii="Times New Roman" w:hAnsi="Times New Roman"/>
          <w:b/>
          <w:bCs/>
          <w:sz w:val="24"/>
          <w:szCs w:val="24"/>
          <w:lang w:val="en-GB"/>
        </w:rPr>
        <w:t>Table 2</w:t>
      </w:r>
    </w:p>
    <w:p w14:paraId="4541F5B8" w14:textId="53ABCFD6" w:rsidR="00197D30" w:rsidRDefault="00197D30" w:rsidP="004704AD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Correspondence table from 18 sectors in the model</w:t>
      </w:r>
      <w:r w:rsidR="003C67B1">
        <w:rPr>
          <w:rFonts w:ascii="Times New Roman" w:hAnsi="Times New Roman"/>
          <w:bCs/>
          <w:sz w:val="24"/>
          <w:szCs w:val="24"/>
          <w:lang w:val="en-GB"/>
        </w:rPr>
        <w:t xml:space="preserve"> to COICOP in HBS</w:t>
      </w:r>
      <w:r w:rsidR="008740A6">
        <w:rPr>
          <w:rFonts w:ascii="Times New Roman" w:hAnsi="Times New Roman"/>
          <w:bCs/>
          <w:sz w:val="24"/>
          <w:szCs w:val="24"/>
          <w:lang w:val="en-GB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24"/>
      </w:tblGrid>
      <w:tr w:rsidR="00197D30" w:rsidRPr="00ED228A" w14:paraId="17F2358C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C6F8F" w14:textId="6E3DB8E3" w:rsidR="00197D30" w:rsidRPr="007A37AD" w:rsidRDefault="00197D30" w:rsidP="00FB7B70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R-18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8103" w14:textId="306DB18F" w:rsidR="00197D30" w:rsidRPr="007A37AD" w:rsidRDefault="00197D30" w:rsidP="00FB7B70">
            <w:pPr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COICOP in HBS</w:t>
            </w:r>
          </w:p>
        </w:tc>
      </w:tr>
      <w:tr w:rsidR="00DF0B28" w:rsidRPr="00FB7B70" w14:paraId="651AD20B" w14:textId="77777777" w:rsidTr="009F2246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1BE9" w14:textId="7E2D9F7D" w:rsidR="00DF0B28" w:rsidRPr="00FD6CFC" w:rsidRDefault="00DF0B28" w:rsidP="00CF6E18">
            <w:pPr>
              <w:jc w:val="center"/>
              <w:rPr>
                <w:b/>
                <w:bCs/>
                <w:lang w:val="en-GB"/>
              </w:rPr>
            </w:pPr>
            <w:r w:rsidRPr="00FD6CFC">
              <w:rPr>
                <w:b/>
                <w:bCs/>
                <w:lang w:val="en-GB"/>
              </w:rPr>
              <w:t>A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619" w14:textId="07979C07" w:rsidR="00DF0B28" w:rsidRPr="00FB7B70" w:rsidRDefault="00DF0B28" w:rsidP="00FB7B7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011xx Alimentos</w:t>
            </w:r>
          </w:p>
        </w:tc>
      </w:tr>
      <w:tr w:rsidR="00DF0B28" w:rsidRPr="00FB7B70" w14:paraId="1B4F0181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DEAA" w14:textId="289F328B" w:rsidR="00DF0B28" w:rsidRPr="00FD6CFC" w:rsidRDefault="00DF0B28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475" w14:textId="2DA84FA5" w:rsidR="00DF0B28" w:rsidRPr="00FB7B70" w:rsidRDefault="00DF0B28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 xml:space="preserve">09331 </w:t>
            </w:r>
            <w:proofErr w:type="spellStart"/>
            <w:r w:rsidRPr="00FB7B70">
              <w:rPr>
                <w:bCs/>
                <w:lang w:val="en-GB"/>
              </w:rPr>
              <w:t>Jardinería</w:t>
            </w:r>
            <w:proofErr w:type="spellEnd"/>
            <w:r w:rsidRPr="00FB7B70">
              <w:rPr>
                <w:bCs/>
                <w:lang w:val="en-GB"/>
              </w:rPr>
              <w:t xml:space="preserve"> y </w:t>
            </w:r>
            <w:proofErr w:type="spellStart"/>
            <w:r w:rsidRPr="00FB7B70">
              <w:rPr>
                <w:bCs/>
                <w:lang w:val="en-GB"/>
              </w:rPr>
              <w:t>flores</w:t>
            </w:r>
            <w:proofErr w:type="spellEnd"/>
          </w:p>
        </w:tc>
      </w:tr>
      <w:tr w:rsidR="00DF0B28" w:rsidRPr="00FB7B70" w14:paraId="1AAF0A01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97539" w14:textId="2D043360" w:rsidR="00DF0B28" w:rsidRPr="00FD6CFC" w:rsidRDefault="00DF0B28" w:rsidP="00CF6E18">
            <w:pPr>
              <w:jc w:val="center"/>
              <w:rPr>
                <w:b/>
                <w:bCs/>
                <w:lang w:val="en-GB"/>
              </w:rPr>
            </w:pPr>
            <w:r w:rsidRPr="00FD6CFC">
              <w:rPr>
                <w:b/>
                <w:bCs/>
                <w:lang w:val="en-GB"/>
              </w:rPr>
              <w:t>B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F0DC" w14:textId="49437BB1" w:rsidR="00DF0B28" w:rsidRPr="00FB7B70" w:rsidRDefault="00DF0B28" w:rsidP="00DF0B2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0454x Combustibles </w:t>
            </w:r>
            <w:proofErr w:type="spellStart"/>
            <w:r>
              <w:rPr>
                <w:bCs/>
                <w:lang w:val="en-GB"/>
              </w:rPr>
              <w:t>sólidos</w:t>
            </w:r>
            <w:proofErr w:type="spellEnd"/>
          </w:p>
        </w:tc>
      </w:tr>
      <w:tr w:rsidR="009F2246" w:rsidRPr="00FB7B70" w14:paraId="177C12B7" w14:textId="77777777" w:rsidTr="009F2246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F9949" w14:textId="65E74C5D" w:rsidR="009F2246" w:rsidRPr="00FD6CFC" w:rsidRDefault="009F2246" w:rsidP="00CF6E18">
            <w:pPr>
              <w:jc w:val="center"/>
              <w:rPr>
                <w:b/>
                <w:bCs/>
                <w:lang w:val="en-GB"/>
              </w:rPr>
            </w:pPr>
            <w:r w:rsidRPr="00FD6CFC">
              <w:rPr>
                <w:b/>
                <w:bCs/>
                <w:lang w:val="en-GB"/>
              </w:rPr>
              <w:t>C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65F3" w14:textId="781CBE19" w:rsidR="009F2246" w:rsidRPr="00F738ED" w:rsidRDefault="009F2246" w:rsidP="00621514">
            <w:pPr>
              <w:rPr>
                <w:bCs/>
              </w:rPr>
            </w:pPr>
            <w:r w:rsidRPr="00F738ED">
              <w:rPr>
                <w:bCs/>
              </w:rPr>
              <w:t>011xx Alimentos elaborados y tratados</w:t>
            </w:r>
          </w:p>
        </w:tc>
      </w:tr>
      <w:tr w:rsidR="009F2246" w:rsidRPr="00FB7B70" w14:paraId="5C7CDCBC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C4EF" w14:textId="66FA98E9" w:rsidR="009F2246" w:rsidRPr="00F738ED" w:rsidRDefault="009F2246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EAA6" w14:textId="2CECEB9F" w:rsidR="009F2246" w:rsidRPr="00FB7B70" w:rsidRDefault="009F2246" w:rsidP="00621514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012</w:t>
            </w:r>
            <w:r>
              <w:rPr>
                <w:bCs/>
                <w:lang w:val="en-GB"/>
              </w:rPr>
              <w:t>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Bebidas</w:t>
            </w:r>
            <w:proofErr w:type="spellEnd"/>
            <w:r>
              <w:rPr>
                <w:bCs/>
                <w:lang w:val="en-GB"/>
              </w:rPr>
              <w:t xml:space="preserve"> no </w:t>
            </w:r>
            <w:proofErr w:type="spellStart"/>
            <w:r>
              <w:rPr>
                <w:bCs/>
                <w:lang w:val="en-GB"/>
              </w:rPr>
              <w:t>alcoholicas</w:t>
            </w:r>
            <w:proofErr w:type="spellEnd"/>
          </w:p>
        </w:tc>
      </w:tr>
      <w:tr w:rsidR="009F2246" w:rsidRPr="00FB7B70" w14:paraId="00C51888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D10DB" w14:textId="09154BC1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855E" w14:textId="605C8420" w:rsidR="009F2246" w:rsidRPr="00FB7B70" w:rsidRDefault="009F2246" w:rsidP="00621514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021xx </w:t>
            </w:r>
            <w:proofErr w:type="spellStart"/>
            <w:r>
              <w:rPr>
                <w:bCs/>
                <w:lang w:val="en-GB"/>
              </w:rPr>
              <w:t>Bebidas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alcoholicas</w:t>
            </w:r>
            <w:proofErr w:type="spellEnd"/>
          </w:p>
        </w:tc>
      </w:tr>
      <w:tr w:rsidR="009F2246" w:rsidRPr="00FB7B70" w14:paraId="6C5B068C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C16C" w14:textId="16B1EB66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FF8F" w14:textId="7AE5227F" w:rsidR="009F2246" w:rsidRPr="00FB7B70" w:rsidRDefault="009F2246" w:rsidP="00621514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022xx</w:t>
            </w:r>
            <w:r w:rsidRPr="00FB7B70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Tabaco</w:t>
            </w:r>
          </w:p>
        </w:tc>
      </w:tr>
      <w:tr w:rsidR="009F2246" w:rsidRPr="00FB7B70" w14:paraId="46B43F8B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71919" w14:textId="42A06007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82E" w14:textId="1D2C9915" w:rsidR="009F2246" w:rsidRPr="00FB7B70" w:rsidRDefault="009F2246" w:rsidP="00621514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023xx </w:t>
            </w:r>
            <w:proofErr w:type="spellStart"/>
            <w:r>
              <w:rPr>
                <w:bCs/>
                <w:lang w:val="en-GB"/>
              </w:rPr>
              <w:t>Narcólticos</w:t>
            </w:r>
            <w:proofErr w:type="spellEnd"/>
          </w:p>
        </w:tc>
      </w:tr>
      <w:tr w:rsidR="009F2246" w:rsidRPr="00FB7B70" w14:paraId="204D0CB0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68161" w14:textId="11961101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1D77" w14:textId="1004A45E" w:rsidR="009F2246" w:rsidRPr="00F738ED" w:rsidRDefault="009F2246" w:rsidP="009F2246">
            <w:pPr>
              <w:rPr>
                <w:bCs/>
              </w:rPr>
            </w:pPr>
            <w:r w:rsidRPr="00F738ED">
              <w:rPr>
                <w:bCs/>
              </w:rPr>
              <w:t>031xx Ropa y artículos textiles</w:t>
            </w:r>
          </w:p>
        </w:tc>
      </w:tr>
      <w:tr w:rsidR="009F2246" w:rsidRPr="00FB7B70" w14:paraId="3280FEDA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61F85" w14:textId="20347357" w:rsidR="009F2246" w:rsidRPr="00F738ED" w:rsidRDefault="009F2246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0217" w14:textId="2ACD76B9" w:rsidR="009F2246" w:rsidRPr="00FB7B70" w:rsidRDefault="009F2246" w:rsidP="00700CDF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032xx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Calzado</w:t>
            </w:r>
            <w:proofErr w:type="spellEnd"/>
          </w:p>
        </w:tc>
      </w:tr>
      <w:tr w:rsidR="009F2246" w:rsidRPr="00FB7B70" w14:paraId="4F88B6B4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CA83" w14:textId="0690D55E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CAD9" w14:textId="7CDB201C" w:rsidR="009F2246" w:rsidRPr="00F738ED" w:rsidRDefault="009F2246" w:rsidP="00FB7B70">
            <w:pPr>
              <w:rPr>
                <w:bCs/>
              </w:rPr>
            </w:pPr>
            <w:r w:rsidRPr="00F738ED">
              <w:rPr>
                <w:bCs/>
              </w:rPr>
              <w:t>05xxx Muebles, artículos del hogar y artículos para el mantenimiento corriente del hogar</w:t>
            </w:r>
          </w:p>
        </w:tc>
      </w:tr>
      <w:tr w:rsidR="009F2246" w:rsidRPr="00FB7B70" w14:paraId="617DB3FD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6095B" w14:textId="6002E8A8" w:rsidR="009F2246" w:rsidRPr="00F738ED" w:rsidRDefault="009F2246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CC77" w14:textId="17EF4B7D" w:rsidR="009F2246" w:rsidRPr="00FB7B70" w:rsidRDefault="009F2246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 xml:space="preserve">06113 </w:t>
            </w:r>
            <w:proofErr w:type="spellStart"/>
            <w:r w:rsidRPr="00FB7B70">
              <w:rPr>
                <w:bCs/>
                <w:lang w:val="en-GB"/>
              </w:rPr>
              <w:t>Aparatos</w:t>
            </w:r>
            <w:proofErr w:type="spellEnd"/>
            <w:r w:rsidRPr="00FB7B70">
              <w:rPr>
                <w:bCs/>
                <w:lang w:val="en-GB"/>
              </w:rPr>
              <w:t xml:space="preserve"> y material </w:t>
            </w:r>
            <w:proofErr w:type="spellStart"/>
            <w:r w:rsidRPr="00FB7B70">
              <w:rPr>
                <w:bCs/>
                <w:lang w:val="en-GB"/>
              </w:rPr>
              <w:t>terapéutico</w:t>
            </w:r>
            <w:proofErr w:type="spellEnd"/>
          </w:p>
        </w:tc>
      </w:tr>
      <w:tr w:rsidR="009F2246" w:rsidRPr="00FB7B70" w14:paraId="444DC480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EEB0B" w14:textId="4A7C4DD5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E1AE" w14:textId="4CC3249C" w:rsidR="009F2246" w:rsidRPr="00F738ED" w:rsidRDefault="009F2246" w:rsidP="008204B6">
            <w:pPr>
              <w:rPr>
                <w:bCs/>
              </w:rPr>
            </w:pPr>
            <w:r w:rsidRPr="00F738ED">
              <w:rPr>
                <w:bCs/>
              </w:rPr>
              <w:t>07211 Piezas de repuesto para mantenimiento del hogar</w:t>
            </w:r>
          </w:p>
        </w:tc>
      </w:tr>
      <w:tr w:rsidR="009F2246" w:rsidRPr="00FB7B70" w14:paraId="4B7A8193" w14:textId="1A32B81D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5B63" w14:textId="1377AB13" w:rsidR="009F2246" w:rsidRPr="00F738ED" w:rsidRDefault="009F2246" w:rsidP="00B93AD6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AE8" w14:textId="44B98CDD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08211 Equipos de teléfono y fax</w:t>
            </w:r>
          </w:p>
        </w:tc>
      </w:tr>
      <w:tr w:rsidR="009F2246" w:rsidRPr="00FB7B70" w14:paraId="0265EE7B" w14:textId="1D5DD82C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EF03" w14:textId="77777777" w:rsidR="009F2246" w:rsidRPr="00F738ED" w:rsidRDefault="009F2246" w:rsidP="00B93AD6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A50" w14:textId="50D61018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091xx Equipos y accesorios audiovisuales</w:t>
            </w:r>
          </w:p>
        </w:tc>
      </w:tr>
      <w:tr w:rsidR="009F2246" w:rsidRPr="00FB7B70" w14:paraId="23891C6E" w14:textId="3F344B2D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54E8" w14:textId="77777777" w:rsidR="009F2246" w:rsidRPr="00F738ED" w:rsidRDefault="009F2246" w:rsidP="00B93AD6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ABF" w14:textId="0852F395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092xx Productos para ocio y cultura</w:t>
            </w:r>
          </w:p>
        </w:tc>
      </w:tr>
      <w:tr w:rsidR="009F2246" w:rsidRPr="00FB7B70" w14:paraId="43684ECC" w14:textId="715747B5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CA86" w14:textId="77777777" w:rsidR="009F2246" w:rsidRPr="00F738ED" w:rsidRDefault="009F2246" w:rsidP="00B93AD6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DE1" w14:textId="53C0A5C8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093xx Equipo para deporte, camping y entretenimiento al aire libre</w:t>
            </w:r>
          </w:p>
        </w:tc>
      </w:tr>
      <w:tr w:rsidR="009F2246" w:rsidRPr="00FB7B70" w14:paraId="59B54F64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06614" w14:textId="5BC8432A" w:rsidR="009F2246" w:rsidRPr="00F738ED" w:rsidRDefault="009F2246" w:rsidP="008810F9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DDE3" w14:textId="10449235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095xx Impresos y artículos de papelería</w:t>
            </w:r>
          </w:p>
        </w:tc>
      </w:tr>
      <w:tr w:rsidR="009F2246" w:rsidRPr="00FB7B70" w14:paraId="3C7F13E3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65FF2" w14:textId="67D6EF66" w:rsidR="009F2246" w:rsidRPr="00F738ED" w:rsidRDefault="009F2246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CB9D" w14:textId="3391AC99" w:rsidR="009F2246" w:rsidRPr="00F738ED" w:rsidRDefault="009F2246" w:rsidP="002A70C7">
            <w:pPr>
              <w:rPr>
                <w:bCs/>
              </w:rPr>
            </w:pPr>
            <w:r w:rsidRPr="00F738ED">
              <w:rPr>
                <w:bCs/>
              </w:rPr>
              <w:t>122xx Joyería, bisutería y relojería</w:t>
            </w:r>
          </w:p>
        </w:tc>
      </w:tr>
      <w:tr w:rsidR="009F2246" w:rsidRPr="00FB7B70" w14:paraId="0B7DBA9C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ABABC" w14:textId="7697339C" w:rsidR="009F2246" w:rsidRPr="00FB7B70" w:rsidRDefault="009F2246" w:rsidP="00CF6E18">
            <w:pPr>
              <w:jc w:val="center"/>
              <w:rPr>
                <w:bCs/>
                <w:lang w:val="en-GB"/>
              </w:rPr>
            </w:pPr>
            <w:r w:rsidRPr="00B93AD6">
              <w:rPr>
                <w:b/>
                <w:bCs/>
                <w:lang w:val="en-GB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C53E" w14:textId="24E9F1D1" w:rsidR="009F2246" w:rsidRPr="00F738ED" w:rsidRDefault="009F2246" w:rsidP="00FB7B70">
            <w:pPr>
              <w:rPr>
                <w:bCs/>
              </w:rPr>
            </w:pPr>
            <w:r w:rsidRPr="00F738ED">
              <w:rPr>
                <w:bCs/>
              </w:rPr>
              <w:t>045xx Electricidad, gas y otros combustibles</w:t>
            </w:r>
          </w:p>
        </w:tc>
      </w:tr>
      <w:tr w:rsidR="009F2246" w:rsidRPr="00FB7B70" w14:paraId="721DC680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CB97A" w14:textId="0927B4E8" w:rsidR="009F2246" w:rsidRPr="00B93AD6" w:rsidRDefault="009F2246" w:rsidP="00CF6E18">
            <w:pPr>
              <w:jc w:val="center"/>
              <w:rPr>
                <w:b/>
                <w:bCs/>
                <w:lang w:val="en-GB"/>
              </w:rPr>
            </w:pPr>
            <w:r w:rsidRPr="002A70C7">
              <w:rPr>
                <w:b/>
                <w:bCs/>
                <w:lang w:val="en-GB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701C" w14:textId="5302D492" w:rsidR="009F2246" w:rsidRPr="00F738ED" w:rsidRDefault="009F2246" w:rsidP="00B93AD6">
            <w:pPr>
              <w:rPr>
                <w:bCs/>
              </w:rPr>
            </w:pPr>
            <w:r w:rsidRPr="00F738ED">
              <w:rPr>
                <w:bCs/>
              </w:rPr>
              <w:t>044xx Servicios relacionados con la vivienda</w:t>
            </w:r>
          </w:p>
        </w:tc>
      </w:tr>
      <w:tr w:rsidR="009F2246" w:rsidRPr="00FB7B70" w14:paraId="222265E2" w14:textId="77777777" w:rsidTr="004B4015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4FEBA" w14:textId="0F1EA429" w:rsidR="009F2246" w:rsidRPr="002A70C7" w:rsidRDefault="009F2246" w:rsidP="00CF6E18">
            <w:pPr>
              <w:jc w:val="center"/>
              <w:rPr>
                <w:b/>
                <w:bCs/>
                <w:lang w:val="en-GB"/>
              </w:rPr>
            </w:pPr>
            <w:r w:rsidRPr="002A70C7">
              <w:rPr>
                <w:b/>
                <w:bCs/>
                <w:lang w:val="en-GB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2ADF" w14:textId="1AD7FFA3" w:rsidR="009F2246" w:rsidRPr="00F738ED" w:rsidRDefault="009F2246" w:rsidP="002A70C7">
            <w:pPr>
              <w:rPr>
                <w:bCs/>
              </w:rPr>
            </w:pPr>
            <w:r w:rsidRPr="00F738ED">
              <w:rPr>
                <w:bCs/>
              </w:rPr>
              <w:t>043xx Materiales para el mantenimiento y reparaciones corrientes de la vivienda</w:t>
            </w:r>
          </w:p>
        </w:tc>
      </w:tr>
      <w:tr w:rsidR="004B4015" w:rsidRPr="00FB7B70" w14:paraId="2CB854A4" w14:textId="77777777" w:rsidTr="004B401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B63C6" w14:textId="1AB69811" w:rsidR="004B4015" w:rsidRPr="002A70C7" w:rsidRDefault="004B4015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6025" w14:textId="12F2E90C" w:rsidR="004B4015" w:rsidRPr="00F738ED" w:rsidRDefault="004B4015" w:rsidP="002A70C7">
            <w:pPr>
              <w:rPr>
                <w:bCs/>
              </w:rPr>
            </w:pPr>
            <w:r w:rsidRPr="00F738ED">
              <w:rPr>
                <w:bCs/>
              </w:rPr>
              <w:t>031xx Reparación de ropa y textiles</w:t>
            </w:r>
          </w:p>
        </w:tc>
      </w:tr>
      <w:tr w:rsidR="004B4015" w:rsidRPr="00FB7B70" w14:paraId="4A5B0F93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3F251" w14:textId="4A9A5322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E5FD" w14:textId="24D7EE1B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032xx Reparación y alquiler de calzado</w:t>
            </w:r>
          </w:p>
        </w:tc>
      </w:tr>
      <w:tr w:rsidR="004B4015" w:rsidRPr="00FB7B70" w14:paraId="30222BF1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14D20" w14:textId="01F29D73" w:rsidR="004B4015" w:rsidRPr="00F738ED" w:rsidRDefault="004B4015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8C7B" w14:textId="583CB261" w:rsidR="004B4015" w:rsidRPr="00FB7B70" w:rsidRDefault="004B4015" w:rsidP="00FB7B7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071xx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Vehículos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nuevos</w:t>
            </w:r>
            <w:proofErr w:type="spellEnd"/>
          </w:p>
        </w:tc>
      </w:tr>
      <w:tr w:rsidR="004B4015" w:rsidRPr="00FB7B70" w14:paraId="78E27A12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C8DB3" w14:textId="538F0703" w:rsidR="004B4015" w:rsidRPr="008810F9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DB00" w14:textId="69E90862" w:rsidR="004B4015" w:rsidRPr="00FB7B70" w:rsidRDefault="004B4015" w:rsidP="002A70C7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 xml:space="preserve">07221 </w:t>
            </w:r>
            <w:proofErr w:type="spellStart"/>
            <w:r w:rsidRPr="00FB7B70">
              <w:rPr>
                <w:bCs/>
                <w:lang w:val="en-GB"/>
              </w:rPr>
              <w:t>Carburantes</w:t>
            </w:r>
            <w:proofErr w:type="spellEnd"/>
            <w:r w:rsidRPr="00FB7B70">
              <w:rPr>
                <w:bCs/>
                <w:lang w:val="en-GB"/>
              </w:rPr>
              <w:t xml:space="preserve"> y </w:t>
            </w:r>
            <w:proofErr w:type="spellStart"/>
            <w:r w:rsidRPr="00FB7B70">
              <w:rPr>
                <w:bCs/>
                <w:lang w:val="en-GB"/>
              </w:rPr>
              <w:t>lubricantes</w:t>
            </w:r>
            <w:proofErr w:type="spellEnd"/>
          </w:p>
        </w:tc>
      </w:tr>
      <w:tr w:rsidR="004B4015" w:rsidRPr="00FB7B70" w14:paraId="08464E70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1F409" w14:textId="5762E975" w:rsidR="004B4015" w:rsidRPr="00FB7B70" w:rsidRDefault="004B4015" w:rsidP="00CF6E1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BB88" w14:textId="3958DF6D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072xx Mantenimiento y reparaciones de vehículos</w:t>
            </w:r>
          </w:p>
        </w:tc>
      </w:tr>
      <w:tr w:rsidR="004B4015" w:rsidRPr="00FB7B70" w14:paraId="4F7598C4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BE619" w14:textId="776D07EC" w:rsidR="004B4015" w:rsidRPr="00F738ED" w:rsidRDefault="004B4015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0487" w14:textId="4B69E366" w:rsidR="004B4015" w:rsidRPr="00F738ED" w:rsidRDefault="004B4015" w:rsidP="002A70C7">
            <w:pPr>
              <w:rPr>
                <w:bCs/>
              </w:rPr>
            </w:pPr>
            <w:r w:rsidRPr="00F738ED">
              <w:rPr>
                <w:bCs/>
              </w:rPr>
              <w:t xml:space="preserve">09151 Reparación de equipos y accesorios audiovisuales, </w:t>
            </w:r>
          </w:p>
        </w:tc>
      </w:tr>
      <w:tr w:rsidR="004B4015" w:rsidRPr="00FB7B70" w14:paraId="4A284D0A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27C6E" w14:textId="052834D7" w:rsidR="004B4015" w:rsidRPr="00F738ED" w:rsidRDefault="004B4015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7102" w14:textId="5FDA871F" w:rsidR="004B4015" w:rsidRPr="00F738ED" w:rsidRDefault="004B4015" w:rsidP="002A70C7">
            <w:pPr>
              <w:rPr>
                <w:bCs/>
              </w:rPr>
            </w:pPr>
            <w:r w:rsidRPr="00F738ED">
              <w:rPr>
                <w:bCs/>
              </w:rPr>
              <w:t>09231 Mantenimiento y reparación de grandes equipos</w:t>
            </w:r>
          </w:p>
        </w:tc>
      </w:tr>
      <w:tr w:rsidR="004B4015" w:rsidRPr="00FB7B70" w14:paraId="5F1D0A5F" w14:textId="77777777" w:rsidTr="004B401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06761" w14:textId="029795E7" w:rsidR="004B4015" w:rsidRPr="004B4015" w:rsidRDefault="004B4015" w:rsidP="00CF6E18">
            <w:pPr>
              <w:jc w:val="center"/>
              <w:rPr>
                <w:b/>
                <w:bCs/>
                <w:lang w:val="en-GB"/>
              </w:rPr>
            </w:pPr>
            <w:r w:rsidRPr="004B4015">
              <w:rPr>
                <w:b/>
                <w:bCs/>
                <w:lang w:val="en-GB"/>
              </w:rPr>
              <w:t>H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98D" w14:textId="6C118D61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073</w:t>
            </w:r>
            <w:r>
              <w:rPr>
                <w:bCs/>
                <w:lang w:val="en-GB"/>
              </w:rPr>
              <w:t>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Servicios</w:t>
            </w:r>
            <w:proofErr w:type="spellEnd"/>
            <w:r>
              <w:rPr>
                <w:bCs/>
                <w:lang w:val="en-GB"/>
              </w:rPr>
              <w:t xml:space="preserve"> de </w:t>
            </w:r>
            <w:proofErr w:type="spellStart"/>
            <w:r>
              <w:rPr>
                <w:bCs/>
                <w:lang w:val="en-GB"/>
              </w:rPr>
              <w:t>t</w:t>
            </w:r>
            <w:r w:rsidRPr="00FB7B70">
              <w:rPr>
                <w:bCs/>
                <w:lang w:val="en-GB"/>
              </w:rPr>
              <w:t>r</w:t>
            </w:r>
            <w:r>
              <w:rPr>
                <w:bCs/>
                <w:lang w:val="en-GB"/>
              </w:rPr>
              <w:t>ansporte</w:t>
            </w:r>
            <w:proofErr w:type="spellEnd"/>
          </w:p>
        </w:tc>
      </w:tr>
      <w:tr w:rsidR="004B4015" w:rsidRPr="00FB7B70" w14:paraId="6341E235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3C889" w14:textId="64C05A62" w:rsidR="004B4015" w:rsidRPr="002A70C7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15E6" w14:textId="0C77B940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08111 Servicios postales y de mensajería</w:t>
            </w:r>
          </w:p>
        </w:tc>
      </w:tr>
      <w:tr w:rsidR="004B4015" w:rsidRPr="00FB7B70" w14:paraId="08B133DB" w14:textId="77777777" w:rsidTr="004B401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FFA4C" w14:textId="0C425EB1" w:rsidR="004B4015" w:rsidRPr="004B4015" w:rsidRDefault="004B4015" w:rsidP="00CF6E18">
            <w:pPr>
              <w:jc w:val="center"/>
              <w:rPr>
                <w:b/>
                <w:bCs/>
                <w:lang w:val="en-GB"/>
              </w:rPr>
            </w:pPr>
            <w:r w:rsidRPr="004B4015">
              <w:rPr>
                <w:b/>
                <w:bCs/>
                <w:lang w:val="en-GB"/>
              </w:rPr>
              <w:t>I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16CB" w14:textId="00DAD149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111</w:t>
            </w:r>
            <w:r>
              <w:rPr>
                <w:bCs/>
                <w:lang w:val="en-GB"/>
              </w:rPr>
              <w:t>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Restauración</w:t>
            </w:r>
            <w:proofErr w:type="spellEnd"/>
            <w:r>
              <w:rPr>
                <w:bCs/>
                <w:lang w:val="en-GB"/>
              </w:rPr>
              <w:t xml:space="preserve"> y </w:t>
            </w:r>
            <w:proofErr w:type="spellStart"/>
            <w:r>
              <w:rPr>
                <w:bCs/>
                <w:lang w:val="en-GB"/>
              </w:rPr>
              <w:t>comedores</w:t>
            </w:r>
            <w:proofErr w:type="spellEnd"/>
          </w:p>
        </w:tc>
      </w:tr>
      <w:tr w:rsidR="004B4015" w:rsidRPr="00FB7B70" w14:paraId="0678F2F4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EFE53" w14:textId="081D3D2B" w:rsidR="004B4015" w:rsidRPr="002A70C7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7E9B" w14:textId="1AB1E859" w:rsidR="004B4015" w:rsidRPr="00FB7B70" w:rsidRDefault="004B4015" w:rsidP="00FB7B7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112xx </w:t>
            </w:r>
            <w:proofErr w:type="spellStart"/>
            <w:r>
              <w:rPr>
                <w:bCs/>
                <w:lang w:val="en-GB"/>
              </w:rPr>
              <w:t>Servicios</w:t>
            </w:r>
            <w:proofErr w:type="spellEnd"/>
            <w:r>
              <w:rPr>
                <w:bCs/>
                <w:lang w:val="en-GB"/>
              </w:rPr>
              <w:t xml:space="preserve"> de </w:t>
            </w:r>
            <w:proofErr w:type="spellStart"/>
            <w:r>
              <w:rPr>
                <w:bCs/>
                <w:lang w:val="en-GB"/>
              </w:rPr>
              <w:t>alojamiento</w:t>
            </w:r>
            <w:proofErr w:type="spellEnd"/>
          </w:p>
        </w:tc>
      </w:tr>
      <w:tr w:rsidR="001E06A9" w:rsidRPr="00FB7B70" w14:paraId="1681B53E" w14:textId="77777777" w:rsidTr="004B4015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2AD1" w14:textId="69375BE1" w:rsidR="001E06A9" w:rsidRPr="004B4015" w:rsidRDefault="004B4015" w:rsidP="00CF6E18">
            <w:pPr>
              <w:jc w:val="center"/>
              <w:rPr>
                <w:b/>
                <w:bCs/>
                <w:lang w:val="en-GB"/>
              </w:rPr>
            </w:pPr>
            <w:r w:rsidRPr="004B4015">
              <w:rPr>
                <w:b/>
                <w:bCs/>
                <w:lang w:val="en-GB"/>
              </w:rPr>
              <w:t>J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8C43" w14:textId="5E620573" w:rsidR="001E06A9" w:rsidRPr="00F738ED" w:rsidRDefault="001E06A9" w:rsidP="00FB7B70">
            <w:pPr>
              <w:rPr>
                <w:bCs/>
              </w:rPr>
            </w:pPr>
            <w:r w:rsidRPr="00F738ED">
              <w:rPr>
                <w:bCs/>
              </w:rPr>
              <w:t>083xx Servicios de telefonía y fax</w:t>
            </w:r>
          </w:p>
        </w:tc>
      </w:tr>
      <w:tr w:rsidR="004B4015" w:rsidRPr="00FB7B70" w14:paraId="513E2EE5" w14:textId="77777777" w:rsidTr="004B401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2C945" w14:textId="1E7F0E9F" w:rsidR="004B4015" w:rsidRPr="002A70C7" w:rsidRDefault="004B4015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02F5" w14:textId="27220ABC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124</w:t>
            </w:r>
            <w:r>
              <w:rPr>
                <w:bCs/>
                <w:lang w:val="en-GB"/>
              </w:rPr>
              <w:t xml:space="preserve">xx </w:t>
            </w:r>
            <w:proofErr w:type="spellStart"/>
            <w:r>
              <w:rPr>
                <w:bCs/>
                <w:lang w:val="en-GB"/>
              </w:rPr>
              <w:t>Seguros</w:t>
            </w:r>
            <w:proofErr w:type="spellEnd"/>
          </w:p>
        </w:tc>
      </w:tr>
      <w:tr w:rsidR="004B4015" w:rsidRPr="00FB7B70" w14:paraId="18B49631" w14:textId="77777777" w:rsidTr="004B401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9E261" w14:textId="36A8BD13" w:rsidR="004B4015" w:rsidRPr="008810F9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7F3F" w14:textId="42124BCE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 xml:space="preserve">12511 </w:t>
            </w:r>
            <w:proofErr w:type="spellStart"/>
            <w:r w:rsidRPr="00FB7B70">
              <w:rPr>
                <w:bCs/>
                <w:lang w:val="en-GB"/>
              </w:rPr>
              <w:t>Servicios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financi</w:t>
            </w:r>
            <w:r w:rsidR="005228EB">
              <w:rPr>
                <w:bCs/>
                <w:lang w:val="en-GB"/>
              </w:rPr>
              <w:t>eros</w:t>
            </w:r>
            <w:proofErr w:type="spellEnd"/>
          </w:p>
        </w:tc>
      </w:tr>
      <w:tr w:rsidR="004B4015" w:rsidRPr="00FB7B70" w14:paraId="52FA479E" w14:textId="77777777" w:rsidTr="004B401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2847B" w14:textId="70C40180" w:rsidR="004B4015" w:rsidRPr="008810F9" w:rsidRDefault="004B4015" w:rsidP="001E06A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42BF" w14:textId="755BB7D1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041</w:t>
            </w:r>
            <w:r>
              <w:rPr>
                <w:bCs/>
                <w:lang w:val="en-GB"/>
              </w:rPr>
              <w:t xml:space="preserve">xx </w:t>
            </w:r>
            <w:proofErr w:type="spellStart"/>
            <w:r>
              <w:rPr>
                <w:bCs/>
                <w:lang w:val="en-GB"/>
              </w:rPr>
              <w:t>Alquileres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reales</w:t>
            </w:r>
            <w:proofErr w:type="spellEnd"/>
          </w:p>
        </w:tc>
      </w:tr>
      <w:tr w:rsidR="004B4015" w:rsidRPr="00FB7B70" w14:paraId="506675B9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A5502" w14:textId="4A3F12E0" w:rsidR="004B4015" w:rsidRPr="008810F9" w:rsidRDefault="004B4015" w:rsidP="001E06A9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1B0C" w14:textId="6E592C11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042</w:t>
            </w:r>
            <w:r>
              <w:rPr>
                <w:bCs/>
                <w:lang w:val="en-GB"/>
              </w:rPr>
              <w:t>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Alquileres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imputados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</w:p>
        </w:tc>
      </w:tr>
      <w:tr w:rsidR="004B4015" w:rsidRPr="00FB7B70" w14:paraId="07DC8F05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F164C" w14:textId="2B011606" w:rsidR="004B4015" w:rsidRPr="008810F9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1E28" w14:textId="0914C4ED" w:rsidR="004B4015" w:rsidRPr="00FB7B70" w:rsidRDefault="004B4015" w:rsidP="00FB7B7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044xx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Gastos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comunitarios</w:t>
            </w:r>
            <w:proofErr w:type="spellEnd"/>
          </w:p>
        </w:tc>
      </w:tr>
      <w:tr w:rsidR="004B4015" w:rsidRPr="00FB7B70" w14:paraId="2A1E2B4F" w14:textId="77777777" w:rsidTr="009F2246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765EB" w14:textId="2E466B5F" w:rsidR="004B4015" w:rsidRPr="008810F9" w:rsidRDefault="004B4015" w:rsidP="001E06A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M-N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D91" w14:textId="30E57122" w:rsidR="004B4015" w:rsidRPr="00F738ED" w:rsidRDefault="004B4015" w:rsidP="00471960">
            <w:pPr>
              <w:rPr>
                <w:bCs/>
              </w:rPr>
            </w:pPr>
            <w:r w:rsidRPr="00F738ED">
              <w:rPr>
                <w:bCs/>
              </w:rPr>
              <w:t xml:space="preserve">07243 Servicios relativos a los vehículos personales </w:t>
            </w:r>
          </w:p>
        </w:tc>
      </w:tr>
      <w:tr w:rsidR="004B4015" w:rsidRPr="00FB7B70" w14:paraId="0B2F6DE9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0420D" w14:textId="124CFB03" w:rsidR="004B4015" w:rsidRPr="00F738ED" w:rsidRDefault="004B4015" w:rsidP="001E06A9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CA16" w14:textId="331A8F46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09424 Alquiler de televisión y videos</w:t>
            </w:r>
          </w:p>
        </w:tc>
      </w:tr>
      <w:tr w:rsidR="004B4015" w:rsidRPr="00FB7B70" w14:paraId="2BA3E49B" w14:textId="77777777" w:rsidTr="009F2246">
        <w:trPr>
          <w:trHeight w:val="300"/>
        </w:trPr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834CC" w14:textId="478E51E4" w:rsidR="004B4015" w:rsidRPr="00F738ED" w:rsidRDefault="004B4015" w:rsidP="00CF6E18">
            <w:pPr>
              <w:jc w:val="center"/>
              <w:rPr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55F2" w14:textId="56815BCB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12611 Servicios de abogados, notarios, servicios funerarios, de reprografía, mecanografía, etc.</w:t>
            </w:r>
          </w:p>
        </w:tc>
      </w:tr>
    </w:tbl>
    <w:p w14:paraId="6D31E39D" w14:textId="77777777" w:rsidR="00471960" w:rsidRDefault="00471960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24"/>
      </w:tblGrid>
      <w:tr w:rsidR="00716280" w:rsidRPr="00FB7B70" w14:paraId="591A6382" w14:textId="77777777" w:rsidTr="00716280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440EA9" w14:textId="1D6D2011" w:rsidR="00716280" w:rsidRPr="009F2246" w:rsidRDefault="00716280" w:rsidP="00716280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R-18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31FDF" w14:textId="7E740111" w:rsidR="00716280" w:rsidRPr="00FB7B70" w:rsidRDefault="00716280" w:rsidP="00716280">
            <w:pPr>
              <w:rPr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COICOP in HBS</w:t>
            </w:r>
          </w:p>
        </w:tc>
      </w:tr>
      <w:tr w:rsidR="009F2246" w:rsidRPr="00FB7B70" w14:paraId="5571A69A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5D0EB" w14:textId="3BAB6EBC" w:rsidR="009F2246" w:rsidRPr="008810F9" w:rsidRDefault="009F2246" w:rsidP="002A70C7">
            <w:pPr>
              <w:jc w:val="center"/>
              <w:rPr>
                <w:b/>
                <w:bCs/>
                <w:lang w:val="en-GB"/>
              </w:rPr>
            </w:pPr>
            <w:r w:rsidRPr="009F2246">
              <w:rPr>
                <w:b/>
                <w:bCs/>
                <w:lang w:val="en-GB"/>
              </w:rPr>
              <w:t>O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392" w14:textId="0CB5107E" w:rsidR="009F2246" w:rsidRPr="00F738ED" w:rsidRDefault="009F2246" w:rsidP="00FB7B70">
            <w:pPr>
              <w:rPr>
                <w:bCs/>
              </w:rPr>
            </w:pPr>
            <w:r w:rsidRPr="00F738ED">
              <w:rPr>
                <w:bCs/>
              </w:rPr>
              <w:t>05622 Pagos a la Seguridad Social del servicio doméstico</w:t>
            </w:r>
          </w:p>
        </w:tc>
      </w:tr>
      <w:tr w:rsidR="009F2246" w:rsidRPr="00FB7B70" w14:paraId="08CEC331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1557D" w14:textId="3D4252F0" w:rsidR="009F2246" w:rsidRPr="009F2246" w:rsidRDefault="009F2246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356" w14:textId="798020CC" w:rsidR="009F2246" w:rsidRPr="00FB7B70" w:rsidRDefault="009F2246" w:rsidP="00FB7B7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10xxx </w:t>
            </w:r>
            <w:proofErr w:type="spellStart"/>
            <w:r>
              <w:rPr>
                <w:bCs/>
                <w:lang w:val="en-GB"/>
              </w:rPr>
              <w:t>Educación</w:t>
            </w:r>
            <w:proofErr w:type="spellEnd"/>
          </w:p>
        </w:tc>
      </w:tr>
      <w:tr w:rsidR="009F2246" w:rsidRPr="00FB7B70" w14:paraId="75D98F25" w14:textId="77777777" w:rsidTr="009F2246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2E412" w14:textId="4CF4CE47" w:rsidR="009F2246" w:rsidRPr="009F2246" w:rsidRDefault="009F2246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Q86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8C5C" w14:textId="498A1F65" w:rsidR="009F2246" w:rsidRPr="00FB7B70" w:rsidRDefault="009F2246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06</w:t>
            </w:r>
            <w:r>
              <w:rPr>
                <w:bCs/>
                <w:lang w:val="en-GB"/>
              </w:rPr>
              <w:t>xxx</w:t>
            </w:r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Sanidad</w:t>
            </w:r>
            <w:proofErr w:type="spellEnd"/>
          </w:p>
        </w:tc>
      </w:tr>
      <w:tr w:rsidR="009F2246" w:rsidRPr="00FB7B70" w14:paraId="408DC4A8" w14:textId="77777777" w:rsidTr="00D551B5">
        <w:trPr>
          <w:trHeight w:val="30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563AC" w14:textId="7259BDF7" w:rsidR="009F2246" w:rsidRPr="009F2246" w:rsidRDefault="009F2246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Q87-88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8040" w14:textId="72289CE3" w:rsidR="009F2246" w:rsidRPr="00F738ED" w:rsidRDefault="009F2246" w:rsidP="00FB7B70">
            <w:pPr>
              <w:rPr>
                <w:bCs/>
              </w:rPr>
            </w:pPr>
            <w:r w:rsidRPr="00F738ED">
              <w:rPr>
                <w:bCs/>
              </w:rPr>
              <w:t>123xx Servicios de protección social</w:t>
            </w:r>
          </w:p>
        </w:tc>
      </w:tr>
      <w:tr w:rsidR="004B4015" w:rsidRPr="00FB7B70" w14:paraId="237C20D0" w14:textId="77777777" w:rsidTr="00D551B5">
        <w:trPr>
          <w:trHeight w:val="30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3DB8" w14:textId="4A6B031A" w:rsidR="004B4015" w:rsidRPr="009F2246" w:rsidRDefault="004B4015" w:rsidP="00CF6E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R-U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89C5" w14:textId="6205E17F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0444x Servicios relativos a la comunidad de la vivienda</w:t>
            </w:r>
          </w:p>
        </w:tc>
      </w:tr>
      <w:tr w:rsidR="004B4015" w:rsidRPr="00FB7B70" w14:paraId="477427F9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81A9" w14:textId="2E6E81ED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0FC7" w14:textId="5DD94F23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05xxx Servicio de reparación de aparatos y accesorios del hogar</w:t>
            </w:r>
          </w:p>
        </w:tc>
      </w:tr>
      <w:tr w:rsidR="004B4015" w:rsidRPr="00FB7B70" w14:paraId="39F75F31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5DC3" w14:textId="575E0272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E7AA" w14:textId="333C1578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056xx Servicio doméstico y otros servicios para la vivienda</w:t>
            </w:r>
          </w:p>
        </w:tc>
      </w:tr>
      <w:tr w:rsidR="004B4015" w:rsidRPr="00FB7B70" w14:paraId="7FB044CA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ACFF" w14:textId="70A7E40F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9670" w14:textId="4A264BCA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0724x Servicio de aparcamiento y peajes</w:t>
            </w:r>
          </w:p>
        </w:tc>
      </w:tr>
      <w:tr w:rsidR="004B4015" w:rsidRPr="00FB7B70" w14:paraId="3BDD4223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EE33" w14:textId="40019AD7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4E7" w14:textId="51D24D80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094xx Servicios recreativos, culturales y deportivos</w:t>
            </w:r>
          </w:p>
        </w:tc>
      </w:tr>
      <w:tr w:rsidR="004B4015" w:rsidRPr="00FB7B70" w14:paraId="3AD94A76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9A" w14:textId="75966CE7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DC46" w14:textId="2C31A947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>095</w:t>
            </w:r>
            <w:r>
              <w:rPr>
                <w:bCs/>
                <w:lang w:val="en-GB"/>
              </w:rPr>
              <w:t xml:space="preserve">xx </w:t>
            </w:r>
            <w:proofErr w:type="spellStart"/>
            <w:r>
              <w:rPr>
                <w:bCs/>
                <w:lang w:val="en-GB"/>
              </w:rPr>
              <w:t>Libros</w:t>
            </w:r>
            <w:proofErr w:type="spellEnd"/>
            <w:r>
              <w:rPr>
                <w:bCs/>
                <w:lang w:val="en-GB"/>
              </w:rPr>
              <w:t xml:space="preserve"> y </w:t>
            </w:r>
            <w:proofErr w:type="spellStart"/>
            <w:r>
              <w:rPr>
                <w:bCs/>
                <w:lang w:val="en-GB"/>
              </w:rPr>
              <w:t>prensa</w:t>
            </w:r>
            <w:proofErr w:type="spellEnd"/>
          </w:p>
        </w:tc>
      </w:tr>
      <w:tr w:rsidR="004B4015" w:rsidRPr="00FB7B70" w14:paraId="2376876A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7353" w14:textId="3B079BB4" w:rsidR="004B4015" w:rsidRPr="009F2246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048D" w14:textId="604691D2" w:rsidR="004B4015" w:rsidRPr="00FB7B70" w:rsidRDefault="004B4015" w:rsidP="00FB7B70">
            <w:pPr>
              <w:rPr>
                <w:bCs/>
                <w:lang w:val="en-GB"/>
              </w:rPr>
            </w:pPr>
            <w:r w:rsidRPr="00FB7B70">
              <w:rPr>
                <w:bCs/>
                <w:lang w:val="en-GB"/>
              </w:rPr>
              <w:t xml:space="preserve">09611 </w:t>
            </w:r>
            <w:proofErr w:type="spellStart"/>
            <w:r w:rsidRPr="00FB7B70">
              <w:rPr>
                <w:bCs/>
                <w:lang w:val="en-GB"/>
              </w:rPr>
              <w:t>Vacaciones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todo</w:t>
            </w:r>
            <w:proofErr w:type="spellEnd"/>
            <w:r w:rsidRPr="00FB7B70">
              <w:rPr>
                <w:bCs/>
                <w:lang w:val="en-GB"/>
              </w:rPr>
              <w:t xml:space="preserve"> </w:t>
            </w:r>
            <w:proofErr w:type="spellStart"/>
            <w:r w:rsidRPr="00FB7B70">
              <w:rPr>
                <w:bCs/>
                <w:lang w:val="en-GB"/>
              </w:rPr>
              <w:t>incluido</w:t>
            </w:r>
            <w:proofErr w:type="spellEnd"/>
          </w:p>
        </w:tc>
      </w:tr>
      <w:tr w:rsidR="004B4015" w:rsidRPr="00FB7B70" w14:paraId="0853B8D1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C075" w14:textId="78539647" w:rsidR="004B4015" w:rsidRPr="009F2246" w:rsidRDefault="004B4015" w:rsidP="00CF6E1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FEE7" w14:textId="6DB567B1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121xx Peluquería y estética personal</w:t>
            </w:r>
          </w:p>
        </w:tc>
      </w:tr>
      <w:tr w:rsidR="004B4015" w:rsidRPr="00FB7B70" w14:paraId="1148D303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D5B0" w14:textId="71C10704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776A" w14:textId="3EF87DB3" w:rsidR="004B4015" w:rsidRPr="00F738ED" w:rsidRDefault="004B4015" w:rsidP="000A4AB9">
            <w:pPr>
              <w:rPr>
                <w:bCs/>
              </w:rPr>
            </w:pPr>
            <w:r w:rsidRPr="00F738ED">
              <w:rPr>
                <w:bCs/>
              </w:rPr>
              <w:t>12612 Tasas por emisión de documentos oficiales y costas judiciales</w:t>
            </w:r>
          </w:p>
        </w:tc>
      </w:tr>
      <w:tr w:rsidR="004B4015" w:rsidRPr="00FB7B70" w14:paraId="789EA5FE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C1BA" w14:textId="57DB9207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D9C8" w14:textId="01EAB533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12711 Dinero de bolsillo a menores residentes en el hogar</w:t>
            </w:r>
          </w:p>
        </w:tc>
      </w:tr>
      <w:tr w:rsidR="004B4015" w:rsidRPr="00FB7B70" w14:paraId="63DE34D7" w14:textId="77777777" w:rsidTr="00D551B5">
        <w:trPr>
          <w:trHeight w:val="300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0764" w14:textId="101D6897" w:rsidR="004B4015" w:rsidRPr="00F738ED" w:rsidRDefault="004B4015" w:rsidP="00CF6E18">
            <w:pPr>
              <w:jc w:val="center"/>
              <w:rPr>
                <w:b/>
                <w:bCs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CEE" w14:textId="4947BA19" w:rsidR="004B4015" w:rsidRPr="00F738ED" w:rsidRDefault="004B4015" w:rsidP="00FB7B70">
            <w:pPr>
              <w:rPr>
                <w:bCs/>
              </w:rPr>
            </w:pPr>
            <w:r w:rsidRPr="00F738ED">
              <w:rPr>
                <w:bCs/>
              </w:rPr>
              <w:t>12811 Remesas a miembros del hogar no residentes en la vivienda</w:t>
            </w:r>
          </w:p>
        </w:tc>
      </w:tr>
    </w:tbl>
    <w:p w14:paraId="55FBED5A" w14:textId="77777777" w:rsidR="006A1ECB" w:rsidRPr="00F738ED" w:rsidRDefault="006A1ECB" w:rsidP="00197D3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489B2A68" w14:textId="77777777" w:rsidR="0011623E" w:rsidRPr="00E72DCD" w:rsidRDefault="0011623E" w:rsidP="0011623E">
      <w:pPr>
        <w:pStyle w:val="ListParagraph"/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en-GB"/>
        </w:rPr>
      </w:pPr>
      <w:r w:rsidRPr="00E72DCD">
        <w:rPr>
          <w:rFonts w:ascii="Times New Roman" w:hAnsi="Times New Roman"/>
          <w:b/>
          <w:sz w:val="24"/>
          <w:szCs w:val="24"/>
          <w:lang w:val="en-GB"/>
        </w:rPr>
        <w:t>References</w:t>
      </w:r>
    </w:p>
    <w:p w14:paraId="0FD13401" w14:textId="23D82CCA" w:rsidR="003C51A2" w:rsidRPr="00A402C2" w:rsidRDefault="00946219" w:rsidP="0011623E">
      <w:pPr>
        <w:pStyle w:val="EndNoteBibliography"/>
        <w:spacing w:after="240"/>
        <w:ind w:left="340" w:hanging="340"/>
        <w:rPr>
          <w:rFonts w:ascii="Times New Roman" w:hAnsi="Times New Roman"/>
          <w:sz w:val="24"/>
          <w:szCs w:val="24"/>
        </w:rPr>
      </w:pPr>
      <w:r w:rsidRPr="00A402C2">
        <w:rPr>
          <w:rFonts w:ascii="Times New Roman" w:hAnsi="Times New Roman"/>
          <w:bCs/>
          <w:sz w:val="24"/>
          <w:szCs w:val="24"/>
          <w:lang w:val="en-GB"/>
        </w:rPr>
        <w:fldChar w:fldCharType="begin"/>
      </w:r>
      <w:r w:rsidRPr="00F738ED">
        <w:rPr>
          <w:rFonts w:ascii="Times New Roman" w:hAnsi="Times New Roman"/>
          <w:bCs/>
          <w:sz w:val="24"/>
          <w:szCs w:val="24"/>
          <w:lang w:val="en-US"/>
        </w:rPr>
        <w:instrText xml:space="preserve"> ADDIN EN.REFLIST </w:instrText>
      </w:r>
      <w:r w:rsidRPr="00A402C2">
        <w:rPr>
          <w:rFonts w:ascii="Times New Roman" w:hAnsi="Times New Roman"/>
          <w:bCs/>
          <w:sz w:val="24"/>
          <w:szCs w:val="24"/>
          <w:lang w:val="en-GB"/>
        </w:rPr>
        <w:fldChar w:fldCharType="separate"/>
      </w:r>
      <w:bookmarkStart w:id="1" w:name="_ENREF_1"/>
      <w:r w:rsidR="003C51A2" w:rsidRPr="00F738ED">
        <w:rPr>
          <w:rFonts w:ascii="Times New Roman" w:hAnsi="Times New Roman"/>
          <w:sz w:val="24"/>
          <w:szCs w:val="24"/>
          <w:lang w:val="en-US"/>
        </w:rPr>
        <w:t>1.</w:t>
      </w:r>
      <w:r w:rsidR="003C51A2" w:rsidRPr="00F738ED">
        <w:rPr>
          <w:rFonts w:ascii="Times New Roman" w:hAnsi="Times New Roman"/>
          <w:sz w:val="24"/>
          <w:szCs w:val="24"/>
          <w:lang w:val="en-US"/>
        </w:rPr>
        <w:tab/>
        <w:t xml:space="preserve">Timmer MP, </w:t>
      </w:r>
      <w:r w:rsidR="008740A6" w:rsidRPr="00C9298C">
        <w:rPr>
          <w:rFonts w:ascii="Times New Roman" w:hAnsi="Times New Roman"/>
          <w:sz w:val="24"/>
          <w:szCs w:val="24"/>
          <w:lang w:val="en-US"/>
        </w:rPr>
        <w:t xml:space="preserve">Dietzenbacher E, Los B, </w:t>
      </w:r>
      <w:r w:rsidR="003C51A2" w:rsidRPr="00F738ED">
        <w:rPr>
          <w:rFonts w:ascii="Times New Roman" w:hAnsi="Times New Roman"/>
          <w:sz w:val="24"/>
          <w:szCs w:val="24"/>
          <w:lang w:val="en-US"/>
        </w:rPr>
        <w:t xml:space="preserve">et al. An illustrated user guide to the world input–output database: the case of global automotive production. </w:t>
      </w:r>
      <w:r w:rsidR="003C51A2" w:rsidRPr="00A402C2">
        <w:rPr>
          <w:rFonts w:ascii="Times New Roman" w:hAnsi="Times New Roman"/>
          <w:sz w:val="24"/>
          <w:szCs w:val="24"/>
        </w:rPr>
        <w:t>Review of International Economics</w:t>
      </w:r>
      <w:r w:rsidR="008740A6">
        <w:rPr>
          <w:rFonts w:ascii="Times New Roman" w:hAnsi="Times New Roman"/>
          <w:sz w:val="24"/>
          <w:szCs w:val="24"/>
        </w:rPr>
        <w:t>.</w:t>
      </w:r>
      <w:r w:rsidR="003C51A2" w:rsidRPr="00A402C2">
        <w:rPr>
          <w:rFonts w:ascii="Times New Roman" w:hAnsi="Times New Roman"/>
          <w:sz w:val="24"/>
          <w:szCs w:val="24"/>
        </w:rPr>
        <w:t xml:space="preserve"> 2015</w:t>
      </w:r>
      <w:r w:rsidR="008740A6">
        <w:rPr>
          <w:rFonts w:ascii="Times New Roman" w:hAnsi="Times New Roman"/>
          <w:sz w:val="24"/>
          <w:szCs w:val="24"/>
        </w:rPr>
        <w:t>;</w:t>
      </w:r>
      <w:r w:rsidR="003C51A2" w:rsidRPr="00F738ED">
        <w:rPr>
          <w:rFonts w:ascii="Times New Roman" w:hAnsi="Times New Roman"/>
          <w:sz w:val="24"/>
          <w:szCs w:val="24"/>
        </w:rPr>
        <w:t>23</w:t>
      </w:r>
      <w:r w:rsidR="003C51A2" w:rsidRPr="00A402C2">
        <w:rPr>
          <w:rFonts w:ascii="Times New Roman" w:hAnsi="Times New Roman"/>
          <w:sz w:val="24"/>
          <w:szCs w:val="24"/>
        </w:rPr>
        <w:t>:575-605.</w:t>
      </w:r>
      <w:bookmarkEnd w:id="1"/>
    </w:p>
    <w:p w14:paraId="3CB67D46" w14:textId="41BC35C2" w:rsidR="003C51A2" w:rsidRPr="00F738ED" w:rsidRDefault="003C51A2" w:rsidP="0011623E">
      <w:pPr>
        <w:pStyle w:val="EndNoteBibliography"/>
        <w:spacing w:after="240"/>
        <w:ind w:left="340" w:hanging="340"/>
        <w:rPr>
          <w:rFonts w:ascii="Times New Roman" w:hAnsi="Times New Roman"/>
          <w:sz w:val="24"/>
          <w:szCs w:val="24"/>
          <w:lang w:val="en-US"/>
        </w:rPr>
      </w:pPr>
      <w:bookmarkStart w:id="2" w:name="_ENREF_2"/>
      <w:r w:rsidRPr="00A402C2">
        <w:rPr>
          <w:rFonts w:ascii="Times New Roman" w:hAnsi="Times New Roman"/>
          <w:sz w:val="24"/>
          <w:szCs w:val="24"/>
        </w:rPr>
        <w:t>2.</w:t>
      </w:r>
      <w:r w:rsidRPr="00A402C2">
        <w:rPr>
          <w:rFonts w:ascii="Times New Roman" w:hAnsi="Times New Roman"/>
          <w:sz w:val="24"/>
          <w:szCs w:val="24"/>
        </w:rPr>
        <w:tab/>
        <w:t xml:space="preserve">INE. </w:t>
      </w:r>
      <w:r w:rsidRPr="00F738ED">
        <w:rPr>
          <w:rFonts w:ascii="Times New Roman" w:hAnsi="Times New Roman"/>
          <w:sz w:val="24"/>
          <w:szCs w:val="24"/>
        </w:rPr>
        <w:t>Encuesta de Presupuestos Familiares</w:t>
      </w:r>
      <w:r w:rsidRPr="008740A6">
        <w:rPr>
          <w:rFonts w:ascii="Times New Roman" w:hAnsi="Times New Roman"/>
          <w:sz w:val="24"/>
          <w:szCs w:val="24"/>
        </w:rPr>
        <w:t xml:space="preserve">. </w:t>
      </w:r>
      <w:r w:rsidRPr="00F738ED">
        <w:rPr>
          <w:rFonts w:ascii="Times New Roman" w:hAnsi="Times New Roman"/>
          <w:sz w:val="24"/>
          <w:szCs w:val="24"/>
          <w:lang w:val="en-US"/>
        </w:rPr>
        <w:t>2012</w:t>
      </w:r>
      <w:r w:rsidR="008740A6">
        <w:rPr>
          <w:rFonts w:ascii="Times New Roman" w:hAnsi="Times New Roman"/>
          <w:sz w:val="24"/>
          <w:szCs w:val="24"/>
          <w:lang w:val="en-US"/>
        </w:rPr>
        <w:t>.</w:t>
      </w:r>
      <w:r w:rsidR="00C929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738ED">
        <w:rPr>
          <w:rFonts w:ascii="Times New Roman" w:hAnsi="Times New Roman"/>
          <w:sz w:val="24"/>
          <w:szCs w:val="24"/>
          <w:lang w:val="en-US"/>
        </w:rPr>
        <w:t xml:space="preserve"> Available </w:t>
      </w:r>
      <w:r w:rsidR="008740A6">
        <w:rPr>
          <w:rFonts w:ascii="Times New Roman" w:hAnsi="Times New Roman"/>
          <w:sz w:val="24"/>
          <w:szCs w:val="24"/>
          <w:lang w:val="en-US"/>
        </w:rPr>
        <w:t>at</w:t>
      </w:r>
      <w:r w:rsidRPr="00F738ED">
        <w:rPr>
          <w:rFonts w:ascii="Times New Roman" w:hAnsi="Times New Roman"/>
          <w:sz w:val="24"/>
          <w:szCs w:val="24"/>
          <w:lang w:val="en-US"/>
        </w:rPr>
        <w:t>: http://www.ine.es/inebaseDYN/propob30278/propob_resultados.htm</w:t>
      </w:r>
      <w:bookmarkEnd w:id="2"/>
    </w:p>
    <w:p w14:paraId="584F0E65" w14:textId="25DAB740" w:rsidR="00690969" w:rsidRDefault="00946219" w:rsidP="006909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402C2">
        <w:rPr>
          <w:rFonts w:ascii="Times New Roman" w:hAnsi="Times New Roman"/>
          <w:bCs/>
          <w:sz w:val="24"/>
          <w:szCs w:val="24"/>
          <w:lang w:val="en-GB"/>
        </w:rPr>
        <w:fldChar w:fldCharType="end"/>
      </w:r>
    </w:p>
    <w:sectPr w:rsidR="00690969" w:rsidSect="00347628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872A9" w14:textId="77777777" w:rsidR="0014356C" w:rsidRDefault="0014356C" w:rsidP="00A34A13">
      <w:r>
        <w:separator/>
      </w:r>
    </w:p>
  </w:endnote>
  <w:endnote w:type="continuationSeparator" w:id="0">
    <w:p w14:paraId="75172E08" w14:textId="77777777" w:rsidR="0014356C" w:rsidRDefault="0014356C" w:rsidP="00A3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E7478" w14:textId="77777777" w:rsidR="0014356C" w:rsidRDefault="0014356C" w:rsidP="00A34A13">
      <w:r>
        <w:separator/>
      </w:r>
    </w:p>
  </w:footnote>
  <w:footnote w:type="continuationSeparator" w:id="0">
    <w:p w14:paraId="76B2A7A5" w14:textId="77777777" w:rsidR="0014356C" w:rsidRDefault="0014356C" w:rsidP="00A34A13">
      <w:r>
        <w:continuationSeparator/>
      </w:r>
    </w:p>
  </w:footnote>
  <w:footnote w:id="1">
    <w:p w14:paraId="51EBF82A" w14:textId="6B3E7D6D" w:rsidR="008C3ED4" w:rsidRPr="00F738ED" w:rsidRDefault="008C3ED4" w:rsidP="00D01D0B">
      <w:pPr>
        <w:pStyle w:val="FootnoteText"/>
        <w:rPr>
          <w:sz w:val="22"/>
          <w:lang w:val="en-US"/>
        </w:rPr>
      </w:pPr>
      <w:r w:rsidRPr="008E1115">
        <w:rPr>
          <w:rStyle w:val="FootnoteReference"/>
          <w:sz w:val="22"/>
        </w:rPr>
        <w:footnoteRef/>
      </w:r>
      <w:r w:rsidRPr="008E1115">
        <w:rPr>
          <w:sz w:val="22"/>
        </w:rPr>
        <w:t xml:space="preserve"> </w:t>
      </w:r>
      <w:r w:rsidRPr="008E1115">
        <w:rPr>
          <w:sz w:val="22"/>
          <w:lang w:val="en-US"/>
        </w:rPr>
        <w:t xml:space="preserve">Further information in </w:t>
      </w:r>
      <w:hyperlink r:id="rId1" w:history="1">
        <w:r w:rsidRPr="008E1115">
          <w:rPr>
            <w:rStyle w:val="Hyperlink"/>
            <w:sz w:val="22"/>
            <w:lang w:val="en-US"/>
          </w:rPr>
          <w:t>www.wiod.org</w:t>
        </w:r>
      </w:hyperlink>
      <w:r w:rsidRPr="008E1115">
        <w:rPr>
          <w:sz w:val="22"/>
          <w:lang w:val="en-US"/>
        </w:rPr>
        <w:t>.</w:t>
      </w:r>
    </w:p>
    <w:p w14:paraId="649C365A" w14:textId="77777777" w:rsidR="008C3ED4" w:rsidRPr="00F738ED" w:rsidRDefault="008C3ED4" w:rsidP="00D01D0B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7078"/>
    <w:multiLevelType w:val="hybridMultilevel"/>
    <w:tmpl w:val="2272D412"/>
    <w:lvl w:ilvl="0" w:tplc="D812B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0DB"/>
    <w:multiLevelType w:val="hybridMultilevel"/>
    <w:tmpl w:val="B9AEFB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5BE2"/>
    <w:multiLevelType w:val="hybridMultilevel"/>
    <w:tmpl w:val="168449F6"/>
    <w:lvl w:ilvl="0" w:tplc="BDFC03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605973"/>
    <w:multiLevelType w:val="hybridMultilevel"/>
    <w:tmpl w:val="4C62CFC2"/>
    <w:lvl w:ilvl="0" w:tplc="DB62D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1F95"/>
    <w:multiLevelType w:val="hybridMultilevel"/>
    <w:tmpl w:val="7158B984"/>
    <w:lvl w:ilvl="0" w:tplc="ADBC84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06726B"/>
    <w:multiLevelType w:val="hybridMultilevel"/>
    <w:tmpl w:val="BBE6F0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07C91"/>
    <w:multiLevelType w:val="hybridMultilevel"/>
    <w:tmpl w:val="1A160A1A"/>
    <w:lvl w:ilvl="0" w:tplc="9962B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C302B"/>
    <w:multiLevelType w:val="hybridMultilevel"/>
    <w:tmpl w:val="6FC2CA14"/>
    <w:lvl w:ilvl="0" w:tplc="09126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A008ABE">
      <w:numFmt w:val="none"/>
      <w:lvlText w:val=""/>
      <w:lvlJc w:val="left"/>
      <w:pPr>
        <w:tabs>
          <w:tab w:val="num" w:pos="360"/>
        </w:tabs>
      </w:p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E4AC54F2">
      <w:numFmt w:val="none"/>
      <w:lvlText w:val=""/>
      <w:lvlJc w:val="left"/>
      <w:pPr>
        <w:tabs>
          <w:tab w:val="num" w:pos="360"/>
        </w:tabs>
      </w:pPr>
    </w:lvl>
    <w:lvl w:ilvl="4" w:tplc="3DB001A4">
      <w:numFmt w:val="none"/>
      <w:lvlText w:val=""/>
      <w:lvlJc w:val="left"/>
      <w:pPr>
        <w:tabs>
          <w:tab w:val="num" w:pos="360"/>
        </w:tabs>
      </w:pPr>
    </w:lvl>
    <w:lvl w:ilvl="5" w:tplc="3A122FB2">
      <w:numFmt w:val="none"/>
      <w:lvlText w:val=""/>
      <w:lvlJc w:val="left"/>
      <w:pPr>
        <w:tabs>
          <w:tab w:val="num" w:pos="360"/>
        </w:tabs>
      </w:pPr>
    </w:lvl>
    <w:lvl w:ilvl="6" w:tplc="08DE7F0C">
      <w:numFmt w:val="none"/>
      <w:lvlText w:val=""/>
      <w:lvlJc w:val="left"/>
      <w:pPr>
        <w:tabs>
          <w:tab w:val="num" w:pos="360"/>
        </w:tabs>
      </w:pPr>
    </w:lvl>
    <w:lvl w:ilvl="7" w:tplc="5D7A9300">
      <w:numFmt w:val="none"/>
      <w:lvlText w:val=""/>
      <w:lvlJc w:val="left"/>
      <w:pPr>
        <w:tabs>
          <w:tab w:val="num" w:pos="360"/>
        </w:tabs>
      </w:pPr>
    </w:lvl>
    <w:lvl w:ilvl="8" w:tplc="CA4671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 Narrow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xd2rftampa5xietdrlpvt2lsadrssedxdz9&quot;&gt;Library6&lt;record-ids&gt;&lt;item&gt;1453&lt;/item&gt;&lt;item&gt;1483&lt;/item&gt;&lt;/record-ids&gt;&lt;/item&gt;&lt;/Libraries&gt;"/>
  </w:docVars>
  <w:rsids>
    <w:rsidRoot w:val="00646FE5"/>
    <w:rsid w:val="00005D20"/>
    <w:rsid w:val="00006DE2"/>
    <w:rsid w:val="0001183B"/>
    <w:rsid w:val="0001584D"/>
    <w:rsid w:val="000208D1"/>
    <w:rsid w:val="00023BC6"/>
    <w:rsid w:val="00024195"/>
    <w:rsid w:val="000273F4"/>
    <w:rsid w:val="000306E0"/>
    <w:rsid w:val="00032F8C"/>
    <w:rsid w:val="000338D6"/>
    <w:rsid w:val="00041099"/>
    <w:rsid w:val="00041FE9"/>
    <w:rsid w:val="000465B6"/>
    <w:rsid w:val="000467B8"/>
    <w:rsid w:val="0005708A"/>
    <w:rsid w:val="00057D86"/>
    <w:rsid w:val="00057F76"/>
    <w:rsid w:val="0006365F"/>
    <w:rsid w:val="00064C7F"/>
    <w:rsid w:val="0006585A"/>
    <w:rsid w:val="0007669E"/>
    <w:rsid w:val="00080FF5"/>
    <w:rsid w:val="00084922"/>
    <w:rsid w:val="000907EC"/>
    <w:rsid w:val="000943ED"/>
    <w:rsid w:val="0009511A"/>
    <w:rsid w:val="000977BE"/>
    <w:rsid w:val="000A0F6E"/>
    <w:rsid w:val="000A28DA"/>
    <w:rsid w:val="000A37B8"/>
    <w:rsid w:val="000A3B49"/>
    <w:rsid w:val="000A3E48"/>
    <w:rsid w:val="000A4AB9"/>
    <w:rsid w:val="000A7AA2"/>
    <w:rsid w:val="000C0C1D"/>
    <w:rsid w:val="000C3AD0"/>
    <w:rsid w:val="000C6BA4"/>
    <w:rsid w:val="000C7642"/>
    <w:rsid w:val="000D211E"/>
    <w:rsid w:val="000D439B"/>
    <w:rsid w:val="000D59E3"/>
    <w:rsid w:val="000D7A00"/>
    <w:rsid w:val="000E3A00"/>
    <w:rsid w:val="000E64A7"/>
    <w:rsid w:val="000F53F9"/>
    <w:rsid w:val="000F7B56"/>
    <w:rsid w:val="000F7CC9"/>
    <w:rsid w:val="00103737"/>
    <w:rsid w:val="00103F20"/>
    <w:rsid w:val="001040BA"/>
    <w:rsid w:val="00105A11"/>
    <w:rsid w:val="001062C8"/>
    <w:rsid w:val="00110290"/>
    <w:rsid w:val="00112063"/>
    <w:rsid w:val="00114C46"/>
    <w:rsid w:val="0011623E"/>
    <w:rsid w:val="00130497"/>
    <w:rsid w:val="00130770"/>
    <w:rsid w:val="00136FF3"/>
    <w:rsid w:val="0014356C"/>
    <w:rsid w:val="001466C0"/>
    <w:rsid w:val="001478E9"/>
    <w:rsid w:val="00153A9A"/>
    <w:rsid w:val="00153E4E"/>
    <w:rsid w:val="001562B4"/>
    <w:rsid w:val="00164C81"/>
    <w:rsid w:val="00165B76"/>
    <w:rsid w:val="001667E4"/>
    <w:rsid w:val="00167992"/>
    <w:rsid w:val="001722FE"/>
    <w:rsid w:val="00174512"/>
    <w:rsid w:val="0017521E"/>
    <w:rsid w:val="00182DC0"/>
    <w:rsid w:val="00183298"/>
    <w:rsid w:val="00184E82"/>
    <w:rsid w:val="00185A4B"/>
    <w:rsid w:val="0019271D"/>
    <w:rsid w:val="00196C5F"/>
    <w:rsid w:val="00197D30"/>
    <w:rsid w:val="001A4193"/>
    <w:rsid w:val="001B2E18"/>
    <w:rsid w:val="001C2D31"/>
    <w:rsid w:val="001C4EAF"/>
    <w:rsid w:val="001C5669"/>
    <w:rsid w:val="001D0799"/>
    <w:rsid w:val="001D30A7"/>
    <w:rsid w:val="001D4037"/>
    <w:rsid w:val="001E06A9"/>
    <w:rsid w:val="001E19BF"/>
    <w:rsid w:val="001F03E7"/>
    <w:rsid w:val="001F2801"/>
    <w:rsid w:val="001F300A"/>
    <w:rsid w:val="001F4515"/>
    <w:rsid w:val="0020248E"/>
    <w:rsid w:val="00203C95"/>
    <w:rsid w:val="0020647D"/>
    <w:rsid w:val="002100F8"/>
    <w:rsid w:val="002120E9"/>
    <w:rsid w:val="00212306"/>
    <w:rsid w:val="00215C11"/>
    <w:rsid w:val="00217840"/>
    <w:rsid w:val="00226132"/>
    <w:rsid w:val="00237DE5"/>
    <w:rsid w:val="00243120"/>
    <w:rsid w:val="00247CF4"/>
    <w:rsid w:val="00247E63"/>
    <w:rsid w:val="002527C9"/>
    <w:rsid w:val="0025435D"/>
    <w:rsid w:val="002552B1"/>
    <w:rsid w:val="00255BD8"/>
    <w:rsid w:val="00260F0A"/>
    <w:rsid w:val="00261AA9"/>
    <w:rsid w:val="0026490A"/>
    <w:rsid w:val="0026628B"/>
    <w:rsid w:val="002667DD"/>
    <w:rsid w:val="0026784F"/>
    <w:rsid w:val="002765C5"/>
    <w:rsid w:val="0027664E"/>
    <w:rsid w:val="002769F6"/>
    <w:rsid w:val="00280100"/>
    <w:rsid w:val="002801C5"/>
    <w:rsid w:val="00283B3B"/>
    <w:rsid w:val="00286364"/>
    <w:rsid w:val="00290629"/>
    <w:rsid w:val="00291629"/>
    <w:rsid w:val="0029367A"/>
    <w:rsid w:val="002939EB"/>
    <w:rsid w:val="002A0DB2"/>
    <w:rsid w:val="002A5BCF"/>
    <w:rsid w:val="002A70C7"/>
    <w:rsid w:val="002B0B4D"/>
    <w:rsid w:val="002B3298"/>
    <w:rsid w:val="002B4B06"/>
    <w:rsid w:val="002B6C9C"/>
    <w:rsid w:val="002B7E49"/>
    <w:rsid w:val="002C6943"/>
    <w:rsid w:val="002C6FBC"/>
    <w:rsid w:val="002D2BE3"/>
    <w:rsid w:val="002D727E"/>
    <w:rsid w:val="002E1037"/>
    <w:rsid w:val="002E17CE"/>
    <w:rsid w:val="002E2A4A"/>
    <w:rsid w:val="002E501F"/>
    <w:rsid w:val="002F201F"/>
    <w:rsid w:val="002F7445"/>
    <w:rsid w:val="00301110"/>
    <w:rsid w:val="003033E7"/>
    <w:rsid w:val="00304630"/>
    <w:rsid w:val="0031194B"/>
    <w:rsid w:val="00315E5C"/>
    <w:rsid w:val="0032750B"/>
    <w:rsid w:val="0032759B"/>
    <w:rsid w:val="00330F21"/>
    <w:rsid w:val="00332419"/>
    <w:rsid w:val="0034115D"/>
    <w:rsid w:val="00342DB7"/>
    <w:rsid w:val="00343E6B"/>
    <w:rsid w:val="0034409A"/>
    <w:rsid w:val="00344277"/>
    <w:rsid w:val="00346BAA"/>
    <w:rsid w:val="00346EEE"/>
    <w:rsid w:val="00347628"/>
    <w:rsid w:val="00351F56"/>
    <w:rsid w:val="00353D82"/>
    <w:rsid w:val="003551F5"/>
    <w:rsid w:val="00356D1C"/>
    <w:rsid w:val="00356E10"/>
    <w:rsid w:val="00363CC2"/>
    <w:rsid w:val="00364763"/>
    <w:rsid w:val="00370172"/>
    <w:rsid w:val="0037321F"/>
    <w:rsid w:val="00373403"/>
    <w:rsid w:val="003811AD"/>
    <w:rsid w:val="00385D84"/>
    <w:rsid w:val="00386FED"/>
    <w:rsid w:val="003919C7"/>
    <w:rsid w:val="0039218A"/>
    <w:rsid w:val="00395408"/>
    <w:rsid w:val="003A00CD"/>
    <w:rsid w:val="003A0B19"/>
    <w:rsid w:val="003A0CD7"/>
    <w:rsid w:val="003A13E0"/>
    <w:rsid w:val="003A17FF"/>
    <w:rsid w:val="003A1BBA"/>
    <w:rsid w:val="003A28C4"/>
    <w:rsid w:val="003A2E18"/>
    <w:rsid w:val="003B43A8"/>
    <w:rsid w:val="003B51D2"/>
    <w:rsid w:val="003B64F4"/>
    <w:rsid w:val="003B6AA2"/>
    <w:rsid w:val="003B70BB"/>
    <w:rsid w:val="003C31FE"/>
    <w:rsid w:val="003C51A2"/>
    <w:rsid w:val="003C67B1"/>
    <w:rsid w:val="003D3B48"/>
    <w:rsid w:val="003D4704"/>
    <w:rsid w:val="003E3ADE"/>
    <w:rsid w:val="003E5B6C"/>
    <w:rsid w:val="003E76AF"/>
    <w:rsid w:val="003F326C"/>
    <w:rsid w:val="003F4FA8"/>
    <w:rsid w:val="00401A72"/>
    <w:rsid w:val="00410BAC"/>
    <w:rsid w:val="004150A9"/>
    <w:rsid w:val="00415376"/>
    <w:rsid w:val="004167B7"/>
    <w:rsid w:val="004210D2"/>
    <w:rsid w:val="00421AE2"/>
    <w:rsid w:val="00423B58"/>
    <w:rsid w:val="0042589B"/>
    <w:rsid w:val="0042738A"/>
    <w:rsid w:val="0043304B"/>
    <w:rsid w:val="00437769"/>
    <w:rsid w:val="00445075"/>
    <w:rsid w:val="00445FB2"/>
    <w:rsid w:val="00446692"/>
    <w:rsid w:val="00451365"/>
    <w:rsid w:val="004533BA"/>
    <w:rsid w:val="00455D1E"/>
    <w:rsid w:val="00461793"/>
    <w:rsid w:val="004670CB"/>
    <w:rsid w:val="004674B1"/>
    <w:rsid w:val="00467F81"/>
    <w:rsid w:val="004704AD"/>
    <w:rsid w:val="00470E78"/>
    <w:rsid w:val="0047154D"/>
    <w:rsid w:val="00471960"/>
    <w:rsid w:val="00474CD0"/>
    <w:rsid w:val="00475BDB"/>
    <w:rsid w:val="00481A98"/>
    <w:rsid w:val="00490F5E"/>
    <w:rsid w:val="00495290"/>
    <w:rsid w:val="00495DC5"/>
    <w:rsid w:val="004A2D9B"/>
    <w:rsid w:val="004A7830"/>
    <w:rsid w:val="004B4015"/>
    <w:rsid w:val="004D242F"/>
    <w:rsid w:val="004D69A9"/>
    <w:rsid w:val="004E259D"/>
    <w:rsid w:val="00501D63"/>
    <w:rsid w:val="0050313C"/>
    <w:rsid w:val="00503459"/>
    <w:rsid w:val="0050357C"/>
    <w:rsid w:val="00504B16"/>
    <w:rsid w:val="00504C1D"/>
    <w:rsid w:val="00511A18"/>
    <w:rsid w:val="005228EB"/>
    <w:rsid w:val="00523BEA"/>
    <w:rsid w:val="00523F2E"/>
    <w:rsid w:val="00531AD2"/>
    <w:rsid w:val="005374A6"/>
    <w:rsid w:val="00541F5B"/>
    <w:rsid w:val="00546215"/>
    <w:rsid w:val="00553D60"/>
    <w:rsid w:val="00555540"/>
    <w:rsid w:val="0055555A"/>
    <w:rsid w:val="00565E0A"/>
    <w:rsid w:val="00565E98"/>
    <w:rsid w:val="00567662"/>
    <w:rsid w:val="005701F1"/>
    <w:rsid w:val="00573BD0"/>
    <w:rsid w:val="0058275D"/>
    <w:rsid w:val="00584A4C"/>
    <w:rsid w:val="00590212"/>
    <w:rsid w:val="005A72DE"/>
    <w:rsid w:val="005B0F3C"/>
    <w:rsid w:val="005B2114"/>
    <w:rsid w:val="005B5466"/>
    <w:rsid w:val="005B61E9"/>
    <w:rsid w:val="005B63FB"/>
    <w:rsid w:val="005C06C5"/>
    <w:rsid w:val="005C0DDB"/>
    <w:rsid w:val="005C11B2"/>
    <w:rsid w:val="005D05D4"/>
    <w:rsid w:val="005D48ED"/>
    <w:rsid w:val="005D64BD"/>
    <w:rsid w:val="005D64F5"/>
    <w:rsid w:val="005E02ED"/>
    <w:rsid w:val="005E081F"/>
    <w:rsid w:val="005E0F2A"/>
    <w:rsid w:val="005E1F76"/>
    <w:rsid w:val="005E21FF"/>
    <w:rsid w:val="005E7B64"/>
    <w:rsid w:val="005F024D"/>
    <w:rsid w:val="005F06B1"/>
    <w:rsid w:val="005F5031"/>
    <w:rsid w:val="0060534A"/>
    <w:rsid w:val="00611E38"/>
    <w:rsid w:val="00612E0F"/>
    <w:rsid w:val="00621514"/>
    <w:rsid w:val="00622AAB"/>
    <w:rsid w:val="006256BC"/>
    <w:rsid w:val="006325E7"/>
    <w:rsid w:val="00642143"/>
    <w:rsid w:val="00646FE5"/>
    <w:rsid w:val="0064772B"/>
    <w:rsid w:val="00656D40"/>
    <w:rsid w:val="0066185C"/>
    <w:rsid w:val="00664BD4"/>
    <w:rsid w:val="00677391"/>
    <w:rsid w:val="00677DB0"/>
    <w:rsid w:val="00687474"/>
    <w:rsid w:val="00687B54"/>
    <w:rsid w:val="00690969"/>
    <w:rsid w:val="00692FDF"/>
    <w:rsid w:val="00693018"/>
    <w:rsid w:val="006936CE"/>
    <w:rsid w:val="00696D5A"/>
    <w:rsid w:val="006976AE"/>
    <w:rsid w:val="00697C36"/>
    <w:rsid w:val="006A14FA"/>
    <w:rsid w:val="006A1708"/>
    <w:rsid w:val="006A1ECB"/>
    <w:rsid w:val="006A317A"/>
    <w:rsid w:val="006B0A12"/>
    <w:rsid w:val="006B429B"/>
    <w:rsid w:val="006B42E1"/>
    <w:rsid w:val="006B59F6"/>
    <w:rsid w:val="006C1BE0"/>
    <w:rsid w:val="006C2A9F"/>
    <w:rsid w:val="006C37EA"/>
    <w:rsid w:val="006D123C"/>
    <w:rsid w:val="006D2D29"/>
    <w:rsid w:val="006E3A80"/>
    <w:rsid w:val="006F0C19"/>
    <w:rsid w:val="006F1269"/>
    <w:rsid w:val="006F2E45"/>
    <w:rsid w:val="006F5BC2"/>
    <w:rsid w:val="006F76F2"/>
    <w:rsid w:val="00700CDF"/>
    <w:rsid w:val="00703A05"/>
    <w:rsid w:val="007057D8"/>
    <w:rsid w:val="00707E2A"/>
    <w:rsid w:val="00710B2F"/>
    <w:rsid w:val="0071319F"/>
    <w:rsid w:val="007131D3"/>
    <w:rsid w:val="00714194"/>
    <w:rsid w:val="00716280"/>
    <w:rsid w:val="00722B46"/>
    <w:rsid w:val="00725317"/>
    <w:rsid w:val="00730361"/>
    <w:rsid w:val="00731F56"/>
    <w:rsid w:val="007340E0"/>
    <w:rsid w:val="007408B5"/>
    <w:rsid w:val="00743076"/>
    <w:rsid w:val="007441F0"/>
    <w:rsid w:val="00744DB2"/>
    <w:rsid w:val="00752CF2"/>
    <w:rsid w:val="00756A59"/>
    <w:rsid w:val="00756D9D"/>
    <w:rsid w:val="0077063F"/>
    <w:rsid w:val="00770B35"/>
    <w:rsid w:val="007714D1"/>
    <w:rsid w:val="0077542E"/>
    <w:rsid w:val="00777E07"/>
    <w:rsid w:val="00782D01"/>
    <w:rsid w:val="00793BE6"/>
    <w:rsid w:val="00794B29"/>
    <w:rsid w:val="00795DC2"/>
    <w:rsid w:val="007A1890"/>
    <w:rsid w:val="007A33E9"/>
    <w:rsid w:val="007A37AD"/>
    <w:rsid w:val="007A674F"/>
    <w:rsid w:val="007B4468"/>
    <w:rsid w:val="007B65E6"/>
    <w:rsid w:val="007B6EFC"/>
    <w:rsid w:val="007C0FD3"/>
    <w:rsid w:val="007C3112"/>
    <w:rsid w:val="007D61F9"/>
    <w:rsid w:val="007E2896"/>
    <w:rsid w:val="007E4D0E"/>
    <w:rsid w:val="007F02FF"/>
    <w:rsid w:val="007F14D1"/>
    <w:rsid w:val="007F6BD5"/>
    <w:rsid w:val="007F6DA4"/>
    <w:rsid w:val="008007AC"/>
    <w:rsid w:val="00800B3B"/>
    <w:rsid w:val="00801065"/>
    <w:rsid w:val="00805A4C"/>
    <w:rsid w:val="00810A57"/>
    <w:rsid w:val="008115E9"/>
    <w:rsid w:val="00814094"/>
    <w:rsid w:val="00817E6E"/>
    <w:rsid w:val="008204B6"/>
    <w:rsid w:val="008204CC"/>
    <w:rsid w:val="00821294"/>
    <w:rsid w:val="008266F9"/>
    <w:rsid w:val="008342EC"/>
    <w:rsid w:val="00837D2D"/>
    <w:rsid w:val="008402AA"/>
    <w:rsid w:val="00840357"/>
    <w:rsid w:val="00845497"/>
    <w:rsid w:val="00846009"/>
    <w:rsid w:val="00847CCD"/>
    <w:rsid w:val="0085144C"/>
    <w:rsid w:val="00856439"/>
    <w:rsid w:val="00856588"/>
    <w:rsid w:val="00861EC8"/>
    <w:rsid w:val="00865878"/>
    <w:rsid w:val="008665BE"/>
    <w:rsid w:val="008740A6"/>
    <w:rsid w:val="008743A4"/>
    <w:rsid w:val="00874F8C"/>
    <w:rsid w:val="00876DEE"/>
    <w:rsid w:val="00877D06"/>
    <w:rsid w:val="008810F9"/>
    <w:rsid w:val="008908E6"/>
    <w:rsid w:val="00891DC8"/>
    <w:rsid w:val="008A0723"/>
    <w:rsid w:val="008A3468"/>
    <w:rsid w:val="008A39D4"/>
    <w:rsid w:val="008A3EFE"/>
    <w:rsid w:val="008A5525"/>
    <w:rsid w:val="008A59A0"/>
    <w:rsid w:val="008A678B"/>
    <w:rsid w:val="008A767F"/>
    <w:rsid w:val="008B1EE8"/>
    <w:rsid w:val="008B237C"/>
    <w:rsid w:val="008B2F3E"/>
    <w:rsid w:val="008B30CA"/>
    <w:rsid w:val="008B43B3"/>
    <w:rsid w:val="008B454E"/>
    <w:rsid w:val="008C2B60"/>
    <w:rsid w:val="008C3ED4"/>
    <w:rsid w:val="008C3EDE"/>
    <w:rsid w:val="008C7930"/>
    <w:rsid w:val="008D2798"/>
    <w:rsid w:val="008D3E82"/>
    <w:rsid w:val="008D4415"/>
    <w:rsid w:val="008E1115"/>
    <w:rsid w:val="008E1F3A"/>
    <w:rsid w:val="008E2222"/>
    <w:rsid w:val="008E3AB3"/>
    <w:rsid w:val="008E48EF"/>
    <w:rsid w:val="008F2311"/>
    <w:rsid w:val="008F3971"/>
    <w:rsid w:val="008F462D"/>
    <w:rsid w:val="008F7F6C"/>
    <w:rsid w:val="00900180"/>
    <w:rsid w:val="00901818"/>
    <w:rsid w:val="00901A80"/>
    <w:rsid w:val="00904588"/>
    <w:rsid w:val="00905E71"/>
    <w:rsid w:val="00911209"/>
    <w:rsid w:val="0091256B"/>
    <w:rsid w:val="00917A87"/>
    <w:rsid w:val="009211A9"/>
    <w:rsid w:val="00921CA7"/>
    <w:rsid w:val="00922C36"/>
    <w:rsid w:val="00924194"/>
    <w:rsid w:val="009246D0"/>
    <w:rsid w:val="009311E1"/>
    <w:rsid w:val="009369A4"/>
    <w:rsid w:val="0093771A"/>
    <w:rsid w:val="0093789A"/>
    <w:rsid w:val="00941831"/>
    <w:rsid w:val="00941F72"/>
    <w:rsid w:val="009433FC"/>
    <w:rsid w:val="00944FC7"/>
    <w:rsid w:val="00946219"/>
    <w:rsid w:val="00955067"/>
    <w:rsid w:val="00955898"/>
    <w:rsid w:val="00960455"/>
    <w:rsid w:val="00971639"/>
    <w:rsid w:val="00975377"/>
    <w:rsid w:val="0097598A"/>
    <w:rsid w:val="00975A5C"/>
    <w:rsid w:val="00976019"/>
    <w:rsid w:val="00977A66"/>
    <w:rsid w:val="009821AA"/>
    <w:rsid w:val="00983E85"/>
    <w:rsid w:val="00992E53"/>
    <w:rsid w:val="00995EEA"/>
    <w:rsid w:val="009979E6"/>
    <w:rsid w:val="009A02F2"/>
    <w:rsid w:val="009A1979"/>
    <w:rsid w:val="009A4CC6"/>
    <w:rsid w:val="009A68FF"/>
    <w:rsid w:val="009A7E85"/>
    <w:rsid w:val="009B1815"/>
    <w:rsid w:val="009B3552"/>
    <w:rsid w:val="009B4C57"/>
    <w:rsid w:val="009C144E"/>
    <w:rsid w:val="009C38A7"/>
    <w:rsid w:val="009D4658"/>
    <w:rsid w:val="009E498C"/>
    <w:rsid w:val="009E6BA6"/>
    <w:rsid w:val="009F0952"/>
    <w:rsid w:val="009F1254"/>
    <w:rsid w:val="009F1A4B"/>
    <w:rsid w:val="009F2246"/>
    <w:rsid w:val="009F6019"/>
    <w:rsid w:val="00A02F51"/>
    <w:rsid w:val="00A04CBD"/>
    <w:rsid w:val="00A06752"/>
    <w:rsid w:val="00A13457"/>
    <w:rsid w:val="00A13906"/>
    <w:rsid w:val="00A241E9"/>
    <w:rsid w:val="00A246E4"/>
    <w:rsid w:val="00A30174"/>
    <w:rsid w:val="00A308D0"/>
    <w:rsid w:val="00A3133E"/>
    <w:rsid w:val="00A34A13"/>
    <w:rsid w:val="00A35BB5"/>
    <w:rsid w:val="00A402C2"/>
    <w:rsid w:val="00A404E7"/>
    <w:rsid w:val="00A54C86"/>
    <w:rsid w:val="00A554BE"/>
    <w:rsid w:val="00A558BA"/>
    <w:rsid w:val="00A57E91"/>
    <w:rsid w:val="00A60782"/>
    <w:rsid w:val="00A60851"/>
    <w:rsid w:val="00A713C4"/>
    <w:rsid w:val="00A76983"/>
    <w:rsid w:val="00A779DE"/>
    <w:rsid w:val="00A8197C"/>
    <w:rsid w:val="00A83A05"/>
    <w:rsid w:val="00A86E98"/>
    <w:rsid w:val="00A917EA"/>
    <w:rsid w:val="00A91E8C"/>
    <w:rsid w:val="00A941CB"/>
    <w:rsid w:val="00A94E5A"/>
    <w:rsid w:val="00AA3639"/>
    <w:rsid w:val="00AA44DE"/>
    <w:rsid w:val="00AA6617"/>
    <w:rsid w:val="00AB7AD2"/>
    <w:rsid w:val="00AB7F47"/>
    <w:rsid w:val="00AC39E9"/>
    <w:rsid w:val="00AC7D60"/>
    <w:rsid w:val="00AD0796"/>
    <w:rsid w:val="00AD3748"/>
    <w:rsid w:val="00AE258C"/>
    <w:rsid w:val="00AE3F23"/>
    <w:rsid w:val="00AE5434"/>
    <w:rsid w:val="00AF132A"/>
    <w:rsid w:val="00AF57E5"/>
    <w:rsid w:val="00B11058"/>
    <w:rsid w:val="00B116BC"/>
    <w:rsid w:val="00B127AF"/>
    <w:rsid w:val="00B22F6D"/>
    <w:rsid w:val="00B23C84"/>
    <w:rsid w:val="00B32676"/>
    <w:rsid w:val="00B36750"/>
    <w:rsid w:val="00B41760"/>
    <w:rsid w:val="00B47D00"/>
    <w:rsid w:val="00B55598"/>
    <w:rsid w:val="00B6410B"/>
    <w:rsid w:val="00B656B8"/>
    <w:rsid w:val="00B672A9"/>
    <w:rsid w:val="00B67507"/>
    <w:rsid w:val="00B67680"/>
    <w:rsid w:val="00B67CBC"/>
    <w:rsid w:val="00B67DFB"/>
    <w:rsid w:val="00B721B0"/>
    <w:rsid w:val="00B7250E"/>
    <w:rsid w:val="00B72F26"/>
    <w:rsid w:val="00B7566C"/>
    <w:rsid w:val="00B809F2"/>
    <w:rsid w:val="00B813EF"/>
    <w:rsid w:val="00B82CA7"/>
    <w:rsid w:val="00B84B36"/>
    <w:rsid w:val="00B85570"/>
    <w:rsid w:val="00B87C82"/>
    <w:rsid w:val="00B91CFD"/>
    <w:rsid w:val="00B91D3D"/>
    <w:rsid w:val="00B93AD6"/>
    <w:rsid w:val="00B963C1"/>
    <w:rsid w:val="00B965FE"/>
    <w:rsid w:val="00BA0736"/>
    <w:rsid w:val="00BA1C3F"/>
    <w:rsid w:val="00BA7A20"/>
    <w:rsid w:val="00BB0093"/>
    <w:rsid w:val="00BB010D"/>
    <w:rsid w:val="00BB157D"/>
    <w:rsid w:val="00BB17C5"/>
    <w:rsid w:val="00BB274F"/>
    <w:rsid w:val="00BB3617"/>
    <w:rsid w:val="00BB5EC7"/>
    <w:rsid w:val="00BB7E7D"/>
    <w:rsid w:val="00BC2785"/>
    <w:rsid w:val="00BC3698"/>
    <w:rsid w:val="00BC54D8"/>
    <w:rsid w:val="00BC6294"/>
    <w:rsid w:val="00BD2BB5"/>
    <w:rsid w:val="00BD4DA8"/>
    <w:rsid w:val="00BD75BF"/>
    <w:rsid w:val="00BE1E89"/>
    <w:rsid w:val="00BE6DB8"/>
    <w:rsid w:val="00BF5066"/>
    <w:rsid w:val="00C052FF"/>
    <w:rsid w:val="00C06D44"/>
    <w:rsid w:val="00C14A75"/>
    <w:rsid w:val="00C154BD"/>
    <w:rsid w:val="00C1562C"/>
    <w:rsid w:val="00C15A68"/>
    <w:rsid w:val="00C15E55"/>
    <w:rsid w:val="00C229AE"/>
    <w:rsid w:val="00C256F1"/>
    <w:rsid w:val="00C25EDC"/>
    <w:rsid w:val="00C26492"/>
    <w:rsid w:val="00C2657D"/>
    <w:rsid w:val="00C31EEB"/>
    <w:rsid w:val="00C328D9"/>
    <w:rsid w:val="00C346C5"/>
    <w:rsid w:val="00C3530C"/>
    <w:rsid w:val="00C35E6B"/>
    <w:rsid w:val="00C44299"/>
    <w:rsid w:val="00C4640F"/>
    <w:rsid w:val="00C50038"/>
    <w:rsid w:val="00C534F9"/>
    <w:rsid w:val="00C5361F"/>
    <w:rsid w:val="00C562F7"/>
    <w:rsid w:val="00C60171"/>
    <w:rsid w:val="00C61D37"/>
    <w:rsid w:val="00C621AE"/>
    <w:rsid w:val="00C64E1A"/>
    <w:rsid w:val="00C70721"/>
    <w:rsid w:val="00C84396"/>
    <w:rsid w:val="00C85E79"/>
    <w:rsid w:val="00C9242A"/>
    <w:rsid w:val="00C9298C"/>
    <w:rsid w:val="00C92E6D"/>
    <w:rsid w:val="00C9411F"/>
    <w:rsid w:val="00CA125F"/>
    <w:rsid w:val="00CA2962"/>
    <w:rsid w:val="00CA36C3"/>
    <w:rsid w:val="00CA379D"/>
    <w:rsid w:val="00CA3EC7"/>
    <w:rsid w:val="00CA663C"/>
    <w:rsid w:val="00CB2165"/>
    <w:rsid w:val="00CB39DC"/>
    <w:rsid w:val="00CB3D6B"/>
    <w:rsid w:val="00CB5BA1"/>
    <w:rsid w:val="00CB5C31"/>
    <w:rsid w:val="00CC2772"/>
    <w:rsid w:val="00CC45CD"/>
    <w:rsid w:val="00CC735D"/>
    <w:rsid w:val="00CD2CA5"/>
    <w:rsid w:val="00CE2AEF"/>
    <w:rsid w:val="00CF160F"/>
    <w:rsid w:val="00CF4276"/>
    <w:rsid w:val="00CF565A"/>
    <w:rsid w:val="00CF6E18"/>
    <w:rsid w:val="00D01D0B"/>
    <w:rsid w:val="00D0319F"/>
    <w:rsid w:val="00D06036"/>
    <w:rsid w:val="00D115C7"/>
    <w:rsid w:val="00D164D3"/>
    <w:rsid w:val="00D22C6C"/>
    <w:rsid w:val="00D231E3"/>
    <w:rsid w:val="00D301B8"/>
    <w:rsid w:val="00D30DB3"/>
    <w:rsid w:val="00D326C3"/>
    <w:rsid w:val="00D32EB8"/>
    <w:rsid w:val="00D34502"/>
    <w:rsid w:val="00D4154B"/>
    <w:rsid w:val="00D415CD"/>
    <w:rsid w:val="00D418AD"/>
    <w:rsid w:val="00D4201D"/>
    <w:rsid w:val="00D438D2"/>
    <w:rsid w:val="00D51193"/>
    <w:rsid w:val="00D54752"/>
    <w:rsid w:val="00D551B5"/>
    <w:rsid w:val="00D5638D"/>
    <w:rsid w:val="00D57C57"/>
    <w:rsid w:val="00D74D8A"/>
    <w:rsid w:val="00D767D9"/>
    <w:rsid w:val="00D8006A"/>
    <w:rsid w:val="00D849A1"/>
    <w:rsid w:val="00D84D2A"/>
    <w:rsid w:val="00D90260"/>
    <w:rsid w:val="00D97D90"/>
    <w:rsid w:val="00D97DBA"/>
    <w:rsid w:val="00DA1DED"/>
    <w:rsid w:val="00DA2483"/>
    <w:rsid w:val="00DA4324"/>
    <w:rsid w:val="00DA6797"/>
    <w:rsid w:val="00DA79F9"/>
    <w:rsid w:val="00DB45B4"/>
    <w:rsid w:val="00DB6EC9"/>
    <w:rsid w:val="00DB785E"/>
    <w:rsid w:val="00DC793A"/>
    <w:rsid w:val="00DD0B67"/>
    <w:rsid w:val="00DD42EE"/>
    <w:rsid w:val="00DD7B59"/>
    <w:rsid w:val="00DE032C"/>
    <w:rsid w:val="00DF0B28"/>
    <w:rsid w:val="00DF1F46"/>
    <w:rsid w:val="00DF5AAA"/>
    <w:rsid w:val="00DF71D3"/>
    <w:rsid w:val="00DF727A"/>
    <w:rsid w:val="00E04838"/>
    <w:rsid w:val="00E13EA0"/>
    <w:rsid w:val="00E174CC"/>
    <w:rsid w:val="00E179DA"/>
    <w:rsid w:val="00E17B94"/>
    <w:rsid w:val="00E21D85"/>
    <w:rsid w:val="00E27495"/>
    <w:rsid w:val="00E32A1B"/>
    <w:rsid w:val="00E4660F"/>
    <w:rsid w:val="00E505D5"/>
    <w:rsid w:val="00E51099"/>
    <w:rsid w:val="00E53D9D"/>
    <w:rsid w:val="00E602ED"/>
    <w:rsid w:val="00E63748"/>
    <w:rsid w:val="00E647FA"/>
    <w:rsid w:val="00E6588E"/>
    <w:rsid w:val="00E672AA"/>
    <w:rsid w:val="00E713F2"/>
    <w:rsid w:val="00E71AC9"/>
    <w:rsid w:val="00E7296A"/>
    <w:rsid w:val="00E73B36"/>
    <w:rsid w:val="00E76DF3"/>
    <w:rsid w:val="00E83182"/>
    <w:rsid w:val="00E85CB8"/>
    <w:rsid w:val="00E87641"/>
    <w:rsid w:val="00E90B82"/>
    <w:rsid w:val="00E91D6F"/>
    <w:rsid w:val="00E93DD4"/>
    <w:rsid w:val="00E966F7"/>
    <w:rsid w:val="00EA279D"/>
    <w:rsid w:val="00EA31A3"/>
    <w:rsid w:val="00EA37D2"/>
    <w:rsid w:val="00EA67DE"/>
    <w:rsid w:val="00EA6BCE"/>
    <w:rsid w:val="00EA7185"/>
    <w:rsid w:val="00EB1E61"/>
    <w:rsid w:val="00EB46B0"/>
    <w:rsid w:val="00EB47B5"/>
    <w:rsid w:val="00EB4812"/>
    <w:rsid w:val="00EC1426"/>
    <w:rsid w:val="00EC18DD"/>
    <w:rsid w:val="00EC5A5C"/>
    <w:rsid w:val="00EC6C7A"/>
    <w:rsid w:val="00ED228A"/>
    <w:rsid w:val="00ED257F"/>
    <w:rsid w:val="00ED2FF2"/>
    <w:rsid w:val="00ED3C36"/>
    <w:rsid w:val="00EE083F"/>
    <w:rsid w:val="00EF1B33"/>
    <w:rsid w:val="00EF2F4A"/>
    <w:rsid w:val="00EF56AE"/>
    <w:rsid w:val="00EF5E50"/>
    <w:rsid w:val="00EF625F"/>
    <w:rsid w:val="00F036C0"/>
    <w:rsid w:val="00F074B5"/>
    <w:rsid w:val="00F15096"/>
    <w:rsid w:val="00F22529"/>
    <w:rsid w:val="00F26699"/>
    <w:rsid w:val="00F270F5"/>
    <w:rsid w:val="00F33648"/>
    <w:rsid w:val="00F336BE"/>
    <w:rsid w:val="00F339CB"/>
    <w:rsid w:val="00F33A61"/>
    <w:rsid w:val="00F35E71"/>
    <w:rsid w:val="00F379BA"/>
    <w:rsid w:val="00F43843"/>
    <w:rsid w:val="00F43D26"/>
    <w:rsid w:val="00F45C44"/>
    <w:rsid w:val="00F45F2D"/>
    <w:rsid w:val="00F46A93"/>
    <w:rsid w:val="00F50973"/>
    <w:rsid w:val="00F64789"/>
    <w:rsid w:val="00F66B8A"/>
    <w:rsid w:val="00F71F72"/>
    <w:rsid w:val="00F72CA8"/>
    <w:rsid w:val="00F738ED"/>
    <w:rsid w:val="00F776F0"/>
    <w:rsid w:val="00F85188"/>
    <w:rsid w:val="00F86025"/>
    <w:rsid w:val="00FA1215"/>
    <w:rsid w:val="00FA1646"/>
    <w:rsid w:val="00FA2CE3"/>
    <w:rsid w:val="00FA5EBD"/>
    <w:rsid w:val="00FB2942"/>
    <w:rsid w:val="00FB320D"/>
    <w:rsid w:val="00FB466E"/>
    <w:rsid w:val="00FB4F9F"/>
    <w:rsid w:val="00FB7B70"/>
    <w:rsid w:val="00FC19BB"/>
    <w:rsid w:val="00FC5D3A"/>
    <w:rsid w:val="00FC6528"/>
    <w:rsid w:val="00FD054D"/>
    <w:rsid w:val="00FD1387"/>
    <w:rsid w:val="00FD4DDB"/>
    <w:rsid w:val="00FD5C95"/>
    <w:rsid w:val="00FD6CFC"/>
    <w:rsid w:val="00FF0CF7"/>
    <w:rsid w:val="00FF6004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705F0"/>
  <w15:docId w15:val="{80537962-2598-481A-9A57-FEE5390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E5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FE5"/>
    <w:pPr>
      <w:ind w:left="720"/>
      <w:contextualSpacing/>
    </w:pPr>
  </w:style>
  <w:style w:type="table" w:styleId="TableGrid">
    <w:name w:val="Table Grid"/>
    <w:basedOn w:val="TableNormal"/>
    <w:uiPriority w:val="39"/>
    <w:rsid w:val="00BB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A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1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A34A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A1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1B"/>
    <w:rPr>
      <w:rFonts w:ascii="Tahoma" w:eastAsia="Times New Roman" w:hAnsi="Tahoma" w:cs="Tahoma"/>
      <w:sz w:val="16"/>
      <w:szCs w:val="16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31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F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F56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F56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45136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31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20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B0B4D"/>
    <w:rPr>
      <w:color w:val="954F72" w:themeColor="followedHyperlink"/>
      <w:u w:val="single"/>
    </w:rPr>
  </w:style>
  <w:style w:type="paragraph" w:styleId="FootnoteText">
    <w:name w:val="footnote text"/>
    <w:aliases w:val="Footnote text"/>
    <w:basedOn w:val="Normal"/>
    <w:link w:val="FootnoteTextChar"/>
    <w:rsid w:val="0039218A"/>
    <w:rPr>
      <w:rFonts w:ascii="Times New Roman" w:hAnsi="Times New Roman"/>
      <w:lang w:val="en-GB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39218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FootnoteReference">
    <w:name w:val="footnote reference"/>
    <w:aliases w:val="Footnotereference"/>
    <w:rsid w:val="0039218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DA1DED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DA1DED"/>
    <w:rPr>
      <w:rFonts w:ascii="Arial Narrow" w:eastAsia="Times New Roman" w:hAnsi="Arial Narrow" w:cs="Times New Roman"/>
      <w:noProof/>
      <w:sz w:val="20"/>
      <w:szCs w:val="20"/>
      <w:lang w:eastAsia="es-ES"/>
    </w:rPr>
  </w:style>
  <w:style w:type="paragraph" w:customStyle="1" w:styleId="EndNoteBibliography">
    <w:name w:val="EndNote Bibliography"/>
    <w:basedOn w:val="Normal"/>
    <w:link w:val="EndNoteBibliographyCar"/>
    <w:rsid w:val="00DA1DED"/>
    <w:pPr>
      <w:jc w:val="both"/>
    </w:pPr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DA1DED"/>
    <w:rPr>
      <w:rFonts w:ascii="Arial Narrow" w:eastAsia="Times New Roman" w:hAnsi="Arial Narrow" w:cs="Times New Roman"/>
      <w:noProof/>
      <w:sz w:val="20"/>
      <w:szCs w:val="20"/>
      <w:lang w:eastAsia="es-ES"/>
    </w:rPr>
  </w:style>
  <w:style w:type="paragraph" w:customStyle="1" w:styleId="Text">
    <w:name w:val="Text"/>
    <w:basedOn w:val="Normal"/>
    <w:link w:val="TextCar"/>
    <w:rsid w:val="009433FC"/>
    <w:pPr>
      <w:autoSpaceDE w:val="0"/>
      <w:autoSpaceDN w:val="0"/>
      <w:adjustRightInd w:val="0"/>
      <w:spacing w:before="240" w:line="360" w:lineRule="auto"/>
      <w:ind w:firstLine="851"/>
      <w:jc w:val="both"/>
    </w:pPr>
    <w:rPr>
      <w:rFonts w:ascii="Times New Roman" w:hAnsi="Times New Roman"/>
      <w:sz w:val="24"/>
      <w:lang w:val="en-GB"/>
    </w:rPr>
  </w:style>
  <w:style w:type="character" w:customStyle="1" w:styleId="TextCar">
    <w:name w:val="Text Car"/>
    <w:basedOn w:val="DefaultParagraphFont"/>
    <w:link w:val="Text"/>
    <w:rsid w:val="009433FC"/>
    <w:rPr>
      <w:rFonts w:ascii="Times New Roman" w:eastAsia="Times New Roman" w:hAnsi="Times New Roman" w:cs="Times New Roman"/>
      <w:sz w:val="24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o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734A-D305-4752-BA81-AF242545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Castilla-La Mancha</Company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DEL POZO RUBIO</dc:creator>
  <cp:lastModifiedBy>Shima Poudyal</cp:lastModifiedBy>
  <cp:revision>2</cp:revision>
  <cp:lastPrinted>2016-05-06T08:57:00Z</cp:lastPrinted>
  <dcterms:created xsi:type="dcterms:W3CDTF">2018-03-20T13:02:00Z</dcterms:created>
  <dcterms:modified xsi:type="dcterms:W3CDTF">2018-03-20T13:02:00Z</dcterms:modified>
</cp:coreProperties>
</file>