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E6249" w:rsidRDefault="00DC3D72" w:rsidP="00F22857">
      <w:pPr>
        <w:spacing w:before="0" w:after="0"/>
        <w:jc w:val="both"/>
        <w:rPr>
          <w:rFonts w:ascii="Arial" w:hAnsi="Arial" w:cs="Arial"/>
          <w:b/>
          <w:smallCaps/>
        </w:rPr>
      </w:pPr>
      <w:r w:rsidRPr="00F22857">
        <w:rPr>
          <w:rFonts w:ascii="Arial" w:hAnsi="Arial" w:cs="Arial"/>
          <w:b/>
          <w:smallCaps/>
        </w:rPr>
        <w:fldChar w:fldCharType="begin"/>
      </w:r>
      <w:r w:rsidRPr="00F22857">
        <w:rPr>
          <w:rFonts w:ascii="Arial" w:hAnsi="Arial" w:cs="Arial"/>
          <w:b/>
          <w:smallCaps/>
        </w:rPr>
        <w:instrText xml:space="preserve"> MACROBUTTON MTEditEquationSection2 </w:instrText>
      </w:r>
      <w:r w:rsidRPr="00F22857">
        <w:rPr>
          <w:rStyle w:val="MTEquationSection"/>
          <w:rFonts w:ascii="Arial" w:hAnsi="Arial" w:cs="Arial"/>
          <w:sz w:val="24"/>
          <w:szCs w:val="24"/>
        </w:rPr>
        <w:instrText>Equation Chapter 1 Section 1</w:instrText>
      </w:r>
      <w:r w:rsidRPr="00F22857">
        <w:rPr>
          <w:rFonts w:ascii="Arial" w:hAnsi="Arial" w:cs="Arial"/>
          <w:b/>
          <w:smallCaps/>
        </w:rPr>
        <w:fldChar w:fldCharType="begin"/>
      </w:r>
      <w:r w:rsidRPr="00F22857">
        <w:rPr>
          <w:rFonts w:ascii="Arial" w:hAnsi="Arial" w:cs="Arial"/>
          <w:b/>
          <w:smallCaps/>
        </w:rPr>
        <w:instrText xml:space="preserve"> SEQ MTEqn \r \h \* MERGEFORMAT </w:instrText>
      </w:r>
      <w:r w:rsidRPr="00F22857">
        <w:rPr>
          <w:rFonts w:ascii="Arial" w:hAnsi="Arial" w:cs="Arial"/>
          <w:b/>
          <w:smallCaps/>
        </w:rPr>
        <w:fldChar w:fldCharType="end"/>
      </w:r>
      <w:r w:rsidRPr="00F22857">
        <w:rPr>
          <w:rFonts w:ascii="Arial" w:hAnsi="Arial" w:cs="Arial"/>
          <w:b/>
          <w:smallCaps/>
        </w:rPr>
        <w:fldChar w:fldCharType="begin"/>
      </w:r>
      <w:r w:rsidRPr="00F22857">
        <w:rPr>
          <w:rFonts w:ascii="Arial" w:hAnsi="Arial" w:cs="Arial"/>
          <w:b/>
          <w:smallCaps/>
        </w:rPr>
        <w:instrText xml:space="preserve"> SEQ MTSec \r 1 \h \* MERGEFORMAT </w:instrText>
      </w:r>
      <w:r w:rsidRPr="00F22857">
        <w:rPr>
          <w:rFonts w:ascii="Arial" w:hAnsi="Arial" w:cs="Arial"/>
          <w:b/>
          <w:smallCaps/>
        </w:rPr>
        <w:fldChar w:fldCharType="end"/>
      </w:r>
      <w:r w:rsidRPr="00F22857">
        <w:rPr>
          <w:rFonts w:ascii="Arial" w:hAnsi="Arial" w:cs="Arial"/>
          <w:b/>
          <w:smallCaps/>
        </w:rPr>
        <w:fldChar w:fldCharType="begin"/>
      </w:r>
      <w:r w:rsidRPr="00F22857">
        <w:rPr>
          <w:rFonts w:ascii="Arial" w:hAnsi="Arial" w:cs="Arial"/>
          <w:b/>
          <w:smallCaps/>
        </w:rPr>
        <w:instrText xml:space="preserve"> SEQ MTChap \r 1 \h \* MERGEFORMAT </w:instrText>
      </w:r>
      <w:r w:rsidRPr="00F22857">
        <w:rPr>
          <w:rFonts w:ascii="Arial" w:hAnsi="Arial" w:cs="Arial"/>
          <w:b/>
          <w:smallCaps/>
        </w:rPr>
        <w:fldChar w:fldCharType="end"/>
      </w:r>
      <w:r w:rsidRPr="00F22857">
        <w:rPr>
          <w:rFonts w:ascii="Arial" w:hAnsi="Arial" w:cs="Arial"/>
          <w:b/>
          <w:smallCaps/>
        </w:rPr>
        <w:fldChar w:fldCharType="end"/>
      </w:r>
      <w:r w:rsidR="00F22857" w:rsidRPr="003B0347">
        <w:rPr>
          <w:rFonts w:ascii="Arial" w:hAnsi="Arial" w:cs="Arial"/>
          <w:b/>
        </w:rPr>
        <w:t>Apéndice</w:t>
      </w:r>
    </w:p>
    <w:p w:rsidR="00F22857" w:rsidRPr="00F22857" w:rsidRDefault="00F22857" w:rsidP="00F22857">
      <w:pPr>
        <w:spacing w:before="0" w:after="0"/>
        <w:jc w:val="both"/>
        <w:rPr>
          <w:rFonts w:ascii="Arial" w:hAnsi="Arial" w:cs="Arial"/>
          <w:b/>
          <w:smallCaps/>
        </w:rPr>
      </w:pPr>
    </w:p>
    <w:p w:rsidR="00DC3D72" w:rsidRPr="003B0347" w:rsidRDefault="00DC3D72" w:rsidP="00F22857">
      <w:pPr>
        <w:pStyle w:val="ListParagraph"/>
        <w:numPr>
          <w:ilvl w:val="0"/>
          <w:numId w:val="3"/>
        </w:numPr>
        <w:ind w:left="714" w:hanging="357"/>
        <w:jc w:val="both"/>
        <w:rPr>
          <w:rFonts w:ascii="Arial" w:hAnsi="Arial" w:cs="Arial"/>
          <w:b/>
        </w:rPr>
      </w:pPr>
      <w:r w:rsidRPr="003B0347">
        <w:rPr>
          <w:rFonts w:ascii="Arial" w:hAnsi="Arial" w:cs="Arial"/>
          <w:b/>
        </w:rPr>
        <w:t>Detalles formales sobre la metodología empleada</w:t>
      </w:r>
      <w:r w:rsidR="007D4B02" w:rsidRPr="003B0347">
        <w:rPr>
          <w:rFonts w:ascii="Arial" w:hAnsi="Arial" w:cs="Arial"/>
          <w:b/>
        </w:rPr>
        <w:t xml:space="preserve"> y modelos adicionales</w:t>
      </w:r>
    </w:p>
    <w:p w:rsidR="00F22857" w:rsidRDefault="00F22857" w:rsidP="00F22857">
      <w:pPr>
        <w:spacing w:before="0" w:after="0"/>
        <w:ind w:firstLine="708"/>
        <w:jc w:val="both"/>
        <w:rPr>
          <w:rFonts w:ascii="Arial" w:hAnsi="Arial" w:cs="Arial"/>
        </w:rPr>
      </w:pPr>
    </w:p>
    <w:p w:rsidR="00DC3D72" w:rsidRPr="00F22857" w:rsidRDefault="00DC3D72" w:rsidP="00F22857">
      <w:pPr>
        <w:spacing w:before="0" w:after="0"/>
        <w:ind w:firstLine="708"/>
        <w:jc w:val="both"/>
        <w:rPr>
          <w:rFonts w:ascii="Arial" w:hAnsi="Arial" w:cs="Arial"/>
        </w:rPr>
      </w:pPr>
      <w:r w:rsidRPr="00757982">
        <w:rPr>
          <w:rFonts w:ascii="Arial" w:hAnsi="Arial" w:cs="Arial"/>
        </w:rPr>
        <w:t xml:space="preserve">En el primero de los ejercicios presentados, para cada grupo de hospitales </w:t>
      </w:r>
      <w:r w:rsidRPr="00757982">
        <w:rPr>
          <w:rFonts w:ascii="Arial" w:hAnsi="Arial" w:cs="Arial"/>
          <w:i/>
        </w:rPr>
        <w:t>k</w:t>
      </w:r>
      <w:r w:rsidRPr="00757982">
        <w:rPr>
          <w:rFonts w:ascii="Arial" w:hAnsi="Arial" w:cs="Arial"/>
        </w:rPr>
        <w:t xml:space="preserve"> (k = 1,</w:t>
      </w:r>
      <w:r w:rsidRPr="00F22857">
        <w:rPr>
          <w:rFonts w:ascii="Arial" w:hAnsi="Arial" w:cs="Arial"/>
        </w:rPr>
        <w:t xml:space="preserve"> 2, 3, 4, CHPR) se estima el siguiente modelo </w:t>
      </w:r>
      <w:r w:rsidRPr="00F22857">
        <w:rPr>
          <w:rFonts w:ascii="Arial" w:hAnsi="Arial" w:cs="Arial"/>
          <w:i/>
        </w:rPr>
        <w:t>logit</w:t>
      </w:r>
      <w:r w:rsidRPr="003B0347">
        <w:rPr>
          <w:rFonts w:ascii="Arial" w:hAnsi="Arial" w:cs="Arial"/>
          <w:i/>
        </w:rPr>
        <w:t>:</w:t>
      </w:r>
    </w:p>
    <w:p w:rsidR="00DC3D72" w:rsidRPr="00F22857" w:rsidRDefault="00DC3D72" w:rsidP="00F22857">
      <w:pPr>
        <w:pStyle w:val="MTDisplayEquation"/>
        <w:spacing w:before="0" w:after="0"/>
        <w:jc w:val="both"/>
        <w:rPr>
          <w:rFonts w:ascii="Arial" w:hAnsi="Arial" w:cs="Arial"/>
        </w:rPr>
      </w:pPr>
      <w:r w:rsidRPr="00F22857">
        <w:rPr>
          <w:rFonts w:ascii="Arial" w:hAnsi="Arial" w:cs="Arial"/>
        </w:rPr>
        <w:tab/>
      </w:r>
      <w:r w:rsidR="002B4746" w:rsidRPr="00F22857">
        <w:rPr>
          <w:rFonts w:ascii="Arial" w:hAnsi="Arial" w:cs="Arial"/>
          <w:position w:val="-30"/>
        </w:rPr>
        <w:object w:dxaOrig="32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6pt;height:36.85pt" o:ole="">
            <v:imagedata r:id="rId8" o:title=""/>
          </v:shape>
          <o:OLEObject Type="Embed" ProgID="Equation.DSMT4" ShapeID="_x0000_i1025" DrawAspect="Content" ObjectID="_1584259843" r:id="rId9"/>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1</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C92FC2" w:rsidRPr="00F22857" w:rsidRDefault="00757982" w:rsidP="003B0347">
      <w:pPr>
        <w:spacing w:before="0" w:after="0"/>
        <w:jc w:val="both"/>
        <w:rPr>
          <w:rFonts w:ascii="Arial" w:hAnsi="Arial" w:cs="Arial"/>
        </w:rPr>
      </w:pPr>
      <w:r w:rsidRPr="003B0347">
        <w:rPr>
          <w:rFonts w:ascii="Arial" w:hAnsi="Arial" w:cs="Arial"/>
        </w:rPr>
        <w:t>donde</w:t>
      </w:r>
      <w:r w:rsidR="00C92FC2" w:rsidRPr="00F22857">
        <w:rPr>
          <w:rFonts w:ascii="Arial" w:hAnsi="Arial" w:cs="Arial"/>
          <w:i/>
          <w:position w:val="-10"/>
        </w:rPr>
        <w:object w:dxaOrig="440" w:dyaOrig="320">
          <v:shape id="_x0000_i1026" type="#_x0000_t75" style="width:21.9pt;height:16.4pt" o:ole="">
            <v:imagedata r:id="rId10" o:title=""/>
          </v:shape>
          <o:OLEObject Type="Embed" ProgID="Equation.DSMT4" ShapeID="_x0000_i1026" DrawAspect="Content" ObjectID="_1584259844" r:id="rId11"/>
        </w:object>
      </w:r>
      <w:r w:rsidR="00C92FC2" w:rsidRPr="00F22857">
        <w:rPr>
          <w:rFonts w:ascii="Arial" w:hAnsi="Arial" w:cs="Arial"/>
          <w:i/>
        </w:rPr>
        <w:t xml:space="preserve"> </w:t>
      </w:r>
      <w:r w:rsidR="00C92FC2" w:rsidRPr="00F22857">
        <w:rPr>
          <w:rFonts w:ascii="Arial" w:hAnsi="Arial" w:cs="Arial"/>
        </w:rPr>
        <w:t xml:space="preserve">representa la probabilidad de que el parto </w:t>
      </w:r>
      <w:r w:rsidR="00C92FC2" w:rsidRPr="00F22857">
        <w:rPr>
          <w:rFonts w:ascii="Arial" w:hAnsi="Arial" w:cs="Arial"/>
          <w:i/>
        </w:rPr>
        <w:t>i</w:t>
      </w:r>
      <w:r w:rsidR="00C92FC2" w:rsidRPr="00F22857">
        <w:rPr>
          <w:rFonts w:ascii="Arial" w:hAnsi="Arial" w:cs="Arial"/>
        </w:rPr>
        <w:t xml:space="preserve"> del grupo </w:t>
      </w:r>
      <w:r w:rsidR="00C92FC2" w:rsidRPr="00F22857">
        <w:rPr>
          <w:rFonts w:ascii="Arial" w:hAnsi="Arial" w:cs="Arial"/>
          <w:i/>
        </w:rPr>
        <w:t>k</w:t>
      </w:r>
      <w:r w:rsidR="00C92FC2" w:rsidRPr="00F22857">
        <w:rPr>
          <w:rFonts w:ascii="Arial" w:hAnsi="Arial" w:cs="Arial"/>
        </w:rPr>
        <w:t xml:space="preserve"> termine en cesárea, con la variable</w:t>
      </w:r>
      <w:r w:rsidR="00C92FC2" w:rsidRPr="00F22857">
        <w:rPr>
          <w:rFonts w:ascii="Arial" w:hAnsi="Arial" w:cs="Arial"/>
          <w:i/>
          <w:position w:val="-12"/>
        </w:rPr>
        <w:object w:dxaOrig="300" w:dyaOrig="380">
          <v:shape id="_x0000_i1027" type="#_x0000_t75" style="width:14.4pt;height:17.85pt" o:ole="">
            <v:imagedata r:id="rId12" o:title=""/>
          </v:shape>
          <o:OLEObject Type="Embed" ProgID="Equation.DSMT4" ShapeID="_x0000_i1027" DrawAspect="Content" ObjectID="_1584259845" r:id="rId13"/>
        </w:object>
      </w:r>
      <w:r w:rsidR="00C92FC2" w:rsidRPr="00F22857">
        <w:rPr>
          <w:rFonts w:ascii="Arial" w:hAnsi="Arial" w:cs="Arial"/>
        </w:rPr>
        <w:t>, que representa la cesárea, tomando el valor 1 en caso de cesárea y 0 en otro caso</w:t>
      </w:r>
      <w:r>
        <w:rPr>
          <w:rFonts w:ascii="Arial" w:hAnsi="Arial" w:cs="Arial"/>
        </w:rPr>
        <w:t>;</w:t>
      </w:r>
      <w:r w:rsidR="00C92FC2" w:rsidRPr="00F22857">
        <w:rPr>
          <w:rFonts w:ascii="Arial" w:hAnsi="Arial" w:cs="Arial"/>
        </w:rPr>
        <w:t xml:space="preserve"> </w:t>
      </w:r>
      <w:r w:rsidR="00C92FC2" w:rsidRPr="00F22857">
        <w:rPr>
          <w:rFonts w:ascii="Arial" w:hAnsi="Arial" w:cs="Arial"/>
          <w:position w:val="-12"/>
        </w:rPr>
        <w:object w:dxaOrig="360" w:dyaOrig="380">
          <v:shape id="_x0000_i1028" type="#_x0000_t75" style="width:18.15pt;height:17.85pt" o:ole="">
            <v:imagedata r:id="rId14" o:title=""/>
          </v:shape>
          <o:OLEObject Type="Embed" ProgID="Equation.DSMT4" ShapeID="_x0000_i1028" DrawAspect="Content" ObjectID="_1584259846" r:id="rId15"/>
        </w:object>
      </w:r>
      <w:r w:rsidR="00C92FC2" w:rsidRPr="00F22857">
        <w:rPr>
          <w:rFonts w:ascii="Arial" w:hAnsi="Arial" w:cs="Arial"/>
        </w:rPr>
        <w:t xml:space="preserve"> es un vector de variables médico-obstétricas y socioeconómicas correspondiente al individuo</w:t>
      </w:r>
      <w:r w:rsidR="00C92FC2" w:rsidRPr="00F22857">
        <w:rPr>
          <w:rFonts w:ascii="Arial" w:hAnsi="Arial" w:cs="Arial"/>
          <w:i/>
        </w:rPr>
        <w:t xml:space="preserve"> i</w:t>
      </w:r>
      <w:r w:rsidR="00C92FC2" w:rsidRPr="00F22857">
        <w:rPr>
          <w:rFonts w:ascii="Arial" w:hAnsi="Arial" w:cs="Arial"/>
        </w:rPr>
        <w:t xml:space="preserve"> del grupo </w:t>
      </w:r>
      <w:r w:rsidR="00C92FC2" w:rsidRPr="00F22857">
        <w:rPr>
          <w:rFonts w:ascii="Arial" w:hAnsi="Arial" w:cs="Arial"/>
          <w:i/>
        </w:rPr>
        <w:t>k</w:t>
      </w:r>
      <w:r>
        <w:rPr>
          <w:rFonts w:ascii="Arial" w:hAnsi="Arial" w:cs="Arial"/>
          <w:i/>
        </w:rPr>
        <w:t>;</w:t>
      </w:r>
      <w:r w:rsidR="00C92FC2" w:rsidRPr="00F22857">
        <w:rPr>
          <w:rFonts w:ascii="Arial" w:hAnsi="Arial" w:cs="Arial"/>
        </w:rPr>
        <w:t xml:space="preserve"> </w:t>
      </w:r>
      <w:r w:rsidR="00C92FC2" w:rsidRPr="00F22857">
        <w:rPr>
          <w:rFonts w:ascii="Arial" w:hAnsi="Arial" w:cs="Arial"/>
          <w:i/>
          <w:position w:val="-6"/>
        </w:rPr>
        <w:object w:dxaOrig="320" w:dyaOrig="320">
          <v:shape id="_x0000_i1029" type="#_x0000_t75" style="width:16.4pt;height:16.4pt" o:ole="">
            <v:imagedata r:id="rId16" o:title=""/>
          </v:shape>
          <o:OLEObject Type="Embed" ProgID="Equation.DSMT4" ShapeID="_x0000_i1029" DrawAspect="Content" ObjectID="_1584259847" r:id="rId17"/>
        </w:object>
      </w:r>
      <w:r w:rsidR="00C92FC2" w:rsidRPr="00F22857">
        <w:rPr>
          <w:rFonts w:ascii="Arial" w:hAnsi="Arial" w:cs="Arial"/>
        </w:rPr>
        <w:t xml:space="preserve"> es una constante y, junto con </w:t>
      </w:r>
      <w:r w:rsidR="00C92FC2" w:rsidRPr="00F22857">
        <w:rPr>
          <w:rFonts w:ascii="Arial" w:hAnsi="Arial" w:cs="Arial"/>
          <w:i/>
          <w:position w:val="-10"/>
        </w:rPr>
        <w:object w:dxaOrig="320" w:dyaOrig="360">
          <v:shape id="_x0000_i1030" type="#_x0000_t75" style="width:16.4pt;height:18.15pt" o:ole="">
            <v:imagedata r:id="rId18" o:title=""/>
          </v:shape>
          <o:OLEObject Type="Embed" ProgID="Equation.DSMT4" ShapeID="_x0000_i1030" DrawAspect="Content" ObjectID="_1584259848" r:id="rId19"/>
        </w:object>
      </w:r>
      <w:r w:rsidR="00C92FC2" w:rsidRPr="00F22857">
        <w:rPr>
          <w:rFonts w:ascii="Arial" w:hAnsi="Arial" w:cs="Arial"/>
        </w:rPr>
        <w:t xml:space="preserve">, el vector de coeficientes asociados a cada característica, configuran el conjunto de parámetros a estimar. </w:t>
      </w:r>
      <w:r w:rsidR="005D6AA6" w:rsidRPr="00F22857">
        <w:rPr>
          <w:rFonts w:ascii="Arial" w:hAnsi="Arial" w:cs="Arial"/>
        </w:rPr>
        <w:t xml:space="preserve">Los estimadores de dichos coeficientes vienen dados por </w:t>
      </w:r>
      <w:r w:rsidR="005D6AA6" w:rsidRPr="00F22857">
        <w:rPr>
          <w:rFonts w:ascii="Arial" w:hAnsi="Arial" w:cs="Arial"/>
          <w:position w:val="-6"/>
        </w:rPr>
        <w:object w:dxaOrig="340" w:dyaOrig="380">
          <v:shape id="_x0000_i1031" type="#_x0000_t75" style="width:18.15pt;height:17.85pt" o:ole="">
            <v:imagedata r:id="rId20" o:title=""/>
          </v:shape>
          <o:OLEObject Type="Embed" ProgID="Equation.DSMT4" ShapeID="_x0000_i1031" DrawAspect="Content" ObjectID="_1584259849" r:id="rId21"/>
        </w:object>
      </w:r>
      <w:r w:rsidR="005D6AA6" w:rsidRPr="00F22857">
        <w:rPr>
          <w:rFonts w:ascii="Arial" w:hAnsi="Arial" w:cs="Arial"/>
        </w:rPr>
        <w:t xml:space="preserve"> y</w:t>
      </w:r>
      <w:r w:rsidR="00E819C4">
        <w:rPr>
          <w:rFonts w:ascii="Arial" w:hAnsi="Arial" w:cs="Arial"/>
        </w:rPr>
        <w:t xml:space="preserve"> </w:t>
      </w:r>
      <w:r w:rsidR="005D6AA6" w:rsidRPr="00F22857">
        <w:rPr>
          <w:rFonts w:ascii="Arial" w:hAnsi="Arial" w:cs="Arial"/>
          <w:position w:val="-10"/>
        </w:rPr>
        <w:object w:dxaOrig="340" w:dyaOrig="420">
          <v:shape id="_x0000_i1032" type="#_x0000_t75" style="width:18.15pt;height:21.9pt" o:ole="">
            <v:imagedata r:id="rId22" o:title=""/>
          </v:shape>
          <o:OLEObject Type="Embed" ProgID="Equation.DSMT4" ShapeID="_x0000_i1032" DrawAspect="Content" ObjectID="_1584259850" r:id="rId23"/>
        </w:object>
      </w:r>
      <w:r w:rsidR="005D6AA6" w:rsidRPr="00F22857">
        <w:rPr>
          <w:rFonts w:ascii="Arial" w:hAnsi="Arial" w:cs="Arial"/>
        </w:rPr>
        <w:t>. A continuación se predicen las probabilidades de cesárea para el total de la población de Uruguay utilizando los coeficientes de cada grupo</w:t>
      </w:r>
      <w:r>
        <w:rPr>
          <w:rFonts w:ascii="Arial" w:hAnsi="Arial" w:cs="Arial"/>
        </w:rPr>
        <w:t>; e</w:t>
      </w:r>
      <w:r w:rsidR="005D6AA6" w:rsidRPr="00F22857">
        <w:rPr>
          <w:rFonts w:ascii="Arial" w:hAnsi="Arial" w:cs="Arial"/>
        </w:rPr>
        <w:t xml:space="preserve">sto es, para cualquier parto </w:t>
      </w:r>
      <w:r w:rsidR="005D6AA6" w:rsidRPr="00F22857">
        <w:rPr>
          <w:rFonts w:ascii="Arial" w:hAnsi="Arial" w:cs="Arial"/>
          <w:i/>
        </w:rPr>
        <w:t>i</w:t>
      </w:r>
      <w:r w:rsidR="005D6AA6" w:rsidRPr="003B0347">
        <w:rPr>
          <w:rFonts w:ascii="Arial" w:hAnsi="Arial" w:cs="Arial"/>
          <w:i/>
        </w:rPr>
        <w:t>,</w:t>
      </w:r>
      <w:r w:rsidR="005D6AA6" w:rsidRPr="00F22857">
        <w:rPr>
          <w:rFonts w:ascii="Arial" w:hAnsi="Arial" w:cs="Arial"/>
        </w:rPr>
        <w:t xml:space="preserve"> la probabilidad de cesárea de acuerdo con los coeficientes estimados del grupo </w:t>
      </w:r>
      <w:r w:rsidR="005D6AA6" w:rsidRPr="00F22857">
        <w:rPr>
          <w:rFonts w:ascii="Arial" w:hAnsi="Arial" w:cs="Arial"/>
          <w:i/>
        </w:rPr>
        <w:t>k</w:t>
      </w:r>
      <w:r w:rsidR="005D6AA6" w:rsidRPr="00F22857">
        <w:rPr>
          <w:rFonts w:ascii="Arial" w:hAnsi="Arial" w:cs="Arial"/>
        </w:rPr>
        <w:t xml:space="preserve"> vendrá dada por</w:t>
      </w:r>
    </w:p>
    <w:p w:rsidR="005D6AA6" w:rsidRPr="00F22857" w:rsidRDefault="005D6AA6" w:rsidP="00F22857">
      <w:pPr>
        <w:pStyle w:val="MTDisplayEquation"/>
        <w:spacing w:before="0" w:after="0"/>
        <w:jc w:val="both"/>
        <w:rPr>
          <w:rFonts w:ascii="Arial" w:hAnsi="Arial" w:cs="Arial"/>
        </w:rPr>
      </w:pPr>
      <w:r w:rsidRPr="00F22857">
        <w:rPr>
          <w:rFonts w:ascii="Arial" w:hAnsi="Arial" w:cs="Arial"/>
        </w:rPr>
        <w:tab/>
      </w:r>
      <w:r w:rsidR="0085790A" w:rsidRPr="00F22857">
        <w:rPr>
          <w:rFonts w:ascii="Arial" w:hAnsi="Arial" w:cs="Arial"/>
          <w:position w:val="-30"/>
        </w:rPr>
        <w:object w:dxaOrig="3200" w:dyaOrig="780">
          <v:shape id="_x0000_i1033" type="#_x0000_t75" style="width:160.4pt;height:38.6pt" o:ole="">
            <v:imagedata r:id="rId24" o:title=""/>
          </v:shape>
          <o:OLEObject Type="Embed" ProgID="Equation.DSMT4" ShapeID="_x0000_i1033" DrawAspect="Content" ObjectID="_1584259851" r:id="rId25"/>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2</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5D6AA6" w:rsidRPr="00F22857" w:rsidRDefault="005D6AA6" w:rsidP="00F22857">
      <w:pPr>
        <w:spacing w:before="0" w:after="0"/>
        <w:jc w:val="both"/>
        <w:rPr>
          <w:rFonts w:ascii="Arial" w:hAnsi="Arial" w:cs="Arial"/>
        </w:rPr>
      </w:pPr>
      <w:r w:rsidRPr="00F22857">
        <w:rPr>
          <w:rFonts w:ascii="Arial" w:hAnsi="Arial" w:cs="Arial"/>
        </w:rPr>
        <w:tab/>
        <w:t>Seguidamente calculamos la probabilidad media para el total de la población de Uruguay:</w:t>
      </w:r>
    </w:p>
    <w:p w:rsidR="005D6AA6" w:rsidRPr="00F22857" w:rsidRDefault="005D6AA6" w:rsidP="00F22857">
      <w:pPr>
        <w:pStyle w:val="MTDisplayEquation"/>
        <w:spacing w:before="0" w:after="0"/>
        <w:jc w:val="both"/>
        <w:rPr>
          <w:rFonts w:ascii="Arial" w:hAnsi="Arial" w:cs="Arial"/>
        </w:rPr>
      </w:pPr>
      <w:r w:rsidRPr="00F22857">
        <w:rPr>
          <w:rFonts w:ascii="Arial" w:hAnsi="Arial" w:cs="Arial"/>
        </w:rPr>
        <w:tab/>
      </w:r>
      <w:r w:rsidR="002B4746" w:rsidRPr="00F22857">
        <w:rPr>
          <w:rFonts w:ascii="Arial" w:hAnsi="Arial" w:cs="Arial"/>
          <w:position w:val="-28"/>
        </w:rPr>
        <w:object w:dxaOrig="2600" w:dyaOrig="660">
          <v:shape id="_x0000_i1034" type="#_x0000_t75" style="width:130.45pt;height:34pt" o:ole="">
            <v:imagedata r:id="rId26" o:title=""/>
          </v:shape>
          <o:OLEObject Type="Embed" ProgID="Equation.DSMT4" ShapeID="_x0000_i1034" DrawAspect="Content" ObjectID="_1584259852" r:id="rId27"/>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3</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2E5183" w:rsidRPr="00F22857" w:rsidRDefault="005D6AA6" w:rsidP="00F22857">
      <w:pPr>
        <w:spacing w:before="0" w:after="0"/>
        <w:jc w:val="both"/>
        <w:rPr>
          <w:rFonts w:ascii="Arial" w:hAnsi="Arial" w:cs="Arial"/>
        </w:rPr>
      </w:pPr>
      <w:r w:rsidRPr="00F22857">
        <w:rPr>
          <w:rFonts w:ascii="Arial" w:hAnsi="Arial" w:cs="Arial"/>
        </w:rPr>
        <w:tab/>
      </w:r>
      <w:r w:rsidR="00F30824" w:rsidRPr="00F22857">
        <w:rPr>
          <w:rFonts w:ascii="Arial" w:hAnsi="Arial" w:cs="Arial"/>
        </w:rPr>
        <w:t xml:space="preserve">El error estándar de esta expresión se calcula </w:t>
      </w:r>
      <w:r w:rsidR="00757982">
        <w:rPr>
          <w:rFonts w:ascii="Arial" w:hAnsi="Arial" w:cs="Arial"/>
        </w:rPr>
        <w:t>mediante el</w:t>
      </w:r>
      <w:r w:rsidR="00F30824" w:rsidRPr="00F22857">
        <w:rPr>
          <w:rFonts w:ascii="Arial" w:hAnsi="Arial" w:cs="Arial"/>
        </w:rPr>
        <w:t xml:space="preserve"> método Delta.</w:t>
      </w:r>
      <w:r w:rsidR="002E5183" w:rsidRPr="00F22857">
        <w:rPr>
          <w:rFonts w:ascii="Arial" w:hAnsi="Arial" w:cs="Arial"/>
        </w:rPr>
        <w:t xml:space="preserve"> </w:t>
      </w:r>
    </w:p>
    <w:p w:rsidR="00F30824" w:rsidRPr="00F22857" w:rsidRDefault="002E5183" w:rsidP="00F22857">
      <w:pPr>
        <w:spacing w:before="0" w:after="0"/>
        <w:ind w:firstLine="708"/>
        <w:jc w:val="both"/>
        <w:rPr>
          <w:rFonts w:ascii="Arial" w:hAnsi="Arial" w:cs="Arial"/>
        </w:rPr>
      </w:pPr>
      <w:r w:rsidRPr="00F22857">
        <w:rPr>
          <w:rFonts w:ascii="Arial" w:hAnsi="Arial" w:cs="Arial"/>
        </w:rPr>
        <w:t>A fin de posibilitar las comparaciones entre las distintas probabilidades predichas, calculamos la</w:t>
      </w:r>
      <w:r w:rsidRPr="00F22857">
        <w:rPr>
          <w:rFonts w:ascii="Arial" w:hAnsi="Arial" w:cs="Arial"/>
          <w:i/>
        </w:rPr>
        <w:t xml:space="preserve"> ratio</w:t>
      </w:r>
      <w:r w:rsidRPr="00F22857">
        <w:rPr>
          <w:rFonts w:ascii="Arial" w:hAnsi="Arial" w:cs="Arial"/>
        </w:rPr>
        <w:t xml:space="preserve"> entre la probabilidad predicha para cada una de las </w:t>
      </w:r>
      <w:r w:rsidR="00757982">
        <w:rPr>
          <w:rFonts w:ascii="Arial" w:hAnsi="Arial" w:cs="Arial"/>
        </w:rPr>
        <w:t>cuatro</w:t>
      </w:r>
      <w:r w:rsidR="00757982" w:rsidRPr="00F22857">
        <w:rPr>
          <w:rFonts w:ascii="Arial" w:hAnsi="Arial" w:cs="Arial"/>
        </w:rPr>
        <w:t xml:space="preserve"> </w:t>
      </w:r>
      <w:r w:rsidRPr="00F22857">
        <w:rPr>
          <w:rFonts w:ascii="Arial" w:hAnsi="Arial" w:cs="Arial"/>
        </w:rPr>
        <w:t>categorías y el CHPR (el que muestra una menor incidencia de cesáreas</w:t>
      </w:r>
      <w:r w:rsidR="002B4746" w:rsidRPr="00F22857">
        <w:rPr>
          <w:rFonts w:ascii="Arial" w:hAnsi="Arial" w:cs="Arial"/>
        </w:rPr>
        <w:t>)</w:t>
      </w:r>
      <w:r w:rsidRPr="00F22857">
        <w:rPr>
          <w:rFonts w:ascii="Arial" w:hAnsi="Arial" w:cs="Arial"/>
        </w:rPr>
        <w:t>:</w:t>
      </w:r>
    </w:p>
    <w:p w:rsidR="002E5183" w:rsidRPr="00F22857" w:rsidRDefault="002E5183" w:rsidP="00F22857">
      <w:pPr>
        <w:pStyle w:val="MTDisplayEquation"/>
        <w:spacing w:before="0" w:after="0"/>
        <w:jc w:val="both"/>
        <w:rPr>
          <w:rFonts w:ascii="Arial" w:hAnsi="Arial" w:cs="Arial"/>
        </w:rPr>
      </w:pPr>
      <w:r w:rsidRPr="00F22857">
        <w:rPr>
          <w:rFonts w:ascii="Arial" w:hAnsi="Arial" w:cs="Arial"/>
        </w:rPr>
        <w:tab/>
      </w:r>
      <w:r w:rsidR="002B4746" w:rsidRPr="00F22857">
        <w:rPr>
          <w:rFonts w:ascii="Arial" w:hAnsi="Arial" w:cs="Arial"/>
          <w:position w:val="-40"/>
        </w:rPr>
        <w:object w:dxaOrig="1900" w:dyaOrig="859">
          <v:shape id="_x0000_i1035" type="#_x0000_t75" style="width:95.6pt;height:43.5pt" o:ole="">
            <v:imagedata r:id="rId28" o:title=""/>
          </v:shape>
          <o:OLEObject Type="Embed" ProgID="Equation.DSMT4" ShapeID="_x0000_i1035" DrawAspect="Content" ObjectID="_1584259853" r:id="rId29"/>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B56114" w:rsidRPr="00F22857">
        <w:rPr>
          <w:rFonts w:ascii="Arial" w:hAnsi="Arial" w:cs="Arial"/>
        </w:rPr>
        <w:fldChar w:fldCharType="begin"/>
      </w:r>
      <w:r w:rsidR="00B56114" w:rsidRPr="00F22857">
        <w:rPr>
          <w:rFonts w:ascii="Arial" w:hAnsi="Arial" w:cs="Arial"/>
        </w:rPr>
        <w:instrText xml:space="preserve"> SEQ MTEqn \c \* Arabic \* MERGEFORMAT </w:instrText>
      </w:r>
      <w:r w:rsidR="00B56114" w:rsidRPr="00F22857">
        <w:rPr>
          <w:rFonts w:ascii="Arial" w:hAnsi="Arial" w:cs="Arial"/>
        </w:rPr>
        <w:fldChar w:fldCharType="separate"/>
      </w:r>
      <w:r w:rsidR="002B4746" w:rsidRPr="00F22857">
        <w:rPr>
          <w:rFonts w:ascii="Arial" w:hAnsi="Arial" w:cs="Arial"/>
          <w:noProof/>
        </w:rPr>
        <w:instrText>4</w:instrText>
      </w:r>
      <w:r w:rsidR="00B56114"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2E5183" w:rsidRPr="00F22857" w:rsidRDefault="002B4746" w:rsidP="00F22857">
      <w:pPr>
        <w:spacing w:before="0" w:after="0"/>
        <w:ind w:firstLine="708"/>
        <w:jc w:val="both"/>
        <w:rPr>
          <w:rFonts w:ascii="Arial" w:hAnsi="Arial" w:cs="Arial"/>
        </w:rPr>
      </w:pPr>
      <w:r w:rsidRPr="00F22857">
        <w:rPr>
          <w:rFonts w:ascii="Arial" w:hAnsi="Arial" w:cs="Arial"/>
        </w:rPr>
        <w:t xml:space="preserve">Los errores estándar de las </w:t>
      </w:r>
      <w:r w:rsidRPr="00F22857">
        <w:rPr>
          <w:rFonts w:ascii="Arial" w:hAnsi="Arial" w:cs="Arial"/>
          <w:i/>
        </w:rPr>
        <w:t>ratios</w:t>
      </w:r>
      <w:r w:rsidRPr="00F22857">
        <w:rPr>
          <w:rFonts w:ascii="Arial" w:hAnsi="Arial" w:cs="Arial"/>
        </w:rPr>
        <w:t xml:space="preserve"> se calculan por procedimientos de remuestreo (</w:t>
      </w:r>
      <w:r w:rsidRPr="00F22857">
        <w:rPr>
          <w:rFonts w:ascii="Arial" w:hAnsi="Arial" w:cs="Arial"/>
          <w:i/>
        </w:rPr>
        <w:t>bootstrap</w:t>
      </w:r>
      <w:r w:rsidRPr="00F22857">
        <w:rPr>
          <w:rFonts w:ascii="Arial" w:hAnsi="Arial" w:cs="Arial"/>
        </w:rPr>
        <w:t xml:space="preserve"> sin reposición con 500 replicaciones).</w:t>
      </w:r>
    </w:p>
    <w:p w:rsidR="005D6AA6" w:rsidRPr="00F22857" w:rsidRDefault="005D6AA6" w:rsidP="00F22857">
      <w:pPr>
        <w:spacing w:before="0" w:after="0"/>
        <w:ind w:firstLine="708"/>
        <w:jc w:val="both"/>
        <w:rPr>
          <w:rFonts w:ascii="Arial" w:hAnsi="Arial" w:cs="Arial"/>
        </w:rPr>
      </w:pPr>
      <w:r w:rsidRPr="00F22857">
        <w:rPr>
          <w:rFonts w:ascii="Arial" w:hAnsi="Arial" w:cs="Arial"/>
        </w:rPr>
        <w:lastRenderedPageBreak/>
        <w:t xml:space="preserve">En el segundo caso, la OMS estudia la probabilidad de cesárea en una serie de </w:t>
      </w:r>
      <w:r w:rsidR="00D075BD" w:rsidRPr="00F22857">
        <w:rPr>
          <w:rFonts w:ascii="Arial" w:hAnsi="Arial" w:cs="Arial"/>
        </w:rPr>
        <w:t>centros</w:t>
      </w:r>
      <w:r w:rsidRPr="00F22857">
        <w:rPr>
          <w:rFonts w:ascii="Arial" w:hAnsi="Arial" w:cs="Arial"/>
        </w:rPr>
        <w:t xml:space="preserve"> hospitalarios de referencia, que podemos denominar </w:t>
      </w:r>
      <w:r w:rsidRPr="00F22857">
        <w:rPr>
          <w:rFonts w:ascii="Arial" w:hAnsi="Arial" w:cs="Arial"/>
          <w:i/>
        </w:rPr>
        <w:t>k</w:t>
      </w:r>
      <w:r w:rsidRPr="00F22857">
        <w:rPr>
          <w:rFonts w:ascii="Arial" w:hAnsi="Arial" w:cs="Arial"/>
        </w:rPr>
        <w:t xml:space="preserve"> = OMS. </w:t>
      </w:r>
      <w:r w:rsidR="003B6EB6" w:rsidRPr="00F22857">
        <w:rPr>
          <w:rFonts w:ascii="Arial" w:hAnsi="Arial" w:cs="Arial"/>
        </w:rPr>
        <w:t>De este modo, se estima el modelo siguiente:</w:t>
      </w:r>
    </w:p>
    <w:p w:rsidR="005D6AA6" w:rsidRPr="00F22857" w:rsidRDefault="005D6AA6" w:rsidP="00F22857">
      <w:pPr>
        <w:pStyle w:val="MTDisplayEquation"/>
        <w:spacing w:before="0" w:after="0"/>
        <w:jc w:val="both"/>
        <w:rPr>
          <w:rFonts w:ascii="Arial" w:hAnsi="Arial" w:cs="Arial"/>
        </w:rPr>
      </w:pPr>
      <w:r w:rsidRPr="00F22857">
        <w:rPr>
          <w:rFonts w:ascii="Arial" w:hAnsi="Arial" w:cs="Arial"/>
        </w:rPr>
        <w:tab/>
      </w:r>
      <w:r w:rsidRPr="00F22857">
        <w:rPr>
          <w:rFonts w:ascii="Arial" w:hAnsi="Arial" w:cs="Arial"/>
          <w:position w:val="-30"/>
        </w:rPr>
        <w:object w:dxaOrig="4160" w:dyaOrig="720">
          <v:shape id="_x0000_i1036" type="#_x0000_t75" style="width:207.95pt;height:36.85pt" o:ole="">
            <v:imagedata r:id="rId30" o:title=""/>
          </v:shape>
          <o:OLEObject Type="Embed" ProgID="Equation.DSMT4" ShapeID="_x0000_i1036" DrawAspect="Content" ObjectID="_1584259854" r:id="rId31"/>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5</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4F5BA1" w:rsidRPr="00F22857" w:rsidRDefault="004F5BA1" w:rsidP="00F22857">
      <w:pPr>
        <w:spacing w:before="0" w:after="0"/>
        <w:jc w:val="both"/>
        <w:rPr>
          <w:rFonts w:ascii="Arial" w:hAnsi="Arial" w:cs="Arial"/>
        </w:rPr>
      </w:pPr>
      <w:r w:rsidRPr="00F22857">
        <w:rPr>
          <w:rFonts w:ascii="Arial" w:hAnsi="Arial" w:cs="Arial"/>
        </w:rPr>
        <w:t xml:space="preserve">obteniendo los estimadores </w:t>
      </w:r>
      <w:r w:rsidRPr="00F22857">
        <w:rPr>
          <w:rFonts w:ascii="Arial" w:hAnsi="Arial" w:cs="Arial"/>
          <w:position w:val="-6"/>
        </w:rPr>
        <w:object w:dxaOrig="560" w:dyaOrig="380">
          <v:shape id="_x0000_i1037" type="#_x0000_t75" style="width:28.5pt;height:17.85pt" o:ole="">
            <v:imagedata r:id="rId32" o:title=""/>
          </v:shape>
          <o:OLEObject Type="Embed" ProgID="Equation.DSMT4" ShapeID="_x0000_i1037" DrawAspect="Content" ObjectID="_1584259855" r:id="rId33"/>
        </w:object>
      </w:r>
      <w:r w:rsidRPr="00F22857">
        <w:rPr>
          <w:rFonts w:ascii="Arial" w:hAnsi="Arial" w:cs="Arial"/>
        </w:rPr>
        <w:t xml:space="preserve"> y</w:t>
      </w:r>
      <w:r w:rsidR="00E819C4">
        <w:rPr>
          <w:rFonts w:ascii="Arial" w:hAnsi="Arial" w:cs="Arial"/>
        </w:rPr>
        <w:t xml:space="preserve"> </w:t>
      </w:r>
      <w:r w:rsidRPr="00F22857">
        <w:rPr>
          <w:rFonts w:ascii="Arial" w:hAnsi="Arial" w:cs="Arial"/>
          <w:position w:val="-10"/>
        </w:rPr>
        <w:object w:dxaOrig="560" w:dyaOrig="420">
          <v:shape id="_x0000_i1038" type="#_x0000_t75" style="width:28.5pt;height:21.9pt" o:ole="">
            <v:imagedata r:id="rId34" o:title=""/>
          </v:shape>
          <o:OLEObject Type="Embed" ProgID="Equation.DSMT4" ShapeID="_x0000_i1038" DrawAspect="Content" ObjectID="_1584259856" r:id="rId35"/>
        </w:object>
      </w:r>
      <w:r w:rsidR="00D075BD" w:rsidRPr="00F22857">
        <w:rPr>
          <w:rFonts w:ascii="Arial" w:hAnsi="Arial" w:cs="Arial"/>
        </w:rPr>
        <w:t xml:space="preserve">. La probabilidad predicha de cesárea para un parto </w:t>
      </w:r>
      <w:r w:rsidR="00D075BD" w:rsidRPr="003B0347">
        <w:rPr>
          <w:rFonts w:ascii="Arial" w:hAnsi="Arial" w:cs="Arial"/>
          <w:i/>
        </w:rPr>
        <w:t>i</w:t>
      </w:r>
      <w:r w:rsidR="00D075BD" w:rsidRPr="00F22857">
        <w:rPr>
          <w:rFonts w:ascii="Arial" w:hAnsi="Arial" w:cs="Arial"/>
        </w:rPr>
        <w:t xml:space="preserve"> con características </w:t>
      </w:r>
      <w:r w:rsidR="00D075BD" w:rsidRPr="00F22857">
        <w:rPr>
          <w:rFonts w:ascii="Arial" w:hAnsi="Arial" w:cs="Arial"/>
          <w:i/>
        </w:rPr>
        <w:t>X</w:t>
      </w:r>
      <w:r w:rsidR="00D075BD" w:rsidRPr="00F22857">
        <w:rPr>
          <w:rFonts w:ascii="Arial" w:hAnsi="Arial" w:cs="Arial"/>
          <w:i/>
          <w:vertAlign w:val="subscript"/>
        </w:rPr>
        <w:t xml:space="preserve">i </w:t>
      </w:r>
      <w:r w:rsidR="00D075BD" w:rsidRPr="00F22857">
        <w:rPr>
          <w:rFonts w:ascii="Arial" w:hAnsi="Arial" w:cs="Arial"/>
        </w:rPr>
        <w:t>vendrá dada por</w:t>
      </w:r>
    </w:p>
    <w:p w:rsidR="004F5BA1" w:rsidRPr="00F22857" w:rsidRDefault="004F5BA1" w:rsidP="00F22857">
      <w:pPr>
        <w:pStyle w:val="MTDisplayEquation"/>
        <w:spacing w:before="0" w:after="0"/>
        <w:jc w:val="both"/>
        <w:rPr>
          <w:rFonts w:ascii="Arial" w:hAnsi="Arial" w:cs="Arial"/>
        </w:rPr>
      </w:pPr>
      <w:r w:rsidRPr="00F22857">
        <w:rPr>
          <w:rFonts w:ascii="Arial" w:hAnsi="Arial" w:cs="Arial"/>
        </w:rPr>
        <w:tab/>
      </w:r>
      <w:r w:rsidR="0085790A" w:rsidRPr="00F22857">
        <w:rPr>
          <w:rFonts w:ascii="Arial" w:hAnsi="Arial" w:cs="Arial"/>
          <w:position w:val="-30"/>
        </w:rPr>
        <w:object w:dxaOrig="3980" w:dyaOrig="780">
          <v:shape id="_x0000_i1039" type="#_x0000_t75" style="width:199.6pt;height:38.6pt" o:ole="">
            <v:imagedata r:id="rId36" o:title=""/>
          </v:shape>
          <o:OLEObject Type="Embed" ProgID="Equation.DSMT4" ShapeID="_x0000_i1039" DrawAspect="Content" ObjectID="_1584259857" r:id="rId37"/>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6</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D075BD" w:rsidRPr="00F22857" w:rsidRDefault="00D075BD" w:rsidP="00F22857">
      <w:pPr>
        <w:spacing w:before="0" w:after="0"/>
        <w:jc w:val="both"/>
        <w:rPr>
          <w:rFonts w:ascii="Arial" w:hAnsi="Arial" w:cs="Arial"/>
        </w:rPr>
      </w:pPr>
      <w:r w:rsidRPr="00F22857">
        <w:rPr>
          <w:rFonts w:ascii="Arial" w:hAnsi="Arial" w:cs="Arial"/>
        </w:rPr>
        <w:t xml:space="preserve">La herramienta </w:t>
      </w:r>
      <w:r w:rsidRPr="00F22857">
        <w:rPr>
          <w:rFonts w:ascii="Arial" w:hAnsi="Arial" w:cs="Arial"/>
          <w:i/>
        </w:rPr>
        <w:t>online</w:t>
      </w:r>
      <w:r w:rsidRPr="00F22857">
        <w:rPr>
          <w:rFonts w:ascii="Arial" w:hAnsi="Arial" w:cs="Arial"/>
        </w:rPr>
        <w:t xml:space="preserve"> de la OMS permite aplicar los coeficientes a cualquier muestra (como nuestros grupos de hospitales) y obtener la probabilidad media. Así, la probabilidad media </w:t>
      </w:r>
      <w:r w:rsidR="00757982">
        <w:rPr>
          <w:rFonts w:ascii="Arial" w:hAnsi="Arial" w:cs="Arial"/>
        </w:rPr>
        <w:t xml:space="preserve">de </w:t>
      </w:r>
      <w:r w:rsidRPr="00F22857">
        <w:rPr>
          <w:rFonts w:ascii="Arial" w:hAnsi="Arial" w:cs="Arial"/>
        </w:rPr>
        <w:t xml:space="preserve">cesárea para la población atendida por el grupo de hospitales </w:t>
      </w:r>
      <w:r w:rsidRPr="00F22857">
        <w:rPr>
          <w:rFonts w:ascii="Arial" w:hAnsi="Arial" w:cs="Arial"/>
          <w:i/>
        </w:rPr>
        <w:t>k</w:t>
      </w:r>
      <w:r w:rsidR="00757982">
        <w:rPr>
          <w:rFonts w:ascii="Arial" w:hAnsi="Arial" w:cs="Arial"/>
          <w:i/>
        </w:rPr>
        <w:t>,</w:t>
      </w:r>
      <w:r w:rsidRPr="00F22857">
        <w:rPr>
          <w:rFonts w:ascii="Arial" w:hAnsi="Arial" w:cs="Arial"/>
        </w:rPr>
        <w:t xml:space="preserve"> si estos se comportasen de forma idéntica a los hospitales de referencia del estudio de la OMS</w:t>
      </w:r>
      <w:r w:rsidR="00757982">
        <w:rPr>
          <w:rFonts w:ascii="Arial" w:hAnsi="Arial" w:cs="Arial"/>
        </w:rPr>
        <w:t>,</w:t>
      </w:r>
      <w:r w:rsidRPr="00F22857">
        <w:rPr>
          <w:rFonts w:ascii="Arial" w:hAnsi="Arial" w:cs="Arial"/>
        </w:rPr>
        <w:t xml:space="preserve"> sería: </w:t>
      </w:r>
    </w:p>
    <w:p w:rsidR="004F5BA1" w:rsidRPr="00F22857" w:rsidRDefault="004F5BA1" w:rsidP="00F22857">
      <w:pPr>
        <w:pStyle w:val="MTDisplayEquation"/>
        <w:spacing w:before="0" w:after="0"/>
        <w:jc w:val="both"/>
        <w:rPr>
          <w:rFonts w:ascii="Arial" w:hAnsi="Arial" w:cs="Arial"/>
        </w:rPr>
      </w:pPr>
      <w:r w:rsidRPr="00F22857">
        <w:rPr>
          <w:rFonts w:ascii="Arial" w:hAnsi="Arial" w:cs="Arial"/>
        </w:rPr>
        <w:tab/>
      </w:r>
      <w:r w:rsidR="00D075BD" w:rsidRPr="00F22857">
        <w:rPr>
          <w:rFonts w:ascii="Arial" w:hAnsi="Arial" w:cs="Arial"/>
          <w:position w:val="-30"/>
        </w:rPr>
        <w:object w:dxaOrig="3080" w:dyaOrig="680">
          <v:shape id="_x0000_i1040" type="#_x0000_t75" style="width:154.35pt;height:34pt" o:ole="">
            <v:imagedata r:id="rId38" o:title=""/>
          </v:shape>
          <o:OLEObject Type="Embed" ProgID="Equation.DSMT4" ShapeID="_x0000_i1040" DrawAspect="Content" ObjectID="_1584259858" r:id="rId39"/>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7</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F30824" w:rsidRPr="00F22857" w:rsidRDefault="00757982" w:rsidP="00F22857">
      <w:pPr>
        <w:spacing w:before="0" w:after="0"/>
        <w:jc w:val="both"/>
        <w:rPr>
          <w:rFonts w:ascii="Arial" w:hAnsi="Arial" w:cs="Arial"/>
        </w:rPr>
      </w:pPr>
      <w:r>
        <w:rPr>
          <w:rFonts w:ascii="Arial" w:hAnsi="Arial" w:cs="Arial"/>
        </w:rPr>
        <w:t>donde</w:t>
      </w:r>
      <w:r w:rsidR="004F5BA1" w:rsidRPr="00F22857">
        <w:rPr>
          <w:rFonts w:ascii="Arial" w:hAnsi="Arial" w:cs="Arial"/>
          <w:position w:val="-10"/>
        </w:rPr>
        <w:object w:dxaOrig="680" w:dyaOrig="480">
          <v:shape id="_x0000_i1041" type="#_x0000_t75" style="width:34pt;height:23.6pt" o:ole="">
            <v:imagedata r:id="rId40" o:title=""/>
          </v:shape>
          <o:OLEObject Type="Embed" ProgID="Equation.DSMT4" ShapeID="_x0000_i1041" DrawAspect="Content" ObjectID="_1584259859" r:id="rId41"/>
        </w:object>
      </w:r>
      <w:r w:rsidR="004F5BA1" w:rsidRPr="00F22857">
        <w:rPr>
          <w:rFonts w:ascii="Arial" w:hAnsi="Arial" w:cs="Arial"/>
        </w:rPr>
        <w:t xml:space="preserve"> representa la tasa de cesáreas del grupo de hospitales </w:t>
      </w:r>
      <w:r w:rsidR="004F5BA1" w:rsidRPr="00F22857">
        <w:rPr>
          <w:rFonts w:ascii="Arial" w:hAnsi="Arial" w:cs="Arial"/>
          <w:i/>
        </w:rPr>
        <w:t>k</w:t>
      </w:r>
      <w:r w:rsidR="004F5BA1" w:rsidRPr="003B0347">
        <w:rPr>
          <w:rFonts w:ascii="Arial" w:hAnsi="Arial" w:cs="Arial"/>
          <w:i/>
        </w:rPr>
        <w:t>,</w:t>
      </w:r>
      <w:r w:rsidR="004F5BA1" w:rsidRPr="00F22857">
        <w:rPr>
          <w:rFonts w:ascii="Arial" w:hAnsi="Arial" w:cs="Arial"/>
        </w:rPr>
        <w:t xml:space="preserve"> que puede referirse a las categorías 1, 2, 3 y 4, al CHPR o al total de la población d</w:t>
      </w:r>
      <w:r w:rsidR="00F30824" w:rsidRPr="00F22857">
        <w:rPr>
          <w:rFonts w:ascii="Arial" w:hAnsi="Arial" w:cs="Arial"/>
        </w:rPr>
        <w:t xml:space="preserve">e Uruguay. El error estándar de esta expresión se calcula </w:t>
      </w:r>
      <w:r>
        <w:rPr>
          <w:rFonts w:ascii="Arial" w:hAnsi="Arial" w:cs="Arial"/>
        </w:rPr>
        <w:t xml:space="preserve">con </w:t>
      </w:r>
      <w:r w:rsidR="00F30824" w:rsidRPr="00F22857">
        <w:rPr>
          <w:rFonts w:ascii="Arial" w:hAnsi="Arial" w:cs="Arial"/>
        </w:rPr>
        <w:t xml:space="preserve">el método Delta. </w:t>
      </w:r>
      <w:r w:rsidR="00D075BD" w:rsidRPr="00F22857">
        <w:rPr>
          <w:rFonts w:ascii="Arial" w:hAnsi="Arial" w:cs="Arial"/>
        </w:rPr>
        <w:t>La expresión anterior</w:t>
      </w:r>
      <w:r w:rsidR="00F30824" w:rsidRPr="00F22857">
        <w:rPr>
          <w:rFonts w:ascii="Arial" w:hAnsi="Arial" w:cs="Arial"/>
        </w:rPr>
        <w:t xml:space="preserve"> sería la estimación que nos proporciona la herramienta </w:t>
      </w:r>
      <w:r w:rsidR="00F30824" w:rsidRPr="00F22857">
        <w:rPr>
          <w:rFonts w:ascii="Arial" w:hAnsi="Arial" w:cs="Arial"/>
          <w:i/>
        </w:rPr>
        <w:t>online</w:t>
      </w:r>
      <w:r w:rsidR="00F30824" w:rsidRPr="00F22857">
        <w:rPr>
          <w:rFonts w:ascii="Arial" w:hAnsi="Arial" w:cs="Arial"/>
        </w:rPr>
        <w:t xml:space="preserve"> de la OMS y que comparamos con la tasa de cesáreas observada </w:t>
      </w:r>
      <w:r w:rsidR="00F30824" w:rsidRPr="00F22857">
        <w:rPr>
          <w:rFonts w:ascii="Arial" w:hAnsi="Arial" w:cs="Arial"/>
          <w:position w:val="-10"/>
        </w:rPr>
        <w:object w:dxaOrig="340" w:dyaOrig="400">
          <v:shape id="_x0000_i1042" type="#_x0000_t75" style="width:18.15pt;height:19.6pt" o:ole="">
            <v:imagedata r:id="rId42" o:title=""/>
          </v:shape>
          <o:OLEObject Type="Embed" ProgID="Equation.DSMT4" ShapeID="_x0000_i1042" DrawAspect="Content" ObjectID="_1584259860" r:id="rId43"/>
        </w:object>
      </w:r>
      <w:r w:rsidR="00F30824" w:rsidRPr="00F22857">
        <w:rPr>
          <w:rFonts w:ascii="Arial" w:hAnsi="Arial" w:cs="Arial"/>
        </w:rPr>
        <w:t xml:space="preserve"> de cada categoría</w:t>
      </w:r>
      <w:r w:rsidR="00A67347" w:rsidRPr="00F22857">
        <w:rPr>
          <w:rFonts w:ascii="Arial" w:hAnsi="Arial" w:cs="Arial"/>
        </w:rPr>
        <w:t xml:space="preserve"> a partir de</w:t>
      </w:r>
      <w:r>
        <w:rPr>
          <w:rFonts w:ascii="Arial" w:hAnsi="Arial" w:cs="Arial"/>
        </w:rPr>
        <w:t xml:space="preserve"> </w:t>
      </w:r>
      <w:r w:rsidR="00A67347" w:rsidRPr="00F22857">
        <w:rPr>
          <w:rFonts w:ascii="Arial" w:hAnsi="Arial" w:cs="Arial"/>
        </w:rPr>
        <w:t>l</w:t>
      </w:r>
      <w:r>
        <w:rPr>
          <w:rFonts w:ascii="Arial" w:hAnsi="Arial" w:cs="Arial"/>
        </w:rPr>
        <w:t>a</w:t>
      </w:r>
      <w:r w:rsidR="00A67347" w:rsidRPr="00F22857">
        <w:rPr>
          <w:rFonts w:ascii="Arial" w:hAnsi="Arial" w:cs="Arial"/>
        </w:rPr>
        <w:t xml:space="preserve"> ratio siguiente</w:t>
      </w:r>
      <w:r w:rsidR="00F30824" w:rsidRPr="00F22857">
        <w:rPr>
          <w:rFonts w:ascii="Arial" w:hAnsi="Arial" w:cs="Arial"/>
        </w:rPr>
        <w:t>:</w:t>
      </w:r>
    </w:p>
    <w:p w:rsidR="00F30824" w:rsidRPr="00F22857" w:rsidRDefault="00F30824" w:rsidP="00F22857">
      <w:pPr>
        <w:pStyle w:val="MTDisplayEquation"/>
        <w:spacing w:before="0" w:after="0"/>
        <w:jc w:val="both"/>
        <w:rPr>
          <w:rFonts w:ascii="Arial" w:hAnsi="Arial" w:cs="Arial"/>
        </w:rPr>
      </w:pPr>
      <w:r w:rsidRPr="00F22857">
        <w:rPr>
          <w:rFonts w:ascii="Arial" w:hAnsi="Arial" w:cs="Arial"/>
        </w:rPr>
        <w:tab/>
      </w:r>
      <w:r w:rsidRPr="00F22857">
        <w:rPr>
          <w:rFonts w:ascii="Arial" w:hAnsi="Arial" w:cs="Arial"/>
          <w:position w:val="-40"/>
        </w:rPr>
        <w:object w:dxaOrig="1740" w:dyaOrig="859">
          <v:shape id="_x0000_i1043" type="#_x0000_t75" style="width:86.1pt;height:43.5pt" o:ole="">
            <v:imagedata r:id="rId44" o:title=""/>
          </v:shape>
          <o:OLEObject Type="Embed" ProgID="Equation.DSMT4" ShapeID="_x0000_i1043" DrawAspect="Content" ObjectID="_1584259861" r:id="rId45"/>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8</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F30824" w:rsidRPr="00F22857" w:rsidRDefault="00F30824" w:rsidP="00F22857">
      <w:pPr>
        <w:spacing w:before="0" w:after="0"/>
        <w:jc w:val="both"/>
        <w:rPr>
          <w:rFonts w:ascii="Arial" w:hAnsi="Arial" w:cs="Arial"/>
        </w:rPr>
      </w:pPr>
      <w:r w:rsidRPr="00F22857">
        <w:rPr>
          <w:rFonts w:ascii="Arial" w:hAnsi="Arial" w:cs="Arial"/>
        </w:rPr>
        <w:tab/>
        <w:t xml:space="preserve">Por último, repetimos exactamente el mismo procedimiento, pero en lugar de tomar como referencia el modelo de la OMS fijamos como punto de comparación y herramienta para la predicción, empleando las mismas variables que el </w:t>
      </w:r>
      <w:r w:rsidRPr="00F22857">
        <w:rPr>
          <w:rFonts w:ascii="Arial" w:hAnsi="Arial" w:cs="Arial"/>
          <w:i/>
        </w:rPr>
        <w:t>C-model</w:t>
      </w:r>
      <w:r w:rsidRPr="00F22857">
        <w:rPr>
          <w:rFonts w:ascii="Arial" w:hAnsi="Arial" w:cs="Arial"/>
        </w:rPr>
        <w:t xml:space="preserve">, </w:t>
      </w:r>
      <w:r w:rsidR="00757982">
        <w:rPr>
          <w:rFonts w:ascii="Arial" w:hAnsi="Arial" w:cs="Arial"/>
        </w:rPr>
        <w:t>e</w:t>
      </w:r>
      <w:r w:rsidRPr="00F22857">
        <w:rPr>
          <w:rFonts w:ascii="Arial" w:hAnsi="Arial" w:cs="Arial"/>
        </w:rPr>
        <w:t xml:space="preserve">l </w:t>
      </w:r>
      <w:r w:rsidR="00757982">
        <w:rPr>
          <w:rFonts w:ascii="Arial" w:hAnsi="Arial" w:cs="Arial"/>
        </w:rPr>
        <w:t>CHPR</w:t>
      </w:r>
      <w:r w:rsidRPr="00F22857">
        <w:rPr>
          <w:rFonts w:ascii="Arial" w:hAnsi="Arial" w:cs="Arial"/>
        </w:rPr>
        <w:t>. De este modo</w:t>
      </w:r>
      <w:r w:rsidR="00757982">
        <w:rPr>
          <w:rFonts w:ascii="Arial" w:hAnsi="Arial" w:cs="Arial"/>
        </w:rPr>
        <w:t>,</w:t>
      </w:r>
      <w:r w:rsidRPr="00F22857">
        <w:rPr>
          <w:rFonts w:ascii="Arial" w:hAnsi="Arial" w:cs="Arial"/>
        </w:rPr>
        <w:t xml:space="preserve"> y definiendo de forma análoga cada una de las expresiones anteriores, calculamos</w:t>
      </w:r>
    </w:p>
    <w:p w:rsidR="00F30824" w:rsidRPr="00F22857" w:rsidRDefault="00F30824" w:rsidP="00F22857">
      <w:pPr>
        <w:pStyle w:val="MTDisplayEquation"/>
        <w:spacing w:before="0" w:after="0"/>
        <w:jc w:val="both"/>
        <w:rPr>
          <w:rFonts w:ascii="Arial" w:hAnsi="Arial" w:cs="Arial"/>
        </w:rPr>
      </w:pPr>
      <w:r w:rsidRPr="00F22857">
        <w:rPr>
          <w:rFonts w:ascii="Arial" w:hAnsi="Arial" w:cs="Arial"/>
        </w:rPr>
        <w:tab/>
      </w:r>
      <w:r w:rsidRPr="00F22857">
        <w:rPr>
          <w:rFonts w:ascii="Arial" w:hAnsi="Arial" w:cs="Arial"/>
          <w:position w:val="-40"/>
        </w:rPr>
        <w:object w:dxaOrig="1880" w:dyaOrig="859">
          <v:shape id="_x0000_i1044" type="#_x0000_t75" style="width:93.6pt;height:43.5pt" o:ole="">
            <v:imagedata r:id="rId46" o:title=""/>
          </v:shape>
          <o:OLEObject Type="Embed" ProgID="Equation.DSMT4" ShapeID="_x0000_i1044" DrawAspect="Content" ObjectID="_1584259862" r:id="rId47"/>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9</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F30824" w:rsidRPr="00F22857" w:rsidRDefault="00F30824" w:rsidP="00F22857">
      <w:pPr>
        <w:spacing w:before="0" w:after="0"/>
        <w:jc w:val="both"/>
        <w:rPr>
          <w:rFonts w:ascii="Arial" w:hAnsi="Arial" w:cs="Arial"/>
        </w:rPr>
      </w:pPr>
      <w:r w:rsidRPr="00F22857">
        <w:rPr>
          <w:rFonts w:ascii="Arial" w:hAnsi="Arial" w:cs="Arial"/>
        </w:rPr>
        <w:tab/>
        <w:t>La comparación, en este caso, omite lógicamente el cálculo para el propio CHPR (además, la probabilidad media y la media de las probabilidades predichas, en el modelo</w:t>
      </w:r>
      <w:r w:rsidRPr="00F22857">
        <w:rPr>
          <w:rFonts w:ascii="Arial" w:hAnsi="Arial" w:cs="Arial"/>
          <w:i/>
        </w:rPr>
        <w:t xml:space="preserve"> logit</w:t>
      </w:r>
      <w:r w:rsidRPr="00F22857">
        <w:rPr>
          <w:rFonts w:ascii="Arial" w:hAnsi="Arial" w:cs="Arial"/>
        </w:rPr>
        <w:t xml:space="preserve">, coinciden, por lo que </w:t>
      </w:r>
      <w:r w:rsidR="002B4746" w:rsidRPr="00F22857">
        <w:rPr>
          <w:rFonts w:ascii="Arial" w:hAnsi="Arial" w:cs="Arial"/>
        </w:rPr>
        <w:t>la</w:t>
      </w:r>
      <w:r w:rsidRPr="00F22857">
        <w:rPr>
          <w:rFonts w:ascii="Arial" w:hAnsi="Arial" w:cs="Arial"/>
        </w:rPr>
        <w:t xml:space="preserve"> ratio sería 1). </w:t>
      </w:r>
      <w:r w:rsidR="002B4746" w:rsidRPr="00F22857">
        <w:rPr>
          <w:rFonts w:ascii="Arial" w:hAnsi="Arial" w:cs="Arial"/>
        </w:rPr>
        <w:t>Como en el caso anterior, l</w:t>
      </w:r>
      <w:r w:rsidRPr="00F22857">
        <w:rPr>
          <w:rFonts w:ascii="Arial" w:hAnsi="Arial" w:cs="Arial"/>
        </w:rPr>
        <w:t xml:space="preserve">os errores estándar </w:t>
      </w:r>
      <w:r w:rsidRPr="00F22857">
        <w:rPr>
          <w:rFonts w:ascii="Arial" w:hAnsi="Arial" w:cs="Arial"/>
        </w:rPr>
        <w:lastRenderedPageBreak/>
        <w:t>de l</w:t>
      </w:r>
      <w:r w:rsidR="002B4746" w:rsidRPr="00F22857">
        <w:rPr>
          <w:rFonts w:ascii="Arial" w:hAnsi="Arial" w:cs="Arial"/>
        </w:rPr>
        <w:t>a</w:t>
      </w:r>
      <w:r w:rsidRPr="00F22857">
        <w:rPr>
          <w:rFonts w:ascii="Arial" w:hAnsi="Arial" w:cs="Arial"/>
        </w:rPr>
        <w:t xml:space="preserve">s </w:t>
      </w:r>
      <w:r w:rsidRPr="00F22857">
        <w:rPr>
          <w:rFonts w:ascii="Arial" w:hAnsi="Arial" w:cs="Arial"/>
          <w:i/>
        </w:rPr>
        <w:t>ratios</w:t>
      </w:r>
      <w:r w:rsidRPr="00F22857">
        <w:rPr>
          <w:rFonts w:ascii="Arial" w:hAnsi="Arial" w:cs="Arial"/>
        </w:rPr>
        <w:t xml:space="preserve"> se calculan por procedimientos de remuestreo (</w:t>
      </w:r>
      <w:r w:rsidRPr="00F22857">
        <w:rPr>
          <w:rFonts w:ascii="Arial" w:hAnsi="Arial" w:cs="Arial"/>
          <w:i/>
        </w:rPr>
        <w:t>bootstrap</w:t>
      </w:r>
      <w:r w:rsidRPr="00F22857">
        <w:rPr>
          <w:rFonts w:ascii="Arial" w:hAnsi="Arial" w:cs="Arial"/>
        </w:rPr>
        <w:t xml:space="preserve"> sin reposición con 500 replicaciones).</w:t>
      </w:r>
    </w:p>
    <w:p w:rsidR="007F1A2F" w:rsidRPr="00F22857" w:rsidRDefault="007F1A2F" w:rsidP="00F22857">
      <w:pPr>
        <w:spacing w:before="0" w:after="0"/>
        <w:ind w:firstLine="708"/>
        <w:jc w:val="both"/>
        <w:rPr>
          <w:rFonts w:ascii="Arial" w:hAnsi="Arial" w:cs="Arial"/>
        </w:rPr>
      </w:pPr>
      <w:r w:rsidRPr="00F22857">
        <w:rPr>
          <w:rFonts w:ascii="Arial" w:hAnsi="Arial" w:cs="Arial"/>
        </w:rPr>
        <w:t xml:space="preserve">Dado que los coeficientes de los modelos </w:t>
      </w:r>
      <w:r w:rsidRPr="00F22857">
        <w:rPr>
          <w:rFonts w:ascii="Arial" w:hAnsi="Arial" w:cs="Arial"/>
          <w:i/>
        </w:rPr>
        <w:t xml:space="preserve">logit </w:t>
      </w:r>
      <w:r w:rsidRPr="00F22857">
        <w:rPr>
          <w:rFonts w:ascii="Arial" w:hAnsi="Arial" w:cs="Arial"/>
        </w:rPr>
        <w:t xml:space="preserve">estimados no son directamente interpretables, </w:t>
      </w:r>
      <w:r w:rsidR="002B4746" w:rsidRPr="00F22857">
        <w:rPr>
          <w:rFonts w:ascii="Arial" w:hAnsi="Arial" w:cs="Arial"/>
        </w:rPr>
        <w:t xml:space="preserve">tanto en </w:t>
      </w:r>
      <w:r w:rsidRPr="00F22857">
        <w:rPr>
          <w:rFonts w:ascii="Arial" w:hAnsi="Arial" w:cs="Arial"/>
        </w:rPr>
        <w:t>el texto principal</w:t>
      </w:r>
      <w:r w:rsidR="002B4746" w:rsidRPr="00F22857">
        <w:rPr>
          <w:rFonts w:ascii="Arial" w:hAnsi="Arial" w:cs="Arial"/>
        </w:rPr>
        <w:t xml:space="preserve"> como en este </w:t>
      </w:r>
      <w:r w:rsidR="00757982">
        <w:rPr>
          <w:rFonts w:ascii="Arial" w:hAnsi="Arial" w:cs="Arial"/>
        </w:rPr>
        <w:t>Apéndice</w:t>
      </w:r>
      <w:r w:rsidRPr="00F22857">
        <w:rPr>
          <w:rFonts w:ascii="Arial" w:hAnsi="Arial" w:cs="Arial"/>
        </w:rPr>
        <w:t xml:space="preserve"> reportamos </w:t>
      </w:r>
      <w:r w:rsidR="002B4746" w:rsidRPr="00F22857">
        <w:rPr>
          <w:rFonts w:ascii="Arial" w:hAnsi="Arial" w:cs="Arial"/>
        </w:rPr>
        <w:t xml:space="preserve">las </w:t>
      </w:r>
      <w:r w:rsidR="005C54E6" w:rsidRPr="00F22857">
        <w:rPr>
          <w:rFonts w:ascii="Arial" w:hAnsi="Arial" w:cs="Arial"/>
          <w:i/>
        </w:rPr>
        <w:t>odds ratios</w:t>
      </w:r>
      <w:r w:rsidR="005C54E6" w:rsidRPr="00F22857">
        <w:rPr>
          <w:rFonts w:ascii="Arial" w:hAnsi="Arial" w:cs="Arial"/>
        </w:rPr>
        <w:t xml:space="preserve">, que pueden obtenerse como </w:t>
      </w:r>
      <w:r w:rsidR="005C54E6" w:rsidRPr="00F22857">
        <w:rPr>
          <w:rFonts w:ascii="Arial" w:hAnsi="Arial" w:cs="Arial"/>
          <w:position w:val="-6"/>
        </w:rPr>
        <w:object w:dxaOrig="279" w:dyaOrig="360">
          <v:shape id="_x0000_i1045" type="#_x0000_t75" style="width:14.4pt;height:18.15pt" o:ole="">
            <v:imagedata r:id="rId48" o:title=""/>
          </v:shape>
          <o:OLEObject Type="Embed" ProgID="Equation.DSMT4" ShapeID="_x0000_i1045" DrawAspect="Content" ObjectID="_1584259863" r:id="rId49"/>
        </w:object>
      </w:r>
      <w:r w:rsidR="005C54E6" w:rsidRPr="00F22857">
        <w:rPr>
          <w:rFonts w:ascii="Arial" w:hAnsi="Arial" w:cs="Arial"/>
        </w:rPr>
        <w:t>. La tabla 3 del texto recoge los resultados del modelo estimado para calcular la probabilidad predicha para cada subsistema aplicando sus coeficientes a toda la muestra de nacimientos del país.</w:t>
      </w:r>
      <w:r w:rsidR="00417286" w:rsidRPr="00F22857">
        <w:rPr>
          <w:rFonts w:ascii="Arial" w:hAnsi="Arial" w:cs="Arial"/>
        </w:rPr>
        <w:t xml:space="preserve"> Se estimaron, asimismo, </w:t>
      </w:r>
      <w:r w:rsidR="00757982">
        <w:rPr>
          <w:rFonts w:ascii="Arial" w:hAnsi="Arial" w:cs="Arial"/>
        </w:rPr>
        <w:t>dos</w:t>
      </w:r>
      <w:r w:rsidR="00757982" w:rsidRPr="00F22857">
        <w:rPr>
          <w:rFonts w:ascii="Arial" w:hAnsi="Arial" w:cs="Arial"/>
        </w:rPr>
        <w:t xml:space="preserve"> </w:t>
      </w:r>
      <w:r w:rsidR="00417286" w:rsidRPr="00F22857">
        <w:rPr>
          <w:rFonts w:ascii="Arial" w:hAnsi="Arial" w:cs="Arial"/>
        </w:rPr>
        <w:t xml:space="preserve">modelos alternativos: una primera especificación incluyendo </w:t>
      </w:r>
      <w:r w:rsidR="00757982">
        <w:rPr>
          <w:rFonts w:ascii="Arial" w:hAnsi="Arial" w:cs="Arial"/>
        </w:rPr>
        <w:t>solo</w:t>
      </w:r>
      <w:r w:rsidR="00757982" w:rsidRPr="00F22857">
        <w:rPr>
          <w:rFonts w:ascii="Arial" w:hAnsi="Arial" w:cs="Arial"/>
        </w:rPr>
        <w:t xml:space="preserve"> </w:t>
      </w:r>
      <w:r w:rsidR="00417286" w:rsidRPr="00F22857">
        <w:rPr>
          <w:rFonts w:ascii="Arial" w:hAnsi="Arial" w:cs="Arial"/>
        </w:rPr>
        <w:t>los grupos de Robson y un segundo modelo que incluye las variables que determinan la clasificación de Robson de forma separada (tal como aparecen en el modelo de la OMS). Los resultados obtenidos bajo estas especificaciones alternativas son muy similares a los presentados en el artículo.</w:t>
      </w:r>
      <w:r w:rsidR="005C54E6" w:rsidRPr="00F22857">
        <w:rPr>
          <w:rFonts w:ascii="Arial" w:hAnsi="Arial" w:cs="Arial"/>
        </w:rPr>
        <w:t xml:space="preserve"> Por su parte, la </w:t>
      </w:r>
      <w:r w:rsidR="005C54E6" w:rsidRPr="003B0347">
        <w:rPr>
          <w:rFonts w:ascii="Arial" w:hAnsi="Arial" w:cs="Arial"/>
          <w:highlight w:val="green"/>
        </w:rPr>
        <w:t>tabla I</w:t>
      </w:r>
      <w:r w:rsidR="00757982">
        <w:rPr>
          <w:rFonts w:ascii="Arial" w:hAnsi="Arial" w:cs="Arial"/>
        </w:rPr>
        <w:t xml:space="preserve"> de este Apéndice</w:t>
      </w:r>
      <w:r w:rsidR="005C54E6" w:rsidRPr="00F22857">
        <w:rPr>
          <w:rFonts w:ascii="Arial" w:hAnsi="Arial" w:cs="Arial"/>
        </w:rPr>
        <w:t xml:space="preserve"> ofrece los resultados del modelo utilizado para estimar, de forma análoga a la metodología de la OMS, la probabilidad promedio de cesárea en cada subsistema si los nacimientos producidos en dichos hospitales siguiesen las pautas del CHPR</w:t>
      </w:r>
      <w:r w:rsidR="00C34321" w:rsidRPr="00F22857">
        <w:rPr>
          <w:rFonts w:ascii="Arial" w:hAnsi="Arial" w:cs="Arial"/>
        </w:rPr>
        <w:t>, necesaria para calcular la expresión [9]</w:t>
      </w:r>
      <w:r w:rsidR="005C54E6" w:rsidRPr="00F22857">
        <w:rPr>
          <w:rFonts w:ascii="Arial" w:hAnsi="Arial" w:cs="Arial"/>
        </w:rPr>
        <w:t>.</w:t>
      </w:r>
      <w:r w:rsidR="00E819C4">
        <w:rPr>
          <w:rFonts w:ascii="Arial" w:hAnsi="Arial" w:cs="Arial"/>
        </w:rPr>
        <w:t xml:space="preserve">  </w:t>
      </w:r>
    </w:p>
    <w:p w:rsidR="005C54E6" w:rsidRPr="00F22857" w:rsidRDefault="00CD4AF3" w:rsidP="00F22857">
      <w:pPr>
        <w:spacing w:before="0" w:after="0"/>
        <w:ind w:firstLine="708"/>
        <w:jc w:val="both"/>
        <w:rPr>
          <w:rFonts w:ascii="Arial" w:hAnsi="Arial" w:cs="Arial"/>
        </w:rPr>
      </w:pPr>
      <w:r w:rsidRPr="00F22857">
        <w:rPr>
          <w:rFonts w:ascii="Arial" w:hAnsi="Arial" w:cs="Arial"/>
        </w:rPr>
        <w:t>Debe señalarse que el valor de los análisis realizados es, inicialmente, descriptivo. La omisión de variables relevantes en la probabilidad de cesárea, correlacionadas con las variables incluidas y con la categoría de hospital</w:t>
      </w:r>
      <w:r w:rsidR="00757982">
        <w:rPr>
          <w:rFonts w:ascii="Arial" w:hAnsi="Arial" w:cs="Arial"/>
        </w:rPr>
        <w:t>,</w:t>
      </w:r>
      <w:r w:rsidRPr="00F22857">
        <w:rPr>
          <w:rFonts w:ascii="Arial" w:hAnsi="Arial" w:cs="Arial"/>
        </w:rPr>
        <w:t xml:space="preserve"> implicaría la obtención de coeficientes inconsistentes y la interpretación de los resultados no sería, en dichas circunstancias, causal. No obstante, debe señalarse que el estudio se basa en el modelo de la OMS para analizar las cesáreas (e incluye algunas variables adicionales)</w:t>
      </w:r>
      <w:r w:rsidR="00757982">
        <w:rPr>
          <w:rFonts w:ascii="Arial" w:hAnsi="Arial" w:cs="Arial"/>
        </w:rPr>
        <w:t>,</w:t>
      </w:r>
      <w:r w:rsidRPr="00F22857">
        <w:rPr>
          <w:rFonts w:ascii="Arial" w:hAnsi="Arial" w:cs="Arial"/>
        </w:rPr>
        <w:t xml:space="preserve"> y que incluso en el caso extremo de variables relevantes omitidas el trabajo proporciona información muy útil para identificar diferentes patrones de </w:t>
      </w:r>
      <w:r w:rsidR="00757982">
        <w:rPr>
          <w:rFonts w:ascii="Arial" w:hAnsi="Arial" w:cs="Arial"/>
        </w:rPr>
        <w:t>reali</w:t>
      </w:r>
      <w:r w:rsidRPr="00F22857">
        <w:rPr>
          <w:rFonts w:ascii="Arial" w:hAnsi="Arial" w:cs="Arial"/>
        </w:rPr>
        <w:t>zación de cesáreas.</w:t>
      </w:r>
      <w:r w:rsidR="005C54E6" w:rsidRPr="00F22857">
        <w:rPr>
          <w:rFonts w:ascii="Arial" w:hAnsi="Arial" w:cs="Arial"/>
        </w:rPr>
        <w:t xml:space="preserve"> </w:t>
      </w:r>
    </w:p>
    <w:p w:rsidR="007F1A2F" w:rsidRPr="00F22857" w:rsidRDefault="005F1B98" w:rsidP="00F22857">
      <w:pPr>
        <w:spacing w:before="0" w:after="0"/>
        <w:jc w:val="both"/>
        <w:rPr>
          <w:rFonts w:ascii="Arial" w:hAnsi="Arial" w:cs="Arial"/>
        </w:rPr>
      </w:pPr>
      <w:r w:rsidRPr="00F22857">
        <w:rPr>
          <w:rFonts w:ascii="Arial" w:hAnsi="Arial" w:cs="Arial"/>
        </w:rPr>
        <w:tab/>
        <w:t>A sugerencia de uno de los evaluadores se han estimado adicionalmente dos tipos de modelos</w:t>
      </w:r>
      <w:r w:rsidR="00E668C6" w:rsidRPr="00F22857">
        <w:rPr>
          <w:rFonts w:ascii="Arial" w:hAnsi="Arial" w:cs="Arial"/>
        </w:rPr>
        <w:t xml:space="preserve">, inspirados en </w:t>
      </w:r>
      <w:r w:rsidR="004E177D" w:rsidRPr="00F22857">
        <w:rPr>
          <w:rFonts w:ascii="Arial" w:hAnsi="Arial" w:cs="Arial"/>
        </w:rPr>
        <w:t xml:space="preserve">un </w:t>
      </w:r>
      <w:r w:rsidR="00E668C6" w:rsidRPr="00F22857">
        <w:rPr>
          <w:rFonts w:ascii="Arial" w:hAnsi="Arial" w:cs="Arial"/>
        </w:rPr>
        <w:t xml:space="preserve">trabajo </w:t>
      </w:r>
      <w:r w:rsidR="004E177D" w:rsidRPr="00F22857">
        <w:rPr>
          <w:rFonts w:ascii="Arial" w:hAnsi="Arial" w:cs="Arial"/>
        </w:rPr>
        <w:t xml:space="preserve">previo para </w:t>
      </w:r>
      <w:r w:rsidR="00757982">
        <w:rPr>
          <w:rFonts w:ascii="Arial" w:hAnsi="Arial" w:cs="Arial"/>
        </w:rPr>
        <w:t xml:space="preserve">los </w:t>
      </w:r>
      <w:r w:rsidR="004E177D" w:rsidRPr="00F22857">
        <w:rPr>
          <w:rFonts w:ascii="Arial" w:hAnsi="Arial" w:cs="Arial"/>
        </w:rPr>
        <w:t>Estados Unidos</w:t>
      </w:r>
      <w:r w:rsidR="005E3E04" w:rsidRPr="00F22857">
        <w:rPr>
          <w:rStyle w:val="FootnoteReference"/>
          <w:rFonts w:ascii="Arial" w:hAnsi="Arial" w:cs="Arial"/>
        </w:rPr>
        <w:footnoteReference w:id="1"/>
      </w:r>
      <w:r w:rsidR="004E177D" w:rsidRPr="00F22857">
        <w:rPr>
          <w:rFonts w:ascii="Arial" w:hAnsi="Arial" w:cs="Arial"/>
        </w:rPr>
        <w:t>.</w:t>
      </w:r>
      <w:r w:rsidRPr="00F22857">
        <w:rPr>
          <w:rFonts w:ascii="Arial" w:hAnsi="Arial" w:cs="Arial"/>
        </w:rPr>
        <w:t xml:space="preserve"> </w:t>
      </w:r>
      <w:r w:rsidR="007F1A2F" w:rsidRPr="00F22857">
        <w:rPr>
          <w:rFonts w:ascii="Arial" w:hAnsi="Arial" w:cs="Arial"/>
        </w:rPr>
        <w:t>En primer lugar, se ha estimado un modelo único con efectos fijos por tipo de hospital. Este modelo es un caso particular de los presentados en el texto principal del trabajo, ya que solo permite que las diferencias entre hospitales se expliquen por diferencias en los niveles.</w:t>
      </w:r>
      <w:r w:rsidR="00E668C6" w:rsidRPr="00F22857">
        <w:rPr>
          <w:rFonts w:ascii="Arial" w:hAnsi="Arial" w:cs="Arial"/>
        </w:rPr>
        <w:t xml:space="preserve"> De esta forma, se estima el siguiente modelo </w:t>
      </w:r>
      <w:r w:rsidR="00E668C6" w:rsidRPr="00F22857">
        <w:rPr>
          <w:rFonts w:ascii="Arial" w:hAnsi="Arial" w:cs="Arial"/>
          <w:i/>
        </w:rPr>
        <w:t>logit</w:t>
      </w:r>
      <w:r w:rsidR="00E668C6" w:rsidRPr="00F22857">
        <w:rPr>
          <w:rFonts w:ascii="Arial" w:hAnsi="Arial" w:cs="Arial"/>
        </w:rPr>
        <w:t>:</w:t>
      </w:r>
    </w:p>
    <w:p w:rsidR="00E668C6" w:rsidRPr="00F22857" w:rsidRDefault="00E668C6" w:rsidP="00F22857">
      <w:pPr>
        <w:pStyle w:val="MTDisplayEquation"/>
        <w:spacing w:before="0" w:after="0"/>
        <w:jc w:val="both"/>
        <w:rPr>
          <w:rFonts w:ascii="Arial" w:hAnsi="Arial" w:cs="Arial"/>
        </w:rPr>
      </w:pPr>
      <w:r w:rsidRPr="00F22857">
        <w:rPr>
          <w:rFonts w:ascii="Arial" w:hAnsi="Arial" w:cs="Arial"/>
        </w:rPr>
        <w:tab/>
      </w:r>
      <w:r w:rsidRPr="00F22857">
        <w:rPr>
          <w:rFonts w:ascii="Arial" w:hAnsi="Arial" w:cs="Arial"/>
          <w:position w:val="-30"/>
        </w:rPr>
        <w:object w:dxaOrig="6000" w:dyaOrig="680">
          <v:shape id="_x0000_i1046" type="#_x0000_t75" style="width:301.55pt;height:34pt" o:ole="">
            <v:imagedata r:id="rId50" o:title=""/>
          </v:shape>
          <o:OLEObject Type="Embed" ProgID="Equation.DSMT4" ShapeID="_x0000_i1046" DrawAspect="Content" ObjectID="_1584259864" r:id="rId51"/>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10</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E668C6" w:rsidRPr="00F22857" w:rsidRDefault="00E668C6" w:rsidP="00F22857">
      <w:pPr>
        <w:spacing w:before="0" w:after="0"/>
        <w:jc w:val="both"/>
        <w:rPr>
          <w:rFonts w:ascii="Arial" w:hAnsi="Arial" w:cs="Arial"/>
        </w:rPr>
      </w:pPr>
      <w:r w:rsidRPr="00F22857">
        <w:rPr>
          <w:rFonts w:ascii="Arial" w:hAnsi="Arial" w:cs="Arial"/>
        </w:rPr>
        <w:t xml:space="preserve">Las variables Cat. 1, Cat. 2 y Cat. 4 son variables binarias que toman el valor 1 en el caso de que el nacimiento se produzca en un hospital de la categoría correspondiente y 0 en </w:t>
      </w:r>
      <w:r w:rsidRPr="00F22857">
        <w:rPr>
          <w:rFonts w:ascii="Arial" w:hAnsi="Arial" w:cs="Arial"/>
        </w:rPr>
        <w:lastRenderedPageBreak/>
        <w:t>otro caso. Los coeficientes δ</w:t>
      </w:r>
      <w:r w:rsidRPr="00F22857">
        <w:rPr>
          <w:rFonts w:ascii="Arial" w:hAnsi="Arial" w:cs="Arial"/>
          <w:vertAlign w:val="subscript"/>
        </w:rPr>
        <w:t>1</w:t>
      </w:r>
      <w:r w:rsidRPr="00F22857">
        <w:rPr>
          <w:rFonts w:ascii="Arial" w:hAnsi="Arial" w:cs="Arial"/>
        </w:rPr>
        <w:t>, δ</w:t>
      </w:r>
      <w:r w:rsidRPr="00F22857">
        <w:rPr>
          <w:rFonts w:ascii="Arial" w:hAnsi="Arial" w:cs="Arial"/>
          <w:vertAlign w:val="subscript"/>
        </w:rPr>
        <w:t>2</w:t>
      </w:r>
      <w:r w:rsidRPr="00F22857">
        <w:rPr>
          <w:rFonts w:ascii="Arial" w:hAnsi="Arial" w:cs="Arial"/>
        </w:rPr>
        <w:t xml:space="preserve"> y δ</w:t>
      </w:r>
      <w:r w:rsidRPr="00F22857">
        <w:rPr>
          <w:rFonts w:ascii="Arial" w:hAnsi="Arial" w:cs="Arial"/>
          <w:vertAlign w:val="subscript"/>
        </w:rPr>
        <w:t>4</w:t>
      </w:r>
      <w:r w:rsidRPr="00F22857">
        <w:rPr>
          <w:rFonts w:ascii="Arial" w:hAnsi="Arial" w:cs="Arial"/>
        </w:rPr>
        <w:t xml:space="preserve"> nos permiten calcular los efectos marginales u </w:t>
      </w:r>
      <w:r w:rsidRPr="00F22857">
        <w:rPr>
          <w:rFonts w:ascii="Arial" w:hAnsi="Arial" w:cs="Arial"/>
          <w:i/>
        </w:rPr>
        <w:t>odds ratios</w:t>
      </w:r>
      <w:r w:rsidRPr="00F22857">
        <w:rPr>
          <w:rFonts w:ascii="Arial" w:hAnsi="Arial" w:cs="Arial"/>
        </w:rPr>
        <w:t xml:space="preserve"> que posibilitan conocer el impacto del tipo de hospital sobre la probabilidad de cesárea. </w:t>
      </w:r>
      <w:r w:rsidR="0061093D" w:rsidRPr="00F22857">
        <w:rPr>
          <w:rFonts w:ascii="Arial" w:hAnsi="Arial" w:cs="Arial"/>
        </w:rPr>
        <w:t xml:space="preserve">Los resultados de estas estimaciones </w:t>
      </w:r>
      <w:r w:rsidR="00B90DAD" w:rsidRPr="00F22857">
        <w:rPr>
          <w:rFonts w:ascii="Arial" w:hAnsi="Arial" w:cs="Arial"/>
        </w:rPr>
        <w:t xml:space="preserve">(en forma de </w:t>
      </w:r>
      <w:r w:rsidR="00B90DAD" w:rsidRPr="00F22857">
        <w:rPr>
          <w:rFonts w:ascii="Arial" w:hAnsi="Arial" w:cs="Arial"/>
          <w:i/>
        </w:rPr>
        <w:t>odds ratios</w:t>
      </w:r>
      <w:r w:rsidR="00B90DAD" w:rsidRPr="00F22857">
        <w:rPr>
          <w:rFonts w:ascii="Arial" w:hAnsi="Arial" w:cs="Arial"/>
        </w:rPr>
        <w:t xml:space="preserve">) </w:t>
      </w:r>
      <w:r w:rsidR="0061093D" w:rsidRPr="00F22857">
        <w:rPr>
          <w:rFonts w:ascii="Arial" w:hAnsi="Arial" w:cs="Arial"/>
        </w:rPr>
        <w:t xml:space="preserve">se encuentran en la </w:t>
      </w:r>
      <w:r w:rsidR="0061093D" w:rsidRPr="003B0347">
        <w:rPr>
          <w:rFonts w:ascii="Arial" w:hAnsi="Arial" w:cs="Arial"/>
          <w:highlight w:val="green"/>
        </w:rPr>
        <w:t>tabla II</w:t>
      </w:r>
      <w:r w:rsidR="0061093D" w:rsidRPr="00F22857">
        <w:rPr>
          <w:rFonts w:ascii="Arial" w:hAnsi="Arial" w:cs="Arial"/>
        </w:rPr>
        <w:t xml:space="preserve">. </w:t>
      </w:r>
      <w:r w:rsidRPr="00F22857">
        <w:rPr>
          <w:rFonts w:ascii="Arial" w:hAnsi="Arial" w:cs="Arial"/>
        </w:rPr>
        <w:t xml:space="preserve">En segundo término, se estima un modelo </w:t>
      </w:r>
      <w:r w:rsidRPr="00F22857">
        <w:rPr>
          <w:rFonts w:ascii="Arial" w:hAnsi="Arial" w:cs="Arial"/>
          <w:i/>
        </w:rPr>
        <w:t>logit</w:t>
      </w:r>
      <w:r w:rsidRPr="00F22857">
        <w:rPr>
          <w:rFonts w:ascii="Arial" w:hAnsi="Arial" w:cs="Arial"/>
        </w:rPr>
        <w:t xml:space="preserve"> multinivel</w:t>
      </w:r>
      <w:r w:rsidR="00416724" w:rsidRPr="00F22857">
        <w:rPr>
          <w:rFonts w:ascii="Arial" w:hAnsi="Arial" w:cs="Arial"/>
        </w:rPr>
        <w:t xml:space="preserve"> del siguiente tipo:</w:t>
      </w:r>
    </w:p>
    <w:p w:rsidR="00416724" w:rsidRPr="00F22857" w:rsidRDefault="00416724" w:rsidP="00F22857">
      <w:pPr>
        <w:pStyle w:val="MTDisplayEquation"/>
        <w:spacing w:before="0" w:after="0"/>
        <w:jc w:val="both"/>
        <w:rPr>
          <w:rFonts w:ascii="Arial" w:hAnsi="Arial" w:cs="Arial"/>
        </w:rPr>
      </w:pPr>
      <w:r w:rsidRPr="00F22857">
        <w:rPr>
          <w:rFonts w:ascii="Arial" w:hAnsi="Arial" w:cs="Arial"/>
        </w:rPr>
        <w:tab/>
      </w:r>
      <w:r w:rsidRPr="00F22857">
        <w:rPr>
          <w:rFonts w:ascii="Arial" w:hAnsi="Arial" w:cs="Arial"/>
          <w:position w:val="-32"/>
        </w:rPr>
        <w:object w:dxaOrig="3460" w:dyaOrig="740">
          <v:shape id="_x0000_i1047" type="#_x0000_t75" style="width:172.5pt;height:36.6pt" o:ole="">
            <v:imagedata r:id="rId52" o:title=""/>
          </v:shape>
          <o:OLEObject Type="Embed" ProgID="Equation.DSMT4" ShapeID="_x0000_i1047" DrawAspect="Content" ObjectID="_1584259865" r:id="rId53"/>
        </w:object>
      </w:r>
      <w:r w:rsidRPr="00F22857">
        <w:rPr>
          <w:rFonts w:ascii="Arial" w:hAnsi="Arial" w:cs="Arial"/>
        </w:rPr>
        <w:t xml:space="preserve"> </w:t>
      </w:r>
      <w:r w:rsidRPr="00F22857">
        <w:rPr>
          <w:rFonts w:ascii="Arial" w:hAnsi="Arial" w:cs="Arial"/>
        </w:rPr>
        <w:tab/>
      </w:r>
      <w:r w:rsidRPr="00F22857">
        <w:rPr>
          <w:rFonts w:ascii="Arial" w:hAnsi="Arial" w:cs="Arial"/>
        </w:rPr>
        <w:fldChar w:fldCharType="begin"/>
      </w:r>
      <w:r w:rsidRPr="00F22857">
        <w:rPr>
          <w:rFonts w:ascii="Arial" w:hAnsi="Arial" w:cs="Arial"/>
        </w:rPr>
        <w:instrText xml:space="preserve"> MACROBUTTON MTPlaceRef \* MERGEFORMAT </w:instrText>
      </w:r>
      <w:r w:rsidRPr="00F22857">
        <w:rPr>
          <w:rFonts w:ascii="Arial" w:hAnsi="Arial" w:cs="Arial"/>
        </w:rPr>
        <w:fldChar w:fldCharType="begin"/>
      </w:r>
      <w:r w:rsidRPr="00F22857">
        <w:rPr>
          <w:rFonts w:ascii="Arial" w:hAnsi="Arial" w:cs="Arial"/>
        </w:rPr>
        <w:instrText xml:space="preserve"> SEQ MTEqn \h \* MERGEFORMAT </w:instrText>
      </w:r>
      <w:r w:rsidRPr="00F22857">
        <w:rPr>
          <w:rFonts w:ascii="Arial" w:hAnsi="Arial" w:cs="Arial"/>
        </w:rPr>
        <w:fldChar w:fldCharType="end"/>
      </w:r>
      <w:r w:rsidRPr="00F22857">
        <w:rPr>
          <w:rFonts w:ascii="Arial" w:hAnsi="Arial" w:cs="Arial"/>
        </w:rPr>
        <w:instrText>[</w:instrText>
      </w:r>
      <w:r w:rsidR="000B5EC0" w:rsidRPr="00F22857">
        <w:rPr>
          <w:rFonts w:ascii="Arial" w:hAnsi="Arial" w:cs="Arial"/>
        </w:rPr>
        <w:fldChar w:fldCharType="begin"/>
      </w:r>
      <w:r w:rsidR="000B5EC0" w:rsidRPr="00F22857">
        <w:rPr>
          <w:rFonts w:ascii="Arial" w:hAnsi="Arial" w:cs="Arial"/>
        </w:rPr>
        <w:instrText xml:space="preserve"> SEQ MTEqn \c \* Arabic \* MERGEFORMAT </w:instrText>
      </w:r>
      <w:r w:rsidR="000B5EC0" w:rsidRPr="00F22857">
        <w:rPr>
          <w:rFonts w:ascii="Arial" w:hAnsi="Arial" w:cs="Arial"/>
        </w:rPr>
        <w:fldChar w:fldCharType="separate"/>
      </w:r>
      <w:r w:rsidR="002B4746" w:rsidRPr="00F22857">
        <w:rPr>
          <w:rFonts w:ascii="Arial" w:hAnsi="Arial" w:cs="Arial"/>
          <w:noProof/>
        </w:rPr>
        <w:instrText>11</w:instrText>
      </w:r>
      <w:r w:rsidR="000B5EC0" w:rsidRPr="00F22857">
        <w:rPr>
          <w:rFonts w:ascii="Arial" w:hAnsi="Arial" w:cs="Arial"/>
          <w:noProof/>
        </w:rPr>
        <w:fldChar w:fldCharType="end"/>
      </w:r>
      <w:r w:rsidRPr="00F22857">
        <w:rPr>
          <w:rFonts w:ascii="Arial" w:hAnsi="Arial" w:cs="Arial"/>
        </w:rPr>
        <w:instrText>]</w:instrText>
      </w:r>
      <w:r w:rsidRPr="00F22857">
        <w:rPr>
          <w:rFonts w:ascii="Arial" w:hAnsi="Arial" w:cs="Arial"/>
        </w:rPr>
        <w:fldChar w:fldCharType="end"/>
      </w:r>
    </w:p>
    <w:p w:rsidR="007F1A2F" w:rsidRPr="00F22857" w:rsidRDefault="00757982" w:rsidP="00F22857">
      <w:pPr>
        <w:spacing w:before="0" w:after="0"/>
        <w:jc w:val="both"/>
        <w:rPr>
          <w:rFonts w:ascii="Arial" w:hAnsi="Arial" w:cs="Arial"/>
        </w:rPr>
      </w:pPr>
      <w:r>
        <w:rPr>
          <w:rFonts w:ascii="Arial" w:hAnsi="Arial" w:cs="Arial"/>
        </w:rPr>
        <w:t>Donde e</w:t>
      </w:r>
      <w:r w:rsidR="00416724" w:rsidRPr="00F22857">
        <w:rPr>
          <w:rFonts w:ascii="Arial" w:hAnsi="Arial" w:cs="Arial"/>
        </w:rPr>
        <w:t xml:space="preserve">l subíndice </w:t>
      </w:r>
      <w:r w:rsidR="00416724" w:rsidRPr="00F22857">
        <w:rPr>
          <w:rFonts w:ascii="Arial" w:hAnsi="Arial" w:cs="Arial"/>
          <w:i/>
        </w:rPr>
        <w:t>j</w:t>
      </w:r>
      <w:r w:rsidR="00416724" w:rsidRPr="00F22857">
        <w:rPr>
          <w:rFonts w:ascii="Arial" w:hAnsi="Arial" w:cs="Arial"/>
        </w:rPr>
        <w:t xml:space="preserve"> hace referencia al centro hospitalario o la categoría de hospital, mientras que </w:t>
      </w:r>
      <w:bookmarkStart w:id="1" w:name="_Hlk499102730"/>
      <w:r w:rsidR="00416724" w:rsidRPr="00F22857">
        <w:rPr>
          <w:rFonts w:ascii="Arial" w:hAnsi="Arial" w:cs="Arial"/>
          <w:i/>
        </w:rPr>
        <w:t>μ</w:t>
      </w:r>
      <w:r w:rsidR="00416724" w:rsidRPr="00F22857">
        <w:rPr>
          <w:rFonts w:ascii="Arial" w:hAnsi="Arial" w:cs="Arial"/>
          <w:i/>
          <w:vertAlign w:val="subscript"/>
        </w:rPr>
        <w:t>j</w:t>
      </w:r>
      <w:bookmarkEnd w:id="1"/>
      <w:r w:rsidR="00416724" w:rsidRPr="00F22857">
        <w:rPr>
          <w:rFonts w:ascii="Arial" w:hAnsi="Arial" w:cs="Arial"/>
        </w:rPr>
        <w:t xml:space="preserve"> es una perturbación aleatoria específica por centro hospitalario </w:t>
      </w:r>
      <w:r w:rsidR="00416724" w:rsidRPr="00F22857">
        <w:rPr>
          <w:rFonts w:ascii="Arial" w:hAnsi="Arial" w:cs="Arial"/>
          <w:i/>
        </w:rPr>
        <w:t>j</w:t>
      </w:r>
      <w:r w:rsidR="00416724" w:rsidRPr="00F22857">
        <w:rPr>
          <w:rFonts w:ascii="Arial" w:hAnsi="Arial" w:cs="Arial"/>
        </w:rPr>
        <w:t xml:space="preserve"> y </w:t>
      </w:r>
      <w:r w:rsidR="00416724" w:rsidRPr="00F22857">
        <w:rPr>
          <w:rFonts w:ascii="Arial" w:hAnsi="Arial" w:cs="Arial"/>
          <w:i/>
        </w:rPr>
        <w:t>μ</w:t>
      </w:r>
      <w:r w:rsidR="00416724" w:rsidRPr="00F22857">
        <w:rPr>
          <w:rFonts w:ascii="Arial" w:hAnsi="Arial" w:cs="Arial"/>
          <w:i/>
          <w:vertAlign w:val="subscript"/>
        </w:rPr>
        <w:t>j</w:t>
      </w:r>
      <w:r w:rsidR="00416724" w:rsidRPr="00F22857">
        <w:rPr>
          <w:rFonts w:ascii="Arial" w:hAnsi="Arial" w:cs="Arial"/>
          <w:i/>
        </w:rPr>
        <w:t xml:space="preserve"> </w:t>
      </w:r>
      <w:r w:rsidR="00FB5A3C" w:rsidRPr="00F22857">
        <w:rPr>
          <w:rFonts w:ascii="Cambria Math" w:hAnsi="Cambria Math" w:cs="Cambria Math"/>
        </w:rPr>
        <w:t>∼</w:t>
      </w:r>
      <w:r w:rsidR="00FB5A3C" w:rsidRPr="00F22857">
        <w:rPr>
          <w:rFonts w:ascii="Arial" w:hAnsi="Arial" w:cs="Arial"/>
        </w:rPr>
        <w:t xml:space="preserve"> </w:t>
      </w:r>
      <w:r w:rsidR="00FB5A3C" w:rsidRPr="00F22857">
        <w:rPr>
          <w:rFonts w:ascii="Arial" w:hAnsi="Arial" w:cs="Arial"/>
          <w:i/>
        </w:rPr>
        <w:t>N</w:t>
      </w:r>
      <w:r w:rsidR="00FB5A3C" w:rsidRPr="00F22857">
        <w:rPr>
          <w:rFonts w:ascii="Arial" w:hAnsi="Arial" w:cs="Arial"/>
        </w:rPr>
        <w:t xml:space="preserve">(0, </w:t>
      </w:r>
      <w:r w:rsidR="00FB5A3C" w:rsidRPr="00F22857">
        <w:rPr>
          <w:rFonts w:ascii="Arial" w:hAnsi="Arial" w:cs="Arial"/>
          <w:position w:val="-12"/>
        </w:rPr>
        <w:object w:dxaOrig="320" w:dyaOrig="380">
          <v:shape id="_x0000_i1048" type="#_x0000_t75" style="width:16.4pt;height:17.85pt" o:ole="">
            <v:imagedata r:id="rId54" o:title=""/>
          </v:shape>
          <o:OLEObject Type="Embed" ProgID="Equation.DSMT4" ShapeID="_x0000_i1048" DrawAspect="Content" ObjectID="_1584259866" r:id="rId55"/>
        </w:object>
      </w:r>
      <w:r w:rsidR="00FB5A3C" w:rsidRPr="00F22857">
        <w:rPr>
          <w:rFonts w:ascii="Arial" w:hAnsi="Arial" w:cs="Arial"/>
        </w:rPr>
        <w:t xml:space="preserve"> ). Estimamos dicho modelo controlando y no controlando </w:t>
      </w:r>
      <w:r w:rsidR="00C34321" w:rsidRPr="00F22857">
        <w:rPr>
          <w:rFonts w:ascii="Arial" w:hAnsi="Arial" w:cs="Arial"/>
        </w:rPr>
        <w:t>por características observables</w:t>
      </w:r>
      <w:r w:rsidR="00FB5A3C" w:rsidRPr="00F22857">
        <w:rPr>
          <w:rFonts w:ascii="Arial" w:hAnsi="Arial" w:cs="Arial"/>
        </w:rPr>
        <w:t xml:space="preserve"> y considerando, en primer término, centros hospitalarios (55) y, en segundo lugar, categorías de hospitales (4). A partir de los resultados de los modelos sin y con controles calculamos la varianza de </w:t>
      </w:r>
      <w:r w:rsidR="00FB5A3C" w:rsidRPr="00F22857">
        <w:rPr>
          <w:rFonts w:ascii="Arial" w:hAnsi="Arial" w:cs="Arial"/>
          <w:i/>
        </w:rPr>
        <w:t>μ</w:t>
      </w:r>
      <w:r w:rsidR="00FB5A3C" w:rsidRPr="00F22857">
        <w:rPr>
          <w:rFonts w:ascii="Arial" w:hAnsi="Arial" w:cs="Arial"/>
          <w:i/>
          <w:vertAlign w:val="subscript"/>
        </w:rPr>
        <w:t>j</w:t>
      </w:r>
      <w:r w:rsidR="00FB5A3C" w:rsidRPr="00F22857">
        <w:rPr>
          <w:rFonts w:ascii="Arial" w:hAnsi="Arial" w:cs="Arial"/>
        </w:rPr>
        <w:t xml:space="preserve"> sin ninguna variable de control y con las variables de control mencionadas</w:t>
      </w:r>
      <w:r w:rsidR="00C34321" w:rsidRPr="00F22857">
        <w:rPr>
          <w:rFonts w:ascii="Arial" w:hAnsi="Arial" w:cs="Arial"/>
        </w:rPr>
        <w:t xml:space="preserve"> (grupos de Robson y resto de características clínicas y demográficas)</w:t>
      </w:r>
      <w:r w:rsidR="00FB5A3C" w:rsidRPr="00F22857">
        <w:rPr>
          <w:rFonts w:ascii="Arial" w:hAnsi="Arial" w:cs="Arial"/>
        </w:rPr>
        <w:t xml:space="preserve">. </w:t>
      </w:r>
      <w:r w:rsidR="0086322A" w:rsidRPr="00F22857">
        <w:rPr>
          <w:rFonts w:ascii="Arial" w:hAnsi="Arial" w:cs="Arial"/>
        </w:rPr>
        <w:t xml:space="preserve">Debido a que existían problemas de convergencia en la función de máxima verosimilitud, </w:t>
      </w:r>
      <w:r>
        <w:rPr>
          <w:rFonts w:ascii="Arial" w:hAnsi="Arial" w:cs="Arial"/>
        </w:rPr>
        <w:t xml:space="preserve">se </w:t>
      </w:r>
      <w:r w:rsidR="0086322A" w:rsidRPr="00F22857">
        <w:rPr>
          <w:rFonts w:ascii="Arial" w:hAnsi="Arial" w:cs="Arial"/>
        </w:rPr>
        <w:t xml:space="preserve">estimaron los modelos empleando submuestras del 40% del total de cada grupo. </w:t>
      </w:r>
      <w:r w:rsidR="00C34321" w:rsidRPr="00F22857">
        <w:rPr>
          <w:rFonts w:ascii="Arial" w:hAnsi="Arial" w:cs="Arial"/>
        </w:rPr>
        <w:t xml:space="preserve">Los resultados de este análisis se presentan en la </w:t>
      </w:r>
      <w:r w:rsidR="00C34321" w:rsidRPr="003B0347">
        <w:rPr>
          <w:rFonts w:ascii="Arial" w:hAnsi="Arial" w:cs="Arial"/>
          <w:highlight w:val="green"/>
        </w:rPr>
        <w:t>tabla II</w:t>
      </w:r>
      <w:r w:rsidR="00B90DAD" w:rsidRPr="003B0347">
        <w:rPr>
          <w:rFonts w:ascii="Arial" w:hAnsi="Arial" w:cs="Arial"/>
          <w:highlight w:val="green"/>
        </w:rPr>
        <w:t>I</w:t>
      </w:r>
      <w:r w:rsidR="00C34321" w:rsidRPr="00F22857">
        <w:rPr>
          <w:rFonts w:ascii="Arial" w:hAnsi="Arial" w:cs="Arial"/>
        </w:rPr>
        <w:t>.</w:t>
      </w:r>
    </w:p>
    <w:p w:rsidR="007F1A2F" w:rsidRPr="00F22857" w:rsidRDefault="007F1A2F" w:rsidP="00F22857">
      <w:pPr>
        <w:spacing w:before="0" w:after="0"/>
        <w:jc w:val="both"/>
        <w:rPr>
          <w:rFonts w:ascii="Arial" w:hAnsi="Arial" w:cs="Arial"/>
        </w:rPr>
      </w:pPr>
    </w:p>
    <w:p w:rsidR="007F1A2F" w:rsidRPr="00F22857" w:rsidRDefault="007F1A2F" w:rsidP="00F22857">
      <w:pPr>
        <w:spacing w:before="0" w:after="0"/>
        <w:jc w:val="both"/>
        <w:rPr>
          <w:rFonts w:ascii="Arial" w:hAnsi="Arial" w:cs="Arial"/>
        </w:rPr>
      </w:pPr>
    </w:p>
    <w:p w:rsidR="007F1A2F" w:rsidRPr="00F22857" w:rsidRDefault="007F1A2F" w:rsidP="00F22857">
      <w:pPr>
        <w:spacing w:before="0" w:after="0"/>
        <w:jc w:val="both"/>
        <w:rPr>
          <w:rFonts w:ascii="Arial" w:hAnsi="Arial" w:cs="Arial"/>
        </w:rPr>
      </w:pPr>
    </w:p>
    <w:p w:rsidR="00DC3D72" w:rsidRPr="00F22857" w:rsidRDefault="00DC3D72" w:rsidP="00F22857">
      <w:pPr>
        <w:spacing w:before="0" w:after="0"/>
        <w:jc w:val="both"/>
        <w:rPr>
          <w:rFonts w:ascii="Arial" w:hAnsi="Arial" w:cs="Arial"/>
        </w:rPr>
      </w:pPr>
      <w:r w:rsidRPr="00F22857">
        <w:rPr>
          <w:rFonts w:ascii="Arial" w:hAnsi="Arial" w:cs="Arial"/>
        </w:rPr>
        <w:br w:type="page"/>
      </w:r>
    </w:p>
    <w:p w:rsidR="00A53EA3" w:rsidRPr="00F22857" w:rsidRDefault="008500E5" w:rsidP="00F22857">
      <w:pPr>
        <w:pStyle w:val="ListParagraph"/>
        <w:numPr>
          <w:ilvl w:val="0"/>
          <w:numId w:val="3"/>
        </w:numPr>
        <w:ind w:left="714" w:hanging="357"/>
        <w:jc w:val="both"/>
        <w:rPr>
          <w:rFonts w:ascii="Arial" w:hAnsi="Arial" w:cs="Arial"/>
          <w:b/>
          <w:smallCaps/>
        </w:rPr>
      </w:pPr>
      <w:r w:rsidRPr="00F22857">
        <w:rPr>
          <w:rFonts w:ascii="Arial" w:hAnsi="Arial" w:cs="Arial"/>
          <w:b/>
          <w:smallCaps/>
        </w:rPr>
        <w:lastRenderedPageBreak/>
        <w:t>Resultados adicionales</w:t>
      </w:r>
    </w:p>
    <w:p w:rsidR="00757982" w:rsidRDefault="00757982" w:rsidP="00F22857">
      <w:pPr>
        <w:spacing w:before="0" w:after="0"/>
        <w:ind w:firstLine="708"/>
        <w:jc w:val="both"/>
        <w:rPr>
          <w:rFonts w:ascii="Arial" w:hAnsi="Arial" w:cs="Arial"/>
        </w:rPr>
      </w:pPr>
    </w:p>
    <w:p w:rsidR="00B839B1" w:rsidRPr="00F22857" w:rsidRDefault="00757982" w:rsidP="00F22857">
      <w:pPr>
        <w:spacing w:before="0" w:after="0"/>
        <w:ind w:firstLine="708"/>
        <w:jc w:val="both"/>
        <w:rPr>
          <w:rFonts w:ascii="Arial" w:hAnsi="Arial" w:cs="Arial"/>
        </w:rPr>
      </w:pPr>
      <w:r>
        <w:rPr>
          <w:rFonts w:ascii="Arial" w:hAnsi="Arial" w:cs="Arial"/>
        </w:rPr>
        <w:t>A continuación</w:t>
      </w:r>
      <w:r w:rsidR="00C67248" w:rsidRPr="00F22857">
        <w:rPr>
          <w:rFonts w:ascii="Arial" w:hAnsi="Arial" w:cs="Arial"/>
        </w:rPr>
        <w:t xml:space="preserve"> se presentan resultados adicionales que no han sido incluidos en el texto principal.</w:t>
      </w:r>
      <w:r w:rsidR="008669E2" w:rsidRPr="00F22857">
        <w:rPr>
          <w:rFonts w:ascii="Arial" w:hAnsi="Arial" w:cs="Arial"/>
        </w:rPr>
        <w:t xml:space="preserve"> </w:t>
      </w:r>
      <w:r w:rsidR="00B839B1" w:rsidRPr="00F22857">
        <w:rPr>
          <w:rFonts w:ascii="Arial" w:hAnsi="Arial" w:cs="Arial"/>
        </w:rPr>
        <w:t xml:space="preserve">La tabla I muestra </w:t>
      </w:r>
      <w:r w:rsidR="005C54E6" w:rsidRPr="00F22857">
        <w:rPr>
          <w:rFonts w:ascii="Arial" w:hAnsi="Arial" w:cs="Arial"/>
        </w:rPr>
        <w:t xml:space="preserve">las </w:t>
      </w:r>
      <w:r w:rsidR="005C54E6" w:rsidRPr="00F22857">
        <w:rPr>
          <w:rFonts w:ascii="Arial" w:hAnsi="Arial" w:cs="Arial"/>
          <w:i/>
        </w:rPr>
        <w:t>odds ratios</w:t>
      </w:r>
      <w:r w:rsidR="005C54E6" w:rsidRPr="00F22857">
        <w:rPr>
          <w:rFonts w:ascii="Arial" w:hAnsi="Arial" w:cs="Arial"/>
        </w:rPr>
        <w:t xml:space="preserve"> correspondientes al modelo</w:t>
      </w:r>
      <w:r w:rsidR="00417286" w:rsidRPr="00F22857">
        <w:rPr>
          <w:rFonts w:ascii="Arial" w:hAnsi="Arial" w:cs="Arial"/>
        </w:rPr>
        <w:t xml:space="preserve"> utilizado para estimar la probabilidad de cesárea en el CHPR, siguiendo una especificación similar a la utilizada por la OMS</w:t>
      </w:r>
      <w:r w:rsidR="005E3E04" w:rsidRPr="00F22857">
        <w:rPr>
          <w:rStyle w:val="FootnoteReference"/>
          <w:rFonts w:ascii="Arial" w:hAnsi="Arial" w:cs="Arial"/>
        </w:rPr>
        <w:footnoteReference w:id="2"/>
      </w:r>
      <w:r w:rsidR="00417286" w:rsidRPr="00F22857">
        <w:rPr>
          <w:rFonts w:ascii="Arial" w:hAnsi="Arial" w:cs="Arial"/>
        </w:rPr>
        <w:t xml:space="preserve">. </w:t>
      </w:r>
      <w:r w:rsidR="00B839B1" w:rsidRPr="00F22857">
        <w:rPr>
          <w:rFonts w:ascii="Arial" w:hAnsi="Arial" w:cs="Arial"/>
        </w:rPr>
        <w:t xml:space="preserve">La tabla II, por su parte, recoge los resultados </w:t>
      </w:r>
      <w:r w:rsidR="00B839B1" w:rsidRPr="003B0347">
        <w:rPr>
          <w:rFonts w:ascii="Arial" w:hAnsi="Arial" w:cs="Arial"/>
          <w:i/>
        </w:rPr>
        <w:t>(</w:t>
      </w:r>
      <w:r w:rsidR="00B839B1" w:rsidRPr="00F22857">
        <w:rPr>
          <w:rFonts w:ascii="Arial" w:hAnsi="Arial" w:cs="Arial"/>
          <w:i/>
        </w:rPr>
        <w:t>odds ratios</w:t>
      </w:r>
      <w:r w:rsidR="00B839B1" w:rsidRPr="003B0347">
        <w:rPr>
          <w:rFonts w:ascii="Arial" w:hAnsi="Arial" w:cs="Arial"/>
          <w:i/>
        </w:rPr>
        <w:t xml:space="preserve">) </w:t>
      </w:r>
      <w:r w:rsidR="00C34321" w:rsidRPr="00F22857">
        <w:rPr>
          <w:rFonts w:ascii="Arial" w:hAnsi="Arial" w:cs="Arial"/>
        </w:rPr>
        <w:t xml:space="preserve">obtenidos </w:t>
      </w:r>
      <w:r w:rsidR="00B839B1" w:rsidRPr="00F22857">
        <w:rPr>
          <w:rFonts w:ascii="Arial" w:hAnsi="Arial" w:cs="Arial"/>
        </w:rPr>
        <w:t>con un modelo econométrico de una única ecuación con efectos fijos</w:t>
      </w:r>
      <w:r w:rsidR="0052534F" w:rsidRPr="00F22857">
        <w:rPr>
          <w:rFonts w:ascii="Arial" w:hAnsi="Arial" w:cs="Arial"/>
        </w:rPr>
        <w:t xml:space="preserve"> por tipo de hospital</w:t>
      </w:r>
      <w:r w:rsidR="00B839B1" w:rsidRPr="00F22857">
        <w:rPr>
          <w:rFonts w:ascii="Arial" w:hAnsi="Arial" w:cs="Arial"/>
        </w:rPr>
        <w:t xml:space="preserve"> (siguiendo la ecuación [</w:t>
      </w:r>
      <w:r w:rsidR="00C34321" w:rsidRPr="00F22857">
        <w:rPr>
          <w:rFonts w:ascii="Arial" w:hAnsi="Arial" w:cs="Arial"/>
        </w:rPr>
        <w:t>10</w:t>
      </w:r>
      <w:r w:rsidR="00B839B1" w:rsidRPr="00F22857">
        <w:rPr>
          <w:rFonts w:ascii="Arial" w:hAnsi="Arial" w:cs="Arial"/>
        </w:rPr>
        <w:t xml:space="preserve">]). </w:t>
      </w:r>
      <w:r w:rsidR="00C34321" w:rsidRPr="00F22857">
        <w:rPr>
          <w:rFonts w:ascii="Arial" w:hAnsi="Arial" w:cs="Arial"/>
        </w:rPr>
        <w:t xml:space="preserve">Por último, </w:t>
      </w:r>
      <w:r w:rsidR="0052534F" w:rsidRPr="00F22857">
        <w:rPr>
          <w:rFonts w:ascii="Arial" w:hAnsi="Arial" w:cs="Arial"/>
        </w:rPr>
        <w:t>la</w:t>
      </w:r>
      <w:r w:rsidR="00C34321" w:rsidRPr="00F22857">
        <w:rPr>
          <w:rFonts w:ascii="Arial" w:hAnsi="Arial" w:cs="Arial"/>
        </w:rPr>
        <w:t xml:space="preserve"> tabla III presenta</w:t>
      </w:r>
      <w:r w:rsidR="0052534F" w:rsidRPr="00F22857">
        <w:rPr>
          <w:rFonts w:ascii="Arial" w:hAnsi="Arial" w:cs="Arial"/>
        </w:rPr>
        <w:t xml:space="preserve"> </w:t>
      </w:r>
      <w:r>
        <w:rPr>
          <w:rFonts w:ascii="Arial" w:hAnsi="Arial" w:cs="Arial"/>
        </w:rPr>
        <w:t xml:space="preserve">la </w:t>
      </w:r>
      <w:r w:rsidR="0052534F" w:rsidRPr="00F22857">
        <w:rPr>
          <w:rFonts w:ascii="Arial" w:hAnsi="Arial" w:cs="Arial"/>
        </w:rPr>
        <w:t>varianza entre centros hospitalarios y entre categorías de hospital</w:t>
      </w:r>
      <w:r w:rsidR="00E819C4">
        <w:rPr>
          <w:rFonts w:ascii="Arial" w:hAnsi="Arial" w:cs="Arial"/>
        </w:rPr>
        <w:t xml:space="preserve">, </w:t>
      </w:r>
      <w:r w:rsidR="0052534F" w:rsidRPr="00F22857">
        <w:rPr>
          <w:rFonts w:ascii="Arial" w:hAnsi="Arial" w:cs="Arial"/>
        </w:rPr>
        <w:t>tanto incondicionada como condicionada a las covariables</w:t>
      </w:r>
      <w:r w:rsidR="00E819C4">
        <w:rPr>
          <w:rFonts w:ascii="Arial" w:hAnsi="Arial" w:cs="Arial"/>
        </w:rPr>
        <w:t>,</w:t>
      </w:r>
      <w:r w:rsidR="0052534F" w:rsidRPr="00F22857">
        <w:rPr>
          <w:rFonts w:ascii="Arial" w:hAnsi="Arial" w:cs="Arial"/>
        </w:rPr>
        <w:t xml:space="preserve"> derivada del </w:t>
      </w:r>
      <w:r w:rsidR="0052534F" w:rsidRPr="00F22857">
        <w:rPr>
          <w:rFonts w:ascii="Arial" w:hAnsi="Arial" w:cs="Arial"/>
          <w:i/>
        </w:rPr>
        <w:t xml:space="preserve">logit </w:t>
      </w:r>
      <w:r w:rsidR="0052534F" w:rsidRPr="00F22857">
        <w:rPr>
          <w:rFonts w:ascii="Arial" w:hAnsi="Arial" w:cs="Arial"/>
        </w:rPr>
        <w:t>multinivel de la ecuación [1</w:t>
      </w:r>
      <w:r w:rsidR="0004126E" w:rsidRPr="00F22857">
        <w:rPr>
          <w:rFonts w:ascii="Arial" w:hAnsi="Arial" w:cs="Arial"/>
        </w:rPr>
        <w:t>1</w:t>
      </w:r>
      <w:r w:rsidR="0052534F" w:rsidRPr="00F22857">
        <w:rPr>
          <w:rFonts w:ascii="Arial" w:hAnsi="Arial" w:cs="Arial"/>
        </w:rPr>
        <w:t>].</w:t>
      </w:r>
    </w:p>
    <w:p w:rsidR="00B839B1" w:rsidRPr="00F22857" w:rsidRDefault="00B839B1" w:rsidP="00F22857">
      <w:pPr>
        <w:jc w:val="both"/>
        <w:rPr>
          <w:rFonts w:ascii="Arial" w:hAnsi="Arial" w:cs="Arial"/>
        </w:rPr>
      </w:pPr>
      <w:r w:rsidRPr="00F22857">
        <w:rPr>
          <w:rFonts w:ascii="Arial" w:hAnsi="Arial" w:cs="Arial"/>
        </w:rPr>
        <w:br w:type="page"/>
      </w:r>
    </w:p>
    <w:tbl>
      <w:tblPr>
        <w:tblW w:w="5000" w:type="pct"/>
        <w:tblCellMar>
          <w:left w:w="70" w:type="dxa"/>
          <w:right w:w="70" w:type="dxa"/>
        </w:tblCellMar>
        <w:tblLook w:val="04A0" w:firstRow="1" w:lastRow="0" w:firstColumn="1" w:lastColumn="0" w:noHBand="0" w:noVBand="1"/>
      </w:tblPr>
      <w:tblGrid>
        <w:gridCol w:w="5877"/>
        <w:gridCol w:w="2274"/>
        <w:gridCol w:w="1627"/>
      </w:tblGrid>
      <w:tr w:rsidR="00586EE0" w:rsidRPr="00F22857" w:rsidTr="00540AF5">
        <w:trPr>
          <w:trHeight w:val="454"/>
        </w:trPr>
        <w:tc>
          <w:tcPr>
            <w:tcW w:w="5000" w:type="pct"/>
            <w:gridSpan w:val="3"/>
            <w:tcBorders>
              <w:top w:val="nil"/>
              <w:left w:val="nil"/>
              <w:bottom w:val="nil"/>
              <w:right w:val="nil"/>
            </w:tcBorders>
            <w:shd w:val="clear" w:color="auto" w:fill="auto"/>
            <w:vAlign w:val="center"/>
            <w:hideMark/>
          </w:tcPr>
          <w:p w:rsidR="00E819C4" w:rsidRPr="003B0347" w:rsidRDefault="00586EE0" w:rsidP="00F22857">
            <w:pPr>
              <w:spacing w:before="0" w:after="0"/>
              <w:jc w:val="both"/>
              <w:rPr>
                <w:rFonts w:ascii="Arial" w:eastAsia="Times New Roman" w:hAnsi="Arial" w:cs="Arial"/>
                <w:b/>
                <w:color w:val="000000"/>
                <w:lang w:eastAsia="es-ES"/>
              </w:rPr>
            </w:pPr>
            <w:r w:rsidRPr="003B0347">
              <w:rPr>
                <w:rFonts w:ascii="Arial" w:eastAsia="Times New Roman" w:hAnsi="Arial" w:cs="Arial"/>
                <w:b/>
                <w:color w:val="000000"/>
                <w:lang w:eastAsia="es-ES"/>
              </w:rPr>
              <w:lastRenderedPageBreak/>
              <w:t xml:space="preserve">Tabla </w:t>
            </w:r>
            <w:r w:rsidR="00417286" w:rsidRPr="003B0347">
              <w:rPr>
                <w:rFonts w:ascii="Arial" w:eastAsia="Times New Roman" w:hAnsi="Arial" w:cs="Arial"/>
                <w:b/>
                <w:color w:val="000000"/>
                <w:lang w:eastAsia="es-ES"/>
              </w:rPr>
              <w:t>I</w:t>
            </w:r>
          </w:p>
          <w:p w:rsidR="00586EE0" w:rsidRPr="00F22857" w:rsidRDefault="00586EE0"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xml:space="preserve">Determinantes del parto por cesárea en </w:t>
            </w:r>
            <w:r w:rsidR="0044401B" w:rsidRPr="00F22857">
              <w:rPr>
                <w:rFonts w:ascii="Arial" w:eastAsia="Times New Roman" w:hAnsi="Arial" w:cs="Arial"/>
                <w:color w:val="000000"/>
                <w:lang w:eastAsia="es-ES"/>
              </w:rPr>
              <w:t xml:space="preserve">el Centro Hospitalario Pereira Rossell </w:t>
            </w:r>
            <w:r w:rsidRPr="00F22857">
              <w:rPr>
                <w:rFonts w:ascii="Arial" w:eastAsia="Times New Roman" w:hAnsi="Arial" w:cs="Arial"/>
                <w:color w:val="000000"/>
                <w:lang w:eastAsia="es-ES"/>
              </w:rPr>
              <w:t xml:space="preserve">(modelo </w:t>
            </w:r>
            <w:r w:rsidRPr="00F22857">
              <w:rPr>
                <w:rFonts w:ascii="Arial" w:eastAsia="Times New Roman" w:hAnsi="Arial" w:cs="Arial"/>
                <w:i/>
                <w:color w:val="000000"/>
                <w:lang w:eastAsia="es-ES"/>
              </w:rPr>
              <w:t>logit</w:t>
            </w:r>
            <w:r w:rsidRPr="00F22857">
              <w:rPr>
                <w:rFonts w:ascii="Arial" w:eastAsia="Times New Roman" w:hAnsi="Arial" w:cs="Arial"/>
                <w:color w:val="000000"/>
                <w:lang w:eastAsia="es-ES"/>
              </w:rPr>
              <w:t xml:space="preserve"> con especificación alternativa de las variables determinantes de los grupos de Robson, </w:t>
            </w:r>
            <w:r w:rsidR="005C54E6" w:rsidRPr="00F22857">
              <w:rPr>
                <w:rFonts w:ascii="Arial" w:eastAsia="Times New Roman" w:hAnsi="Arial" w:cs="Arial"/>
                <w:i/>
                <w:color w:val="000000"/>
                <w:lang w:eastAsia="es-ES"/>
              </w:rPr>
              <w:t>odds ratios</w:t>
            </w:r>
            <w:r w:rsidRPr="00F22857">
              <w:rPr>
                <w:rFonts w:ascii="Arial" w:eastAsia="Times New Roman" w:hAnsi="Arial" w:cs="Arial"/>
                <w:color w:val="000000"/>
                <w:lang w:eastAsia="es-ES"/>
              </w:rPr>
              <w:t>)</w:t>
            </w:r>
          </w:p>
        </w:tc>
      </w:tr>
      <w:tr w:rsidR="00540AF5" w:rsidRPr="00F22857" w:rsidTr="00540AF5">
        <w:trPr>
          <w:trHeight w:val="680"/>
        </w:trPr>
        <w:tc>
          <w:tcPr>
            <w:tcW w:w="3005" w:type="pct"/>
            <w:tcBorders>
              <w:top w:val="single" w:sz="4" w:space="0" w:color="auto"/>
              <w:left w:val="nil"/>
              <w:bottom w:val="single" w:sz="4" w:space="0" w:color="auto"/>
              <w:right w:val="nil"/>
            </w:tcBorders>
            <w:shd w:val="clear" w:color="auto" w:fill="auto"/>
            <w:vAlign w:val="center"/>
          </w:tcPr>
          <w:p w:rsidR="00540AF5" w:rsidRPr="00F22857" w:rsidRDefault="00540AF5" w:rsidP="00F22857">
            <w:pPr>
              <w:spacing w:before="0" w:after="0"/>
              <w:jc w:val="both"/>
              <w:rPr>
                <w:rFonts w:ascii="Arial" w:eastAsia="Times New Roman" w:hAnsi="Arial" w:cs="Arial"/>
                <w:color w:val="000000"/>
                <w:lang w:eastAsia="es-ES"/>
              </w:rPr>
            </w:pPr>
          </w:p>
        </w:tc>
        <w:tc>
          <w:tcPr>
            <w:tcW w:w="1995" w:type="pct"/>
            <w:gridSpan w:val="2"/>
            <w:tcBorders>
              <w:top w:val="single" w:sz="4" w:space="0" w:color="auto"/>
              <w:bottom w:val="single" w:sz="4" w:space="0" w:color="auto"/>
            </w:tcBorders>
            <w:shd w:val="clear" w:color="auto" w:fill="auto"/>
            <w:vAlign w:val="center"/>
          </w:tcPr>
          <w:p w:rsidR="00540AF5" w:rsidRPr="00F22857" w:rsidRDefault="00540AF5" w:rsidP="00F22857">
            <w:pPr>
              <w:autoSpaceDE w:val="0"/>
              <w:autoSpaceDN w:val="0"/>
              <w:adjustRightInd w:val="0"/>
              <w:spacing w:before="0" w:after="0"/>
              <w:jc w:val="both"/>
              <w:rPr>
                <w:rFonts w:ascii="Arial" w:hAnsi="Arial" w:cs="Arial"/>
                <w:i/>
                <w:lang w:val="es-UY"/>
              </w:rPr>
            </w:pPr>
            <w:r w:rsidRPr="00F22857">
              <w:rPr>
                <w:rFonts w:ascii="Arial" w:hAnsi="Arial" w:cs="Arial"/>
                <w:i/>
                <w:lang w:val="es-UY"/>
              </w:rPr>
              <w:t>Odds ratios</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Menor de 20 años</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0,732</w:t>
            </w:r>
          </w:p>
        </w:tc>
        <w:tc>
          <w:tcPr>
            <w:tcW w:w="832" w:type="pct"/>
            <w:tcBorders>
              <w:top w:val="nil"/>
              <w:left w:val="nil"/>
              <w:bottom w:val="nil"/>
              <w:right w:val="nil"/>
            </w:tcBorders>
            <w:shd w:val="clear" w:color="auto" w:fill="auto"/>
            <w:vAlign w:val="center"/>
          </w:tcPr>
          <w:p w:rsidR="004633B6" w:rsidRPr="003B0347" w:rsidRDefault="00E819C4" w:rsidP="00F22857">
            <w:pPr>
              <w:spacing w:before="0" w:after="0"/>
              <w:jc w:val="both"/>
              <w:rPr>
                <w:rFonts w:ascii="Arial" w:hAnsi="Arial" w:cs="Arial"/>
                <w:color w:val="000000"/>
                <w:vertAlign w:val="superscript"/>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(0,032)</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35 o más años</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1,374</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(0,085)</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1 o 2 partos anteriores</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0,297</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(0,013)</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3 o más partos anteriores</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0,157</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(0,010)</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1 cesárea previa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7,670</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(0,333)</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2 o más cesáreas previas</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217,478</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(40,601)</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Parto múltiple</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15,085</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(1,913)</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Inicio de parto inducido o cesárea programada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6,825</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(0,230)</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Presentación podálica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21,913</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(2,503)</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Situación transversa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118,709</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(65,727)</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Nacimiento prematuro</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0,889</w:t>
            </w:r>
          </w:p>
        </w:tc>
        <w:tc>
          <w:tcPr>
            <w:tcW w:w="832" w:type="pct"/>
            <w:tcBorders>
              <w:top w:val="nil"/>
              <w:left w:val="nil"/>
              <w:bottom w:val="nil"/>
              <w:right w:val="nil"/>
            </w:tcBorders>
            <w:shd w:val="clear" w:color="auto" w:fill="auto"/>
            <w:vAlign w:val="center"/>
          </w:tcPr>
          <w:p w:rsidR="004633B6" w:rsidRPr="003B0347" w:rsidRDefault="00E819C4" w:rsidP="00F22857">
            <w:pPr>
              <w:spacing w:before="0" w:after="0"/>
              <w:jc w:val="both"/>
              <w:rPr>
                <w:rFonts w:ascii="Arial" w:hAnsi="Arial" w:cs="Arial"/>
                <w:color w:val="000000"/>
                <w:vertAlign w:val="superscript"/>
              </w:rPr>
            </w:pPr>
            <w:r>
              <w:rPr>
                <w:rFonts w:ascii="Arial" w:hAnsi="Arial" w:cs="Arial"/>
                <w:color w:val="000000"/>
                <w:vertAlign w:val="superscript"/>
              </w:rPr>
              <w:t>b</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(0,051)</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Placenta previa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7,743</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(1,983)</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Desprendimiento de placenta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101,757</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(32,971)</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Hipertensión</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1,288</w:t>
            </w:r>
          </w:p>
        </w:tc>
        <w:tc>
          <w:tcPr>
            <w:tcW w:w="832" w:type="pct"/>
            <w:tcBorders>
              <w:top w:val="nil"/>
              <w:left w:val="nil"/>
              <w:bottom w:val="nil"/>
              <w:right w:val="nil"/>
            </w:tcBorders>
            <w:shd w:val="clear" w:color="auto" w:fill="auto"/>
            <w:vAlign w:val="center"/>
          </w:tcPr>
          <w:p w:rsidR="004633B6" w:rsidRPr="003B0347" w:rsidRDefault="00E819C4" w:rsidP="00F22857">
            <w:pPr>
              <w:spacing w:before="0" w:after="0"/>
              <w:jc w:val="both"/>
              <w:rPr>
                <w:rFonts w:ascii="Arial" w:hAnsi="Arial" w:cs="Arial"/>
                <w:color w:val="000000"/>
                <w:vertAlign w:val="superscript"/>
              </w:rPr>
            </w:pPr>
            <w:r>
              <w:rPr>
                <w:rFonts w:ascii="Arial" w:hAnsi="Arial" w:cs="Arial"/>
                <w:color w:val="000000"/>
                <w:vertAlign w:val="superscript"/>
              </w:rPr>
              <w:t>b</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(0,132)</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Preeclampsia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1,728</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lastRenderedPageBreak/>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(0,132)</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Eclampsia</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3,703</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(1,081)</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Problema renal</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0,819</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(0,350)</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VIH</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126,113</w:t>
            </w:r>
          </w:p>
        </w:tc>
        <w:tc>
          <w:tcPr>
            <w:tcW w:w="832"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540AF5">
        <w:trPr>
          <w:trHeight w:val="227"/>
        </w:trPr>
        <w:tc>
          <w:tcPr>
            <w:tcW w:w="3005"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w:t>
            </w:r>
          </w:p>
        </w:tc>
        <w:tc>
          <w:tcPr>
            <w:tcW w:w="1163"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(103,614)</w:t>
            </w:r>
          </w:p>
        </w:tc>
        <w:tc>
          <w:tcPr>
            <w:tcW w:w="832"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540AF5" w:rsidRPr="00F22857" w:rsidTr="00540AF5">
        <w:trPr>
          <w:trHeight w:val="227"/>
        </w:trPr>
        <w:tc>
          <w:tcPr>
            <w:tcW w:w="3005" w:type="pct"/>
            <w:tcBorders>
              <w:top w:val="nil"/>
              <w:left w:val="nil"/>
              <w:bottom w:val="nil"/>
              <w:right w:val="nil"/>
            </w:tcBorders>
            <w:shd w:val="clear" w:color="auto" w:fill="auto"/>
            <w:vAlign w:val="center"/>
          </w:tcPr>
          <w:p w:rsidR="00540AF5" w:rsidRPr="00F22857" w:rsidRDefault="00540AF5" w:rsidP="00F22857">
            <w:pPr>
              <w:spacing w:before="0" w:after="0"/>
              <w:jc w:val="both"/>
              <w:rPr>
                <w:rFonts w:ascii="Arial" w:eastAsia="Times New Roman" w:hAnsi="Arial" w:cs="Arial"/>
                <w:color w:val="000000"/>
                <w:lang w:eastAsia="es-ES"/>
              </w:rPr>
            </w:pPr>
          </w:p>
        </w:tc>
        <w:tc>
          <w:tcPr>
            <w:tcW w:w="1995" w:type="pct"/>
            <w:gridSpan w:val="2"/>
            <w:tcBorders>
              <w:top w:val="nil"/>
              <w:left w:val="nil"/>
              <w:bottom w:val="nil"/>
              <w:right w:val="nil"/>
            </w:tcBorders>
            <w:shd w:val="clear" w:color="auto" w:fill="auto"/>
            <w:tcMar>
              <w:left w:w="57" w:type="dxa"/>
              <w:right w:w="57" w:type="dxa"/>
            </w:tcMar>
            <w:vAlign w:val="center"/>
          </w:tcPr>
          <w:p w:rsidR="00540AF5" w:rsidRPr="00F22857" w:rsidRDefault="00540AF5" w:rsidP="00F22857">
            <w:pPr>
              <w:spacing w:before="0" w:after="0"/>
              <w:jc w:val="both"/>
              <w:rPr>
                <w:rFonts w:ascii="Arial" w:eastAsia="Times New Roman" w:hAnsi="Arial" w:cs="Arial"/>
                <w:color w:val="000000"/>
                <w:lang w:eastAsia="es-ES"/>
              </w:rPr>
            </w:pPr>
          </w:p>
        </w:tc>
      </w:tr>
      <w:tr w:rsidR="00586EE0" w:rsidRPr="00F22857" w:rsidTr="00540AF5">
        <w:trPr>
          <w:trHeight w:val="227"/>
        </w:trPr>
        <w:tc>
          <w:tcPr>
            <w:tcW w:w="3005" w:type="pct"/>
            <w:tcBorders>
              <w:top w:val="nil"/>
              <w:left w:val="nil"/>
              <w:bottom w:val="nil"/>
              <w:right w:val="nil"/>
            </w:tcBorders>
            <w:shd w:val="clear" w:color="auto" w:fill="auto"/>
            <w:vAlign w:val="center"/>
            <w:hideMark/>
          </w:tcPr>
          <w:p w:rsidR="00586EE0" w:rsidRPr="00F22857" w:rsidRDefault="00586EE0"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Pseudo-R</w:t>
            </w:r>
            <w:r w:rsidRPr="00F22857">
              <w:rPr>
                <w:rFonts w:ascii="Arial" w:eastAsia="Times New Roman" w:hAnsi="Arial" w:cs="Arial"/>
                <w:color w:val="000000"/>
                <w:vertAlign w:val="superscript"/>
                <w:lang w:eastAsia="es-ES"/>
              </w:rPr>
              <w:t>2</w:t>
            </w:r>
          </w:p>
        </w:tc>
        <w:tc>
          <w:tcPr>
            <w:tcW w:w="1995" w:type="pct"/>
            <w:gridSpan w:val="2"/>
            <w:tcBorders>
              <w:top w:val="nil"/>
              <w:left w:val="nil"/>
              <w:bottom w:val="nil"/>
              <w:right w:val="nil"/>
            </w:tcBorders>
            <w:shd w:val="clear" w:color="auto" w:fill="auto"/>
            <w:tcMar>
              <w:left w:w="57" w:type="dxa"/>
              <w:right w:w="284" w:type="dxa"/>
            </w:tcMar>
            <w:vAlign w:val="center"/>
          </w:tcPr>
          <w:p w:rsidR="00586EE0" w:rsidRPr="00F22857" w:rsidRDefault="00F6580F" w:rsidP="00F22857">
            <w:pPr>
              <w:spacing w:before="0" w:after="0"/>
              <w:ind w:right="1418"/>
              <w:jc w:val="both"/>
              <w:rPr>
                <w:rFonts w:ascii="Arial" w:eastAsia="Times New Roman" w:hAnsi="Arial" w:cs="Arial"/>
                <w:color w:val="000000"/>
                <w:lang w:eastAsia="es-ES"/>
              </w:rPr>
            </w:pPr>
            <w:r w:rsidRPr="00F22857">
              <w:rPr>
                <w:rFonts w:ascii="Arial" w:eastAsia="Times New Roman" w:hAnsi="Arial" w:cs="Arial"/>
                <w:color w:val="000000"/>
                <w:lang w:eastAsia="es-ES"/>
              </w:rPr>
              <w:t>0,36</w:t>
            </w:r>
          </w:p>
        </w:tc>
      </w:tr>
      <w:tr w:rsidR="00C5439D" w:rsidRPr="00F22857" w:rsidTr="00540AF5">
        <w:trPr>
          <w:trHeight w:val="227"/>
        </w:trPr>
        <w:tc>
          <w:tcPr>
            <w:tcW w:w="3005" w:type="pct"/>
            <w:shd w:val="clear" w:color="auto" w:fill="auto"/>
            <w:vAlign w:val="center"/>
          </w:tcPr>
          <w:p w:rsidR="00C5439D" w:rsidRPr="00F22857" w:rsidRDefault="00C5439D" w:rsidP="00F22857">
            <w:pPr>
              <w:autoSpaceDE w:val="0"/>
              <w:autoSpaceDN w:val="0"/>
              <w:adjustRightInd w:val="0"/>
              <w:spacing w:before="0" w:after="0"/>
              <w:jc w:val="both"/>
              <w:rPr>
                <w:rFonts w:ascii="Arial" w:hAnsi="Arial" w:cs="Arial"/>
                <w:lang w:val="es-UY"/>
              </w:rPr>
            </w:pPr>
            <w:r w:rsidRPr="00F22857">
              <w:rPr>
                <w:rFonts w:ascii="Arial" w:hAnsi="Arial" w:cs="Arial"/>
                <w:lang w:val="es-UY"/>
              </w:rPr>
              <w:t>Porcentaje de predicciones correctas (%)</w:t>
            </w:r>
          </w:p>
        </w:tc>
        <w:tc>
          <w:tcPr>
            <w:tcW w:w="1995" w:type="pct"/>
            <w:gridSpan w:val="2"/>
            <w:tcBorders>
              <w:top w:val="nil"/>
              <w:left w:val="nil"/>
              <w:bottom w:val="nil"/>
              <w:right w:val="nil"/>
            </w:tcBorders>
            <w:shd w:val="clear" w:color="auto" w:fill="auto"/>
            <w:tcMar>
              <w:left w:w="57" w:type="dxa"/>
              <w:right w:w="284" w:type="dxa"/>
            </w:tcMar>
            <w:vAlign w:val="center"/>
          </w:tcPr>
          <w:p w:rsidR="00C5439D" w:rsidRPr="00F22857" w:rsidRDefault="00C5439D" w:rsidP="00F22857">
            <w:pPr>
              <w:spacing w:before="0" w:after="0"/>
              <w:jc w:val="both"/>
              <w:rPr>
                <w:rFonts w:ascii="Arial" w:eastAsia="Times New Roman" w:hAnsi="Arial" w:cs="Arial"/>
                <w:color w:val="000000"/>
                <w:lang w:eastAsia="es-ES"/>
              </w:rPr>
            </w:pPr>
          </w:p>
        </w:tc>
      </w:tr>
      <w:tr w:rsidR="00F6580F" w:rsidRPr="00F22857" w:rsidTr="00540AF5">
        <w:trPr>
          <w:trHeight w:val="227"/>
        </w:trPr>
        <w:tc>
          <w:tcPr>
            <w:tcW w:w="3005" w:type="pct"/>
            <w:shd w:val="clear" w:color="auto" w:fill="auto"/>
            <w:vAlign w:val="center"/>
          </w:tcPr>
          <w:p w:rsidR="00F6580F" w:rsidRPr="00F22857" w:rsidRDefault="00F6580F" w:rsidP="00F22857">
            <w:pPr>
              <w:autoSpaceDE w:val="0"/>
              <w:autoSpaceDN w:val="0"/>
              <w:adjustRightInd w:val="0"/>
              <w:spacing w:before="0" w:after="0"/>
              <w:ind w:left="284"/>
              <w:jc w:val="both"/>
              <w:rPr>
                <w:rFonts w:ascii="Arial" w:hAnsi="Arial" w:cs="Arial"/>
                <w:lang w:val="es-UY"/>
              </w:rPr>
            </w:pPr>
            <w:r w:rsidRPr="00F22857">
              <w:rPr>
                <w:rFonts w:ascii="Arial" w:hAnsi="Arial" w:cs="Arial"/>
                <w:lang w:val="es-UY"/>
              </w:rPr>
              <w:t>Partos totales</w:t>
            </w:r>
          </w:p>
        </w:tc>
        <w:tc>
          <w:tcPr>
            <w:tcW w:w="1995" w:type="pct"/>
            <w:gridSpan w:val="2"/>
            <w:tcBorders>
              <w:top w:val="nil"/>
              <w:left w:val="nil"/>
              <w:bottom w:val="nil"/>
              <w:right w:val="nil"/>
            </w:tcBorders>
            <w:shd w:val="clear" w:color="auto" w:fill="auto"/>
            <w:tcMar>
              <w:left w:w="57" w:type="dxa"/>
              <w:right w:w="284" w:type="dxa"/>
            </w:tcMar>
            <w:vAlign w:val="center"/>
          </w:tcPr>
          <w:p w:rsidR="00F6580F" w:rsidRPr="00F22857" w:rsidRDefault="00F6580F" w:rsidP="00F22857">
            <w:pPr>
              <w:spacing w:before="0" w:after="0"/>
              <w:ind w:right="1418"/>
              <w:jc w:val="both"/>
              <w:rPr>
                <w:rFonts w:ascii="Arial" w:hAnsi="Arial" w:cs="Arial"/>
                <w:color w:val="000000"/>
              </w:rPr>
            </w:pPr>
            <w:r w:rsidRPr="00F22857">
              <w:rPr>
                <w:rFonts w:ascii="Arial" w:hAnsi="Arial" w:cs="Arial"/>
                <w:color w:val="000000"/>
              </w:rPr>
              <w:t>83,4</w:t>
            </w:r>
          </w:p>
        </w:tc>
      </w:tr>
      <w:tr w:rsidR="00F6580F" w:rsidRPr="00F22857" w:rsidTr="00540AF5">
        <w:trPr>
          <w:trHeight w:val="227"/>
        </w:trPr>
        <w:tc>
          <w:tcPr>
            <w:tcW w:w="3005" w:type="pct"/>
            <w:shd w:val="clear" w:color="auto" w:fill="auto"/>
            <w:vAlign w:val="center"/>
          </w:tcPr>
          <w:p w:rsidR="00F6580F" w:rsidRPr="00F22857" w:rsidRDefault="00F6580F" w:rsidP="00F22857">
            <w:pPr>
              <w:autoSpaceDE w:val="0"/>
              <w:autoSpaceDN w:val="0"/>
              <w:adjustRightInd w:val="0"/>
              <w:spacing w:before="0" w:after="0"/>
              <w:ind w:left="284"/>
              <w:jc w:val="both"/>
              <w:rPr>
                <w:rFonts w:ascii="Arial" w:hAnsi="Arial" w:cs="Arial"/>
                <w:lang w:val="es-UY"/>
              </w:rPr>
            </w:pPr>
            <w:r w:rsidRPr="00F22857">
              <w:rPr>
                <w:rFonts w:ascii="Arial" w:hAnsi="Arial" w:cs="Arial"/>
                <w:lang w:val="es-UY"/>
              </w:rPr>
              <w:t>Parto sin cesárea</w:t>
            </w:r>
          </w:p>
        </w:tc>
        <w:tc>
          <w:tcPr>
            <w:tcW w:w="1995" w:type="pct"/>
            <w:gridSpan w:val="2"/>
            <w:tcBorders>
              <w:top w:val="nil"/>
              <w:left w:val="nil"/>
              <w:bottom w:val="nil"/>
              <w:right w:val="nil"/>
            </w:tcBorders>
            <w:shd w:val="clear" w:color="auto" w:fill="auto"/>
            <w:tcMar>
              <w:left w:w="57" w:type="dxa"/>
              <w:right w:w="284" w:type="dxa"/>
            </w:tcMar>
            <w:vAlign w:val="center"/>
          </w:tcPr>
          <w:p w:rsidR="00F6580F" w:rsidRPr="00F22857" w:rsidRDefault="00F6580F" w:rsidP="00F22857">
            <w:pPr>
              <w:spacing w:before="0" w:after="0"/>
              <w:ind w:right="1418"/>
              <w:jc w:val="both"/>
              <w:rPr>
                <w:rFonts w:ascii="Arial" w:hAnsi="Arial" w:cs="Arial"/>
                <w:color w:val="000000"/>
              </w:rPr>
            </w:pPr>
            <w:r w:rsidRPr="00F22857">
              <w:rPr>
                <w:rFonts w:ascii="Arial" w:hAnsi="Arial" w:cs="Arial"/>
                <w:color w:val="000000"/>
              </w:rPr>
              <w:t>91,9</w:t>
            </w:r>
          </w:p>
        </w:tc>
      </w:tr>
      <w:tr w:rsidR="00F6580F" w:rsidRPr="00F22857" w:rsidTr="00540AF5">
        <w:trPr>
          <w:trHeight w:val="227"/>
        </w:trPr>
        <w:tc>
          <w:tcPr>
            <w:tcW w:w="3005" w:type="pct"/>
            <w:shd w:val="clear" w:color="auto" w:fill="auto"/>
            <w:vAlign w:val="center"/>
          </w:tcPr>
          <w:p w:rsidR="00F6580F" w:rsidRPr="00F22857" w:rsidRDefault="00F6580F" w:rsidP="00F22857">
            <w:pPr>
              <w:autoSpaceDE w:val="0"/>
              <w:autoSpaceDN w:val="0"/>
              <w:adjustRightInd w:val="0"/>
              <w:spacing w:before="0" w:after="0"/>
              <w:ind w:left="284"/>
              <w:jc w:val="both"/>
              <w:rPr>
                <w:rFonts w:ascii="Arial" w:hAnsi="Arial" w:cs="Arial"/>
                <w:lang w:val="es-UY"/>
              </w:rPr>
            </w:pPr>
            <w:r w:rsidRPr="00F22857">
              <w:rPr>
                <w:rFonts w:ascii="Arial" w:hAnsi="Arial" w:cs="Arial"/>
                <w:lang w:val="es-UY"/>
              </w:rPr>
              <w:t>Parto con cesárea</w:t>
            </w:r>
          </w:p>
        </w:tc>
        <w:tc>
          <w:tcPr>
            <w:tcW w:w="1995" w:type="pct"/>
            <w:gridSpan w:val="2"/>
            <w:tcBorders>
              <w:top w:val="nil"/>
              <w:left w:val="nil"/>
              <w:bottom w:val="nil"/>
              <w:right w:val="nil"/>
            </w:tcBorders>
            <w:shd w:val="clear" w:color="auto" w:fill="auto"/>
            <w:tcMar>
              <w:left w:w="57" w:type="dxa"/>
              <w:right w:w="284" w:type="dxa"/>
            </w:tcMar>
            <w:vAlign w:val="center"/>
          </w:tcPr>
          <w:p w:rsidR="00F6580F" w:rsidRPr="00F22857" w:rsidRDefault="008E1C02" w:rsidP="00F22857">
            <w:pPr>
              <w:spacing w:before="0" w:after="0"/>
              <w:ind w:right="1418"/>
              <w:jc w:val="both"/>
              <w:rPr>
                <w:rFonts w:ascii="Arial" w:hAnsi="Arial" w:cs="Arial"/>
                <w:color w:val="000000"/>
              </w:rPr>
            </w:pPr>
            <w:r w:rsidRPr="00F22857">
              <w:rPr>
                <w:rFonts w:ascii="Arial" w:hAnsi="Arial" w:cs="Arial"/>
                <w:color w:val="000000"/>
              </w:rPr>
              <w:t>62,1</w:t>
            </w:r>
          </w:p>
        </w:tc>
      </w:tr>
      <w:tr w:rsidR="00586EE0" w:rsidRPr="00F22857" w:rsidTr="00540AF5">
        <w:trPr>
          <w:trHeight w:val="227"/>
        </w:trPr>
        <w:tc>
          <w:tcPr>
            <w:tcW w:w="3005" w:type="pct"/>
            <w:tcBorders>
              <w:top w:val="nil"/>
              <w:left w:val="nil"/>
              <w:bottom w:val="single" w:sz="4" w:space="0" w:color="auto"/>
              <w:right w:val="nil"/>
            </w:tcBorders>
            <w:shd w:val="clear" w:color="auto" w:fill="auto"/>
            <w:vAlign w:val="center"/>
          </w:tcPr>
          <w:p w:rsidR="00586EE0" w:rsidRPr="00F22857" w:rsidRDefault="00586EE0"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Nº de observaciones</w:t>
            </w:r>
          </w:p>
        </w:tc>
        <w:tc>
          <w:tcPr>
            <w:tcW w:w="1995" w:type="pct"/>
            <w:gridSpan w:val="2"/>
            <w:tcBorders>
              <w:top w:val="nil"/>
              <w:left w:val="nil"/>
              <w:bottom w:val="single" w:sz="4" w:space="0" w:color="auto"/>
              <w:right w:val="nil"/>
            </w:tcBorders>
            <w:shd w:val="clear" w:color="auto" w:fill="auto"/>
            <w:tcMar>
              <w:left w:w="57" w:type="dxa"/>
              <w:right w:w="284" w:type="dxa"/>
            </w:tcMar>
            <w:vAlign w:val="center"/>
          </w:tcPr>
          <w:p w:rsidR="00586EE0" w:rsidRPr="00F22857" w:rsidRDefault="00F6580F" w:rsidP="00F22857">
            <w:pPr>
              <w:spacing w:before="0" w:after="0"/>
              <w:ind w:right="1418"/>
              <w:jc w:val="both"/>
              <w:rPr>
                <w:rFonts w:ascii="Arial" w:eastAsia="Times New Roman" w:hAnsi="Arial" w:cs="Arial"/>
                <w:color w:val="000000"/>
                <w:lang w:eastAsia="es-ES"/>
              </w:rPr>
            </w:pPr>
            <w:r w:rsidRPr="00F22857">
              <w:rPr>
                <w:rFonts w:ascii="Arial" w:eastAsia="Times New Roman" w:hAnsi="Arial" w:cs="Arial"/>
                <w:color w:val="000000"/>
                <w:lang w:eastAsia="es-ES"/>
              </w:rPr>
              <w:t>31,133</w:t>
            </w:r>
          </w:p>
        </w:tc>
      </w:tr>
      <w:tr w:rsidR="00586EE0" w:rsidRPr="00F22857" w:rsidTr="00417286">
        <w:trPr>
          <w:trHeight w:val="1266"/>
        </w:trPr>
        <w:tc>
          <w:tcPr>
            <w:tcW w:w="5000" w:type="pct"/>
            <w:gridSpan w:val="3"/>
            <w:tcBorders>
              <w:top w:val="single" w:sz="4" w:space="0" w:color="auto"/>
            </w:tcBorders>
            <w:shd w:val="clear" w:color="auto" w:fill="auto"/>
            <w:vAlign w:val="center"/>
          </w:tcPr>
          <w:p w:rsidR="00E819C4" w:rsidRDefault="00E819C4" w:rsidP="00F22857">
            <w:pPr>
              <w:autoSpaceDE w:val="0"/>
              <w:autoSpaceDN w:val="0"/>
              <w:adjustRightInd w:val="0"/>
              <w:spacing w:before="0" w:after="0"/>
              <w:jc w:val="both"/>
              <w:rPr>
                <w:rFonts w:ascii="Arial" w:hAnsi="Arial" w:cs="Arial"/>
                <w:lang w:val="es-UY"/>
              </w:rPr>
            </w:pPr>
            <w:r>
              <w:rPr>
                <w:rFonts w:ascii="Arial" w:hAnsi="Arial" w:cs="Arial"/>
                <w:lang w:val="es-UY"/>
              </w:rPr>
              <w:t>VIH: virus de la inmunodeficiencia humana.</w:t>
            </w:r>
          </w:p>
          <w:p w:rsidR="00E819C4" w:rsidRDefault="00E819C4" w:rsidP="00F22857">
            <w:pPr>
              <w:autoSpaceDE w:val="0"/>
              <w:autoSpaceDN w:val="0"/>
              <w:adjustRightInd w:val="0"/>
              <w:spacing w:before="0" w:after="0"/>
              <w:jc w:val="both"/>
              <w:rPr>
                <w:rFonts w:ascii="Arial" w:hAnsi="Arial" w:cs="Arial"/>
                <w:lang w:val="es-UY"/>
              </w:rPr>
            </w:pPr>
            <w:r>
              <w:rPr>
                <w:rFonts w:ascii="Arial" w:hAnsi="Arial" w:cs="Arial"/>
                <w:vertAlign w:val="superscript"/>
                <w:lang w:val="es-UY"/>
              </w:rPr>
              <w:t>a</w:t>
            </w:r>
            <w:r>
              <w:rPr>
                <w:rFonts w:ascii="Arial" w:hAnsi="Arial" w:cs="Arial"/>
                <w:lang w:val="es-UY"/>
              </w:rPr>
              <w:t>S</w:t>
            </w:r>
            <w:r w:rsidR="004633B6" w:rsidRPr="00F22857">
              <w:rPr>
                <w:rFonts w:ascii="Arial" w:hAnsi="Arial" w:cs="Arial"/>
                <w:lang w:val="es-UY"/>
              </w:rPr>
              <w:t>ignificativamente distinto de 1</w:t>
            </w:r>
            <w:r w:rsidR="00586EE0" w:rsidRPr="00F22857">
              <w:rPr>
                <w:rFonts w:ascii="Arial" w:hAnsi="Arial" w:cs="Arial"/>
                <w:lang w:val="es-UY"/>
              </w:rPr>
              <w:t xml:space="preserve"> al 1%</w:t>
            </w:r>
            <w:r>
              <w:rPr>
                <w:rFonts w:ascii="Arial" w:hAnsi="Arial" w:cs="Arial"/>
                <w:lang w:val="es-UY"/>
              </w:rPr>
              <w:t>.</w:t>
            </w:r>
          </w:p>
          <w:p w:rsidR="00E819C4" w:rsidRDefault="00E819C4" w:rsidP="00F22857">
            <w:pPr>
              <w:autoSpaceDE w:val="0"/>
              <w:autoSpaceDN w:val="0"/>
              <w:adjustRightInd w:val="0"/>
              <w:spacing w:before="0" w:after="0"/>
              <w:jc w:val="both"/>
              <w:rPr>
                <w:rFonts w:ascii="Arial" w:hAnsi="Arial" w:cs="Arial"/>
                <w:lang w:val="es-UY"/>
              </w:rPr>
            </w:pPr>
            <w:r>
              <w:rPr>
                <w:rFonts w:ascii="Arial" w:hAnsi="Arial" w:cs="Arial"/>
                <w:vertAlign w:val="superscript"/>
                <w:lang w:val="es-UY"/>
              </w:rPr>
              <w:t>b</w:t>
            </w:r>
            <w:r>
              <w:rPr>
                <w:rFonts w:ascii="Arial" w:hAnsi="Arial" w:cs="Arial"/>
                <w:lang w:val="es-UY"/>
              </w:rPr>
              <w:t>S</w:t>
            </w:r>
            <w:r w:rsidR="00586EE0" w:rsidRPr="00F22857">
              <w:rPr>
                <w:rFonts w:ascii="Arial" w:hAnsi="Arial" w:cs="Arial"/>
                <w:lang w:val="es-UY"/>
              </w:rPr>
              <w:t>ignificativo al 5%</w:t>
            </w:r>
            <w:r>
              <w:rPr>
                <w:rFonts w:ascii="Arial" w:hAnsi="Arial" w:cs="Arial"/>
                <w:lang w:val="es-UY"/>
              </w:rPr>
              <w:t>.</w:t>
            </w:r>
          </w:p>
          <w:p w:rsidR="00586EE0" w:rsidRPr="00F22857" w:rsidRDefault="00E819C4">
            <w:pPr>
              <w:autoSpaceDE w:val="0"/>
              <w:autoSpaceDN w:val="0"/>
              <w:adjustRightInd w:val="0"/>
              <w:spacing w:before="0" w:after="0"/>
              <w:jc w:val="both"/>
              <w:rPr>
                <w:rFonts w:ascii="Arial" w:hAnsi="Arial" w:cs="Arial"/>
                <w:lang w:val="es-UY"/>
              </w:rPr>
            </w:pPr>
            <w:r>
              <w:rPr>
                <w:rFonts w:ascii="Arial" w:hAnsi="Arial" w:cs="Arial"/>
                <w:lang w:val="es-UY"/>
              </w:rPr>
              <w:t>Nota: e</w:t>
            </w:r>
            <w:r w:rsidR="00586EE0" w:rsidRPr="00F22857">
              <w:rPr>
                <w:rFonts w:ascii="Arial" w:hAnsi="Arial" w:cs="Arial"/>
                <w:lang w:val="es-UY"/>
              </w:rPr>
              <w:t>ntre paréntesis se muestran los errores estándar robustos a la heteroscedasticidad</w:t>
            </w:r>
            <w:r w:rsidR="00856205" w:rsidRPr="00F22857">
              <w:rPr>
                <w:rFonts w:ascii="Arial" w:hAnsi="Arial" w:cs="Arial"/>
                <w:lang w:val="es-UY"/>
              </w:rPr>
              <w:t>.</w:t>
            </w:r>
            <w:r w:rsidR="00586EE0" w:rsidRPr="00F22857">
              <w:rPr>
                <w:rFonts w:ascii="Arial" w:hAnsi="Arial" w:cs="Arial"/>
                <w:lang w:val="es-UY"/>
              </w:rPr>
              <w:t xml:space="preserve"> El modelo incluye efectos fijos por año y una constante. Las categorías de referencia omitidas son edad ent</w:t>
            </w:r>
            <w:r w:rsidR="00B21E69" w:rsidRPr="00F22857">
              <w:rPr>
                <w:rFonts w:ascii="Arial" w:hAnsi="Arial" w:cs="Arial"/>
                <w:lang w:val="es-UY"/>
              </w:rPr>
              <w:t>re 20 y 35 años,</w:t>
            </w:r>
            <w:r w:rsidR="00586EE0" w:rsidRPr="00F22857">
              <w:rPr>
                <w:rFonts w:ascii="Arial" w:hAnsi="Arial" w:cs="Arial"/>
                <w:lang w:val="es-UY"/>
              </w:rPr>
              <w:t xml:space="preserve"> no haber tenido partos anteriormente, no haber experimentado ninguna cesárea, inicio de parto espontáneo y presentación cefálica.</w:t>
            </w:r>
            <w:r w:rsidR="005C54E6" w:rsidRPr="00F22857">
              <w:rPr>
                <w:rFonts w:ascii="Arial" w:hAnsi="Arial" w:cs="Arial"/>
              </w:rPr>
              <w:t xml:space="preserve"> </w:t>
            </w:r>
            <w:r w:rsidR="005C54E6" w:rsidRPr="00F22857">
              <w:rPr>
                <w:rFonts w:ascii="Arial" w:hAnsi="Arial" w:cs="Arial"/>
                <w:lang w:val="es-UY"/>
              </w:rPr>
              <w:t>El porcentaje de predicciones correctas se ha calculado asumiendo una probabilidad de corte de 0,5.</w:t>
            </w:r>
          </w:p>
        </w:tc>
      </w:tr>
    </w:tbl>
    <w:p w:rsidR="0061093D" w:rsidRPr="00F22857" w:rsidRDefault="0061093D" w:rsidP="00F22857">
      <w:pPr>
        <w:jc w:val="both"/>
        <w:rPr>
          <w:rFonts w:ascii="Arial" w:hAnsi="Arial" w:cs="Arial"/>
        </w:rPr>
      </w:pPr>
    </w:p>
    <w:p w:rsidR="0061093D" w:rsidRPr="00F22857" w:rsidRDefault="0061093D" w:rsidP="00F22857">
      <w:pPr>
        <w:jc w:val="both"/>
        <w:rPr>
          <w:rFonts w:ascii="Arial" w:hAnsi="Arial" w:cs="Arial"/>
        </w:rPr>
      </w:pPr>
      <w:r w:rsidRPr="00F22857">
        <w:rPr>
          <w:rFonts w:ascii="Arial" w:hAnsi="Arial" w:cs="Arial"/>
        </w:rPr>
        <w:br w:type="page"/>
      </w:r>
    </w:p>
    <w:tbl>
      <w:tblPr>
        <w:tblW w:w="5000" w:type="pct"/>
        <w:tblCellMar>
          <w:left w:w="70" w:type="dxa"/>
          <w:right w:w="70" w:type="dxa"/>
        </w:tblCellMar>
        <w:tblLook w:val="04A0" w:firstRow="1" w:lastRow="0" w:firstColumn="1" w:lastColumn="0" w:noHBand="0" w:noVBand="1"/>
      </w:tblPr>
      <w:tblGrid>
        <w:gridCol w:w="5356"/>
        <w:gridCol w:w="2212"/>
        <w:gridCol w:w="2210"/>
      </w:tblGrid>
      <w:tr w:rsidR="0061093D" w:rsidRPr="00F22857" w:rsidTr="00417286">
        <w:trPr>
          <w:trHeight w:val="454"/>
        </w:trPr>
        <w:tc>
          <w:tcPr>
            <w:tcW w:w="5000" w:type="pct"/>
            <w:gridSpan w:val="3"/>
            <w:tcBorders>
              <w:top w:val="nil"/>
              <w:left w:val="nil"/>
              <w:bottom w:val="nil"/>
              <w:right w:val="nil"/>
            </w:tcBorders>
            <w:shd w:val="clear" w:color="auto" w:fill="auto"/>
            <w:vAlign w:val="center"/>
            <w:hideMark/>
          </w:tcPr>
          <w:p w:rsidR="00E819C4" w:rsidRPr="003B0347" w:rsidRDefault="0061093D" w:rsidP="00F22857">
            <w:pPr>
              <w:spacing w:before="0" w:after="0"/>
              <w:jc w:val="both"/>
              <w:rPr>
                <w:rFonts w:ascii="Arial" w:eastAsia="Times New Roman" w:hAnsi="Arial" w:cs="Arial"/>
                <w:b/>
                <w:color w:val="000000"/>
                <w:lang w:eastAsia="es-ES"/>
              </w:rPr>
            </w:pPr>
            <w:r w:rsidRPr="003B0347">
              <w:rPr>
                <w:rFonts w:ascii="Arial" w:eastAsia="Times New Roman" w:hAnsi="Arial" w:cs="Arial"/>
                <w:b/>
                <w:color w:val="000000"/>
                <w:lang w:eastAsia="es-ES"/>
              </w:rPr>
              <w:lastRenderedPageBreak/>
              <w:t xml:space="preserve">Tabla </w:t>
            </w:r>
            <w:r w:rsidR="0004126E" w:rsidRPr="003B0347">
              <w:rPr>
                <w:rFonts w:ascii="Arial" w:eastAsia="Times New Roman" w:hAnsi="Arial" w:cs="Arial"/>
                <w:b/>
                <w:color w:val="000000"/>
                <w:lang w:eastAsia="es-ES"/>
              </w:rPr>
              <w:t>I</w:t>
            </w:r>
            <w:r w:rsidRPr="003B0347">
              <w:rPr>
                <w:rFonts w:ascii="Arial" w:eastAsia="Times New Roman" w:hAnsi="Arial" w:cs="Arial"/>
                <w:b/>
                <w:color w:val="000000"/>
                <w:lang w:eastAsia="es-ES"/>
              </w:rPr>
              <w:t>I</w:t>
            </w:r>
          </w:p>
          <w:p w:rsidR="0061093D" w:rsidRPr="00F22857" w:rsidRDefault="0061093D"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 xml:space="preserve">Determinantes del parto por cesárea en Uruguay (modelo </w:t>
            </w:r>
            <w:r w:rsidRPr="00F22857">
              <w:rPr>
                <w:rFonts w:ascii="Arial" w:eastAsia="Times New Roman" w:hAnsi="Arial" w:cs="Arial"/>
                <w:i/>
                <w:color w:val="000000"/>
                <w:lang w:eastAsia="es-ES"/>
              </w:rPr>
              <w:t>logit</w:t>
            </w:r>
            <w:r w:rsidRPr="00F22857">
              <w:rPr>
                <w:rFonts w:ascii="Arial" w:eastAsia="Times New Roman" w:hAnsi="Arial" w:cs="Arial"/>
                <w:color w:val="000000"/>
                <w:lang w:eastAsia="es-ES"/>
              </w:rPr>
              <w:t xml:space="preserve"> con grupos de Robson y otras variables, efectos marginales y </w:t>
            </w:r>
            <w:r w:rsidRPr="00F22857">
              <w:rPr>
                <w:rFonts w:ascii="Arial" w:eastAsia="Times New Roman" w:hAnsi="Arial" w:cs="Arial"/>
                <w:i/>
                <w:color w:val="000000"/>
                <w:lang w:eastAsia="es-ES"/>
              </w:rPr>
              <w:t>odds ratios</w:t>
            </w:r>
            <w:r w:rsidRPr="00F22857">
              <w:rPr>
                <w:rFonts w:ascii="Arial" w:eastAsia="Times New Roman" w:hAnsi="Arial" w:cs="Arial"/>
                <w:color w:val="000000"/>
                <w:lang w:eastAsia="es-ES"/>
              </w:rPr>
              <w:t>)</w:t>
            </w:r>
          </w:p>
        </w:tc>
      </w:tr>
      <w:tr w:rsidR="00417286" w:rsidRPr="00F22857" w:rsidTr="00417286">
        <w:trPr>
          <w:trHeight w:val="397"/>
        </w:trPr>
        <w:tc>
          <w:tcPr>
            <w:tcW w:w="2739" w:type="pct"/>
            <w:tcBorders>
              <w:top w:val="single" w:sz="4" w:space="0" w:color="auto"/>
              <w:left w:val="nil"/>
              <w:bottom w:val="single" w:sz="4" w:space="0" w:color="auto"/>
              <w:right w:val="nil"/>
            </w:tcBorders>
            <w:shd w:val="clear" w:color="auto" w:fill="auto"/>
            <w:vAlign w:val="center"/>
          </w:tcPr>
          <w:p w:rsidR="00417286" w:rsidRPr="00F22857" w:rsidRDefault="00417286" w:rsidP="00F22857">
            <w:pPr>
              <w:spacing w:before="0" w:after="0"/>
              <w:jc w:val="both"/>
              <w:rPr>
                <w:rFonts w:ascii="Arial" w:eastAsia="Times New Roman" w:hAnsi="Arial" w:cs="Arial"/>
                <w:color w:val="000000"/>
                <w:lang w:eastAsia="es-ES"/>
              </w:rPr>
            </w:pPr>
          </w:p>
        </w:tc>
        <w:tc>
          <w:tcPr>
            <w:tcW w:w="2261" w:type="pct"/>
            <w:gridSpan w:val="2"/>
            <w:tcBorders>
              <w:top w:val="single" w:sz="4" w:space="0" w:color="auto"/>
              <w:bottom w:val="single" w:sz="4" w:space="0" w:color="auto"/>
            </w:tcBorders>
            <w:shd w:val="clear" w:color="auto" w:fill="auto"/>
            <w:vAlign w:val="center"/>
          </w:tcPr>
          <w:p w:rsidR="00417286" w:rsidRPr="00F22857" w:rsidRDefault="00417286" w:rsidP="00F22857">
            <w:pPr>
              <w:autoSpaceDE w:val="0"/>
              <w:autoSpaceDN w:val="0"/>
              <w:adjustRightInd w:val="0"/>
              <w:spacing w:before="0" w:after="0"/>
              <w:jc w:val="both"/>
              <w:rPr>
                <w:rFonts w:ascii="Arial" w:hAnsi="Arial" w:cs="Arial"/>
                <w:i/>
                <w:lang w:val="es-UY"/>
              </w:rPr>
            </w:pPr>
            <w:r w:rsidRPr="00F22857">
              <w:rPr>
                <w:rFonts w:ascii="Arial" w:hAnsi="Arial" w:cs="Arial"/>
                <w:i/>
                <w:lang w:val="es-UY"/>
              </w:rPr>
              <w:t>Odds ratios</w:t>
            </w:r>
          </w:p>
        </w:tc>
      </w:tr>
      <w:tr w:rsidR="004633B6" w:rsidRPr="00F22857" w:rsidTr="00757982">
        <w:trPr>
          <w:trHeight w:val="198"/>
        </w:trPr>
        <w:tc>
          <w:tcPr>
            <w:tcW w:w="2739" w:type="pct"/>
            <w:tcBorders>
              <w:top w:val="single" w:sz="4" w:space="0" w:color="auto"/>
            </w:tcBorders>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1</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5,925</w:t>
            </w:r>
          </w:p>
        </w:tc>
        <w:tc>
          <w:tcPr>
            <w:tcW w:w="1130" w:type="pct"/>
            <w:tcBorders>
              <w:top w:val="nil"/>
              <w:left w:val="nil"/>
              <w:bottom w:val="nil"/>
              <w:right w:val="nil"/>
            </w:tcBorders>
            <w:shd w:val="clear" w:color="auto" w:fill="auto"/>
            <w:vAlign w:val="center"/>
          </w:tcPr>
          <w:p w:rsidR="004633B6" w:rsidRPr="003B0347" w:rsidRDefault="00E819C4" w:rsidP="00F22857">
            <w:pPr>
              <w:spacing w:before="0" w:after="0"/>
              <w:jc w:val="both"/>
              <w:rPr>
                <w:rFonts w:ascii="Arial" w:hAnsi="Arial" w:cs="Arial"/>
                <w:color w:val="000000"/>
                <w:vertAlign w:val="superscript"/>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(0,125)</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2</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28,010</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(0,646)</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4</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7,284</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(0,176)</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5</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42,167</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(0,931)</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6</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233,488</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(19,642)</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7</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163,991</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(12,064)</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8</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145,040</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(8,314)</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9</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254,384</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(50,898)</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Grupo Robson 10</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10,763</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(0,271)</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r w:rsidRPr="00F22857">
              <w:rPr>
                <w:rFonts w:ascii="Arial" w:eastAsia="Calibri" w:hAnsi="Arial" w:cs="Arial"/>
                <w:lang w:val="es-UY" w:eastAsia="es-ES"/>
              </w:rPr>
              <w:t>Menor de 20 años</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0,683</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(0,012)</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r w:rsidRPr="00F22857">
              <w:rPr>
                <w:rFonts w:ascii="Arial" w:eastAsia="Calibri" w:hAnsi="Arial" w:cs="Arial"/>
                <w:lang w:val="es-UY" w:eastAsia="es-ES"/>
              </w:rPr>
              <w:t>35 o más años</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1,413</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(0,025)</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r w:rsidRPr="00F22857">
              <w:rPr>
                <w:rFonts w:ascii="Arial" w:eastAsia="Calibri" w:hAnsi="Arial" w:cs="Arial"/>
                <w:lang w:val="es-UY" w:eastAsia="es-ES"/>
              </w:rPr>
              <w:t>Casada</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1,096</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(0,016)</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r w:rsidRPr="00F22857">
              <w:rPr>
                <w:rFonts w:ascii="Arial" w:eastAsia="Calibri" w:hAnsi="Arial" w:cs="Arial"/>
                <w:lang w:val="es-UY" w:eastAsia="es-ES"/>
              </w:rPr>
              <w:t>Soltera</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0,935</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(0,016)</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r w:rsidRPr="00F22857">
              <w:rPr>
                <w:rFonts w:ascii="Arial" w:eastAsia="Calibri" w:hAnsi="Arial" w:cs="Arial"/>
                <w:lang w:val="es-UY" w:eastAsia="es-ES"/>
              </w:rPr>
              <w:t>Otro estado civil</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0,921</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(0,060)</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Educación primaria o inferior</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0,862</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(0,014)</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lastRenderedPageBreak/>
              <w:t>Educación universitaria</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1,041</w:t>
            </w:r>
          </w:p>
        </w:tc>
        <w:tc>
          <w:tcPr>
            <w:tcW w:w="1130" w:type="pct"/>
            <w:tcBorders>
              <w:top w:val="nil"/>
              <w:left w:val="nil"/>
              <w:bottom w:val="nil"/>
              <w:right w:val="nil"/>
            </w:tcBorders>
            <w:shd w:val="clear" w:color="auto" w:fill="auto"/>
            <w:vAlign w:val="center"/>
          </w:tcPr>
          <w:p w:rsidR="004633B6" w:rsidRPr="003B0347" w:rsidRDefault="00E819C4" w:rsidP="00F22857">
            <w:pPr>
              <w:spacing w:before="0" w:after="0"/>
              <w:jc w:val="both"/>
              <w:rPr>
                <w:rFonts w:ascii="Arial" w:hAnsi="Arial" w:cs="Arial"/>
                <w:color w:val="000000"/>
                <w:vertAlign w:val="superscript"/>
              </w:rPr>
            </w:pPr>
            <w:r>
              <w:rPr>
                <w:rFonts w:ascii="Arial" w:hAnsi="Arial" w:cs="Arial"/>
                <w:color w:val="000000"/>
                <w:vertAlign w:val="superscript"/>
              </w:rPr>
              <w:t>b</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(0,017)</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Placenta previa</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10,861</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(1,532)</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Desprendimiento de placenta</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60,133</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(11,510)</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Hipertensión</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1,556</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(0,065)</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Preeclampsia</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3,223</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(0,119)</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Eclampsia</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4,017</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(0,759)</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Problema renal</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1,462</w:t>
            </w:r>
          </w:p>
        </w:tc>
        <w:tc>
          <w:tcPr>
            <w:tcW w:w="1130" w:type="pct"/>
            <w:tcBorders>
              <w:top w:val="nil"/>
              <w:left w:val="nil"/>
              <w:bottom w:val="nil"/>
              <w:right w:val="nil"/>
            </w:tcBorders>
            <w:shd w:val="clear" w:color="auto" w:fill="auto"/>
            <w:vAlign w:val="center"/>
          </w:tcPr>
          <w:p w:rsidR="004633B6" w:rsidRPr="003B0347" w:rsidRDefault="00E819C4" w:rsidP="00F22857">
            <w:pPr>
              <w:spacing w:before="0" w:after="0"/>
              <w:jc w:val="both"/>
              <w:rPr>
                <w:rFonts w:ascii="Arial" w:hAnsi="Arial" w:cs="Arial"/>
                <w:color w:val="000000"/>
                <w:vertAlign w:val="superscript"/>
              </w:rPr>
            </w:pPr>
            <w:r>
              <w:rPr>
                <w:rFonts w:ascii="Arial" w:hAnsi="Arial" w:cs="Arial"/>
                <w:color w:val="000000"/>
                <w:vertAlign w:val="superscript"/>
              </w:rPr>
              <w:t>b</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(0,237)</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r w:rsidRPr="00F22857">
              <w:rPr>
                <w:rFonts w:ascii="Arial" w:eastAsia="Calibri" w:hAnsi="Arial" w:cs="Arial"/>
                <w:lang w:val="es-UY" w:eastAsia="es-ES"/>
              </w:rPr>
              <w:t>VIH</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28,437</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eastAsia="Calibri" w:hAnsi="Arial" w:cs="Arial"/>
                <w:lang w:val="es-UY"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(9,828)</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tcBorders>
              <w:top w:val="nil"/>
              <w:left w:val="nil"/>
              <w:bottom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Categoría 1</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1,081</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tcBorders>
              <w:top w:val="nil"/>
              <w:left w:val="nil"/>
              <w:bottom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(0,023)</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tcBorders>
              <w:top w:val="nil"/>
              <w:left w:val="nil"/>
              <w:bottom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Categoría 2</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1,129</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tcBorders>
              <w:top w:val="nil"/>
              <w:left w:val="nil"/>
              <w:bottom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(0,024)</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757982">
        <w:trPr>
          <w:trHeight w:val="198"/>
        </w:trPr>
        <w:tc>
          <w:tcPr>
            <w:tcW w:w="2739" w:type="pct"/>
            <w:tcBorders>
              <w:top w:val="nil"/>
              <w:left w:val="nil"/>
              <w:bottom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Categoría 4</w:t>
            </w: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1,189</w:t>
            </w:r>
          </w:p>
        </w:tc>
        <w:tc>
          <w:tcPr>
            <w:tcW w:w="1130" w:type="pct"/>
            <w:tcBorders>
              <w:top w:val="nil"/>
              <w:left w:val="nil"/>
              <w:bottom w:val="nil"/>
              <w:right w:val="nil"/>
            </w:tcBorders>
            <w:shd w:val="clear" w:color="auto" w:fill="auto"/>
            <w:vAlign w:val="center"/>
          </w:tcPr>
          <w:p w:rsidR="004633B6" w:rsidRPr="00F22857" w:rsidRDefault="00E819C4" w:rsidP="00F22857">
            <w:pPr>
              <w:spacing w:before="0" w:after="0"/>
              <w:jc w:val="both"/>
              <w:rPr>
                <w:rFonts w:ascii="Arial" w:hAnsi="Arial" w:cs="Arial"/>
                <w:color w:val="000000"/>
              </w:rPr>
            </w:pPr>
            <w:r>
              <w:rPr>
                <w:rFonts w:ascii="Arial" w:hAnsi="Arial" w:cs="Arial"/>
                <w:color w:val="000000"/>
                <w:vertAlign w:val="superscript"/>
              </w:rPr>
              <w:t>a</w:t>
            </w:r>
          </w:p>
        </w:tc>
      </w:tr>
      <w:tr w:rsidR="004633B6" w:rsidRPr="00F22857" w:rsidTr="00757982">
        <w:trPr>
          <w:trHeight w:val="198"/>
        </w:trPr>
        <w:tc>
          <w:tcPr>
            <w:tcW w:w="2739" w:type="pct"/>
            <w:tcBorders>
              <w:top w:val="nil"/>
              <w:left w:val="nil"/>
              <w:bottom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p>
        </w:tc>
        <w:tc>
          <w:tcPr>
            <w:tcW w:w="1131"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(0,025)</w:t>
            </w:r>
          </w:p>
        </w:tc>
        <w:tc>
          <w:tcPr>
            <w:tcW w:w="1130" w:type="pct"/>
            <w:tcBorders>
              <w:top w:val="nil"/>
              <w:left w:val="nil"/>
              <w:bottom w:val="nil"/>
              <w:right w:val="nil"/>
            </w:tcBorders>
            <w:shd w:val="clear" w:color="auto" w:fill="auto"/>
            <w:vAlign w:val="center"/>
          </w:tcPr>
          <w:p w:rsidR="004633B6" w:rsidRPr="00F22857" w:rsidRDefault="004633B6" w:rsidP="00F22857">
            <w:pPr>
              <w:spacing w:before="0" w:after="0"/>
              <w:jc w:val="both"/>
              <w:rPr>
                <w:rFonts w:ascii="Arial" w:hAnsi="Arial" w:cs="Arial"/>
                <w:color w:val="000000"/>
              </w:rPr>
            </w:pPr>
            <w:r w:rsidRPr="00F22857">
              <w:rPr>
                <w:rFonts w:ascii="Arial" w:hAnsi="Arial" w:cs="Arial"/>
                <w:color w:val="000000"/>
              </w:rPr>
              <w:t> </w:t>
            </w:r>
          </w:p>
        </w:tc>
      </w:tr>
      <w:tr w:rsidR="004633B6" w:rsidRPr="00F22857" w:rsidTr="00417286">
        <w:trPr>
          <w:trHeight w:val="198"/>
        </w:trPr>
        <w:tc>
          <w:tcPr>
            <w:tcW w:w="2739" w:type="pct"/>
            <w:tcBorders>
              <w:top w:val="nil"/>
              <w:left w:val="nil"/>
              <w:bottom w:val="nil"/>
              <w:right w:val="nil"/>
            </w:tcBorders>
            <w:shd w:val="clear" w:color="auto" w:fill="auto"/>
            <w:vAlign w:val="center"/>
            <w:hideMark/>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Pseudo-R</w:t>
            </w:r>
            <w:r w:rsidRPr="00F22857">
              <w:rPr>
                <w:rFonts w:ascii="Arial" w:eastAsia="Times New Roman" w:hAnsi="Arial" w:cs="Arial"/>
                <w:color w:val="000000"/>
                <w:vertAlign w:val="superscript"/>
                <w:lang w:eastAsia="es-ES"/>
              </w:rPr>
              <w:t>2</w:t>
            </w:r>
          </w:p>
        </w:tc>
        <w:tc>
          <w:tcPr>
            <w:tcW w:w="2261" w:type="pct"/>
            <w:gridSpan w:val="2"/>
            <w:tcBorders>
              <w:top w:val="nil"/>
              <w:left w:val="nil"/>
              <w:bottom w:val="nil"/>
              <w:right w:val="nil"/>
            </w:tcBorders>
            <w:shd w:val="clear" w:color="auto" w:fill="auto"/>
            <w:tcMar>
              <w:left w:w="57" w:type="dxa"/>
              <w:right w:w="284" w:type="dxa"/>
            </w:tcMar>
            <w:vAlign w:val="center"/>
          </w:tcPr>
          <w:p w:rsidR="004633B6" w:rsidRPr="00F22857" w:rsidRDefault="004633B6" w:rsidP="00F22857">
            <w:pPr>
              <w:spacing w:before="0" w:after="0"/>
              <w:ind w:right="1985"/>
              <w:jc w:val="both"/>
              <w:rPr>
                <w:rFonts w:ascii="Arial" w:eastAsia="Times New Roman" w:hAnsi="Arial" w:cs="Arial"/>
                <w:color w:val="000000"/>
                <w:lang w:eastAsia="es-ES"/>
              </w:rPr>
            </w:pPr>
            <w:r w:rsidRPr="00F22857">
              <w:rPr>
                <w:rFonts w:ascii="Arial" w:eastAsia="Times New Roman" w:hAnsi="Arial" w:cs="Arial"/>
                <w:color w:val="000000"/>
                <w:lang w:eastAsia="es-ES"/>
              </w:rPr>
              <w:t>0,31</w:t>
            </w:r>
          </w:p>
        </w:tc>
      </w:tr>
      <w:tr w:rsidR="004633B6" w:rsidRPr="00F22857" w:rsidTr="00417286">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jc w:val="both"/>
              <w:rPr>
                <w:rFonts w:ascii="Arial" w:hAnsi="Arial" w:cs="Arial"/>
                <w:lang w:val="es-UY"/>
              </w:rPr>
            </w:pPr>
            <w:r w:rsidRPr="00F22857">
              <w:rPr>
                <w:rFonts w:ascii="Arial" w:hAnsi="Arial" w:cs="Arial"/>
                <w:lang w:val="es-UY"/>
              </w:rPr>
              <w:t>Porcentaje de predicciones correctas (%)</w:t>
            </w:r>
          </w:p>
        </w:tc>
        <w:tc>
          <w:tcPr>
            <w:tcW w:w="2261" w:type="pct"/>
            <w:gridSpan w:val="2"/>
            <w:tcBorders>
              <w:top w:val="nil"/>
              <w:left w:val="nil"/>
              <w:bottom w:val="nil"/>
              <w:right w:val="nil"/>
            </w:tcBorders>
            <w:shd w:val="clear" w:color="auto" w:fill="auto"/>
            <w:tcMar>
              <w:left w:w="57" w:type="dxa"/>
              <w:right w:w="284" w:type="dxa"/>
            </w:tcMar>
            <w:vAlign w:val="center"/>
          </w:tcPr>
          <w:p w:rsidR="004633B6" w:rsidRPr="00F22857" w:rsidRDefault="004633B6" w:rsidP="00F22857">
            <w:pPr>
              <w:spacing w:before="0" w:after="0"/>
              <w:ind w:right="1985"/>
              <w:jc w:val="both"/>
              <w:rPr>
                <w:rFonts w:ascii="Arial" w:eastAsia="Times New Roman" w:hAnsi="Arial" w:cs="Arial"/>
                <w:color w:val="000000"/>
                <w:lang w:eastAsia="es-ES"/>
              </w:rPr>
            </w:pPr>
          </w:p>
        </w:tc>
      </w:tr>
      <w:tr w:rsidR="004633B6" w:rsidRPr="00F22857" w:rsidTr="00417286">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ind w:left="284"/>
              <w:jc w:val="both"/>
              <w:rPr>
                <w:rFonts w:ascii="Arial" w:hAnsi="Arial" w:cs="Arial"/>
                <w:lang w:val="es-UY"/>
              </w:rPr>
            </w:pPr>
            <w:r w:rsidRPr="00F22857">
              <w:rPr>
                <w:rFonts w:ascii="Arial" w:hAnsi="Arial" w:cs="Arial"/>
                <w:lang w:val="es-UY"/>
              </w:rPr>
              <w:t>Partos totales</w:t>
            </w:r>
          </w:p>
        </w:tc>
        <w:tc>
          <w:tcPr>
            <w:tcW w:w="2261" w:type="pct"/>
            <w:gridSpan w:val="2"/>
            <w:tcBorders>
              <w:top w:val="nil"/>
              <w:left w:val="nil"/>
              <w:bottom w:val="nil"/>
              <w:right w:val="nil"/>
            </w:tcBorders>
            <w:shd w:val="clear" w:color="auto" w:fill="auto"/>
            <w:tcMar>
              <w:left w:w="57" w:type="dxa"/>
              <w:right w:w="284" w:type="dxa"/>
            </w:tcMar>
            <w:vAlign w:val="center"/>
          </w:tcPr>
          <w:p w:rsidR="004633B6" w:rsidRPr="00F22857" w:rsidRDefault="004633B6" w:rsidP="00F22857">
            <w:pPr>
              <w:spacing w:before="0" w:after="0"/>
              <w:ind w:right="1985"/>
              <w:jc w:val="both"/>
              <w:rPr>
                <w:rFonts w:ascii="Arial" w:hAnsi="Arial" w:cs="Arial"/>
                <w:color w:val="000000"/>
              </w:rPr>
            </w:pPr>
            <w:r w:rsidRPr="00F22857">
              <w:rPr>
                <w:rFonts w:ascii="Arial" w:hAnsi="Arial" w:cs="Arial"/>
                <w:color w:val="000000"/>
              </w:rPr>
              <w:t>77,8</w:t>
            </w:r>
          </w:p>
        </w:tc>
      </w:tr>
      <w:tr w:rsidR="004633B6" w:rsidRPr="00F22857" w:rsidTr="00417286">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ind w:left="284"/>
              <w:jc w:val="both"/>
              <w:rPr>
                <w:rFonts w:ascii="Arial" w:hAnsi="Arial" w:cs="Arial"/>
                <w:lang w:val="es-UY"/>
              </w:rPr>
            </w:pPr>
            <w:r w:rsidRPr="00F22857">
              <w:rPr>
                <w:rFonts w:ascii="Arial" w:hAnsi="Arial" w:cs="Arial"/>
                <w:lang w:val="es-UY"/>
              </w:rPr>
              <w:t>Parto sin cesárea</w:t>
            </w:r>
          </w:p>
        </w:tc>
        <w:tc>
          <w:tcPr>
            <w:tcW w:w="2261" w:type="pct"/>
            <w:gridSpan w:val="2"/>
            <w:tcBorders>
              <w:top w:val="nil"/>
              <w:left w:val="nil"/>
              <w:bottom w:val="nil"/>
              <w:right w:val="nil"/>
            </w:tcBorders>
            <w:shd w:val="clear" w:color="auto" w:fill="auto"/>
            <w:tcMar>
              <w:left w:w="57" w:type="dxa"/>
              <w:right w:w="284" w:type="dxa"/>
            </w:tcMar>
            <w:vAlign w:val="center"/>
          </w:tcPr>
          <w:p w:rsidR="004633B6" w:rsidRPr="00F22857" w:rsidRDefault="004633B6" w:rsidP="00F22857">
            <w:pPr>
              <w:spacing w:before="0" w:after="0"/>
              <w:ind w:right="1985"/>
              <w:jc w:val="both"/>
              <w:rPr>
                <w:rFonts w:ascii="Arial" w:hAnsi="Arial" w:cs="Arial"/>
                <w:color w:val="000000"/>
              </w:rPr>
            </w:pPr>
            <w:r w:rsidRPr="00F22857">
              <w:rPr>
                <w:rFonts w:ascii="Arial" w:hAnsi="Arial" w:cs="Arial"/>
                <w:color w:val="000000"/>
              </w:rPr>
              <w:t>83,9</w:t>
            </w:r>
          </w:p>
        </w:tc>
      </w:tr>
      <w:tr w:rsidR="004633B6" w:rsidRPr="00F22857" w:rsidTr="00417286">
        <w:trPr>
          <w:trHeight w:val="198"/>
        </w:trPr>
        <w:tc>
          <w:tcPr>
            <w:tcW w:w="2739" w:type="pct"/>
            <w:shd w:val="clear" w:color="auto" w:fill="auto"/>
            <w:vAlign w:val="center"/>
          </w:tcPr>
          <w:p w:rsidR="004633B6" w:rsidRPr="00F22857" w:rsidRDefault="004633B6" w:rsidP="00F22857">
            <w:pPr>
              <w:autoSpaceDE w:val="0"/>
              <w:autoSpaceDN w:val="0"/>
              <w:adjustRightInd w:val="0"/>
              <w:spacing w:before="0" w:after="0"/>
              <w:ind w:left="284"/>
              <w:jc w:val="both"/>
              <w:rPr>
                <w:rFonts w:ascii="Arial" w:hAnsi="Arial" w:cs="Arial"/>
                <w:lang w:val="es-UY"/>
              </w:rPr>
            </w:pPr>
            <w:r w:rsidRPr="00F22857">
              <w:rPr>
                <w:rFonts w:ascii="Arial" w:hAnsi="Arial" w:cs="Arial"/>
                <w:lang w:val="es-UY"/>
              </w:rPr>
              <w:t>Parto con cesárea</w:t>
            </w:r>
          </w:p>
        </w:tc>
        <w:tc>
          <w:tcPr>
            <w:tcW w:w="2261" w:type="pct"/>
            <w:gridSpan w:val="2"/>
            <w:tcBorders>
              <w:top w:val="nil"/>
              <w:left w:val="nil"/>
              <w:bottom w:val="nil"/>
              <w:right w:val="nil"/>
            </w:tcBorders>
            <w:shd w:val="clear" w:color="auto" w:fill="auto"/>
            <w:tcMar>
              <w:left w:w="57" w:type="dxa"/>
              <w:right w:w="284" w:type="dxa"/>
            </w:tcMar>
            <w:vAlign w:val="center"/>
          </w:tcPr>
          <w:p w:rsidR="004633B6" w:rsidRPr="00F22857" w:rsidRDefault="004633B6" w:rsidP="00F22857">
            <w:pPr>
              <w:spacing w:before="0" w:after="0"/>
              <w:ind w:right="1985"/>
              <w:jc w:val="both"/>
              <w:rPr>
                <w:rFonts w:ascii="Arial" w:hAnsi="Arial" w:cs="Arial"/>
                <w:color w:val="000000"/>
              </w:rPr>
            </w:pPr>
            <w:r w:rsidRPr="00F22857">
              <w:rPr>
                <w:rFonts w:ascii="Arial" w:hAnsi="Arial" w:cs="Arial"/>
                <w:color w:val="000000"/>
              </w:rPr>
              <w:t>69,6</w:t>
            </w:r>
          </w:p>
        </w:tc>
      </w:tr>
      <w:tr w:rsidR="004633B6" w:rsidRPr="00F22857" w:rsidTr="00417286">
        <w:trPr>
          <w:trHeight w:val="198"/>
        </w:trPr>
        <w:tc>
          <w:tcPr>
            <w:tcW w:w="2739" w:type="pct"/>
            <w:tcBorders>
              <w:top w:val="nil"/>
              <w:left w:val="nil"/>
              <w:bottom w:val="single" w:sz="4" w:space="0" w:color="auto"/>
              <w:right w:val="nil"/>
            </w:tcBorders>
            <w:shd w:val="clear" w:color="auto" w:fill="auto"/>
            <w:vAlign w:val="center"/>
          </w:tcPr>
          <w:p w:rsidR="004633B6" w:rsidRPr="00F22857" w:rsidRDefault="004633B6" w:rsidP="00F22857">
            <w:pPr>
              <w:spacing w:before="0" w:after="0"/>
              <w:jc w:val="both"/>
              <w:rPr>
                <w:rFonts w:ascii="Arial" w:eastAsia="Times New Roman" w:hAnsi="Arial" w:cs="Arial"/>
                <w:color w:val="000000"/>
                <w:lang w:eastAsia="es-ES"/>
              </w:rPr>
            </w:pPr>
            <w:r w:rsidRPr="00F22857">
              <w:rPr>
                <w:rFonts w:ascii="Arial" w:eastAsia="Times New Roman" w:hAnsi="Arial" w:cs="Arial"/>
                <w:color w:val="000000"/>
                <w:lang w:eastAsia="es-ES"/>
              </w:rPr>
              <w:t>Nº de observaciones</w:t>
            </w:r>
          </w:p>
        </w:tc>
        <w:tc>
          <w:tcPr>
            <w:tcW w:w="2261" w:type="pct"/>
            <w:gridSpan w:val="2"/>
            <w:tcBorders>
              <w:top w:val="nil"/>
              <w:left w:val="nil"/>
              <w:bottom w:val="single" w:sz="4" w:space="0" w:color="auto"/>
              <w:right w:val="nil"/>
            </w:tcBorders>
            <w:shd w:val="clear" w:color="auto" w:fill="auto"/>
            <w:tcMar>
              <w:left w:w="57" w:type="dxa"/>
              <w:right w:w="284" w:type="dxa"/>
            </w:tcMar>
            <w:vAlign w:val="center"/>
          </w:tcPr>
          <w:p w:rsidR="004633B6" w:rsidRPr="00F22857" w:rsidRDefault="004633B6" w:rsidP="00F22857">
            <w:pPr>
              <w:spacing w:before="0" w:after="0"/>
              <w:ind w:right="1985"/>
              <w:jc w:val="both"/>
              <w:rPr>
                <w:rFonts w:ascii="Arial" w:eastAsia="Times New Roman" w:hAnsi="Arial" w:cs="Arial"/>
                <w:color w:val="000000"/>
                <w:lang w:eastAsia="es-ES"/>
              </w:rPr>
            </w:pPr>
            <w:r w:rsidRPr="00F22857">
              <w:rPr>
                <w:rFonts w:ascii="Arial" w:eastAsia="Times New Roman" w:hAnsi="Arial" w:cs="Arial"/>
                <w:color w:val="000000"/>
                <w:lang w:eastAsia="es-ES"/>
              </w:rPr>
              <w:t>190.847</w:t>
            </w:r>
          </w:p>
        </w:tc>
      </w:tr>
      <w:tr w:rsidR="004633B6" w:rsidRPr="00F22857" w:rsidTr="00417286">
        <w:trPr>
          <w:trHeight w:val="794"/>
        </w:trPr>
        <w:tc>
          <w:tcPr>
            <w:tcW w:w="5000" w:type="pct"/>
            <w:gridSpan w:val="3"/>
            <w:tcBorders>
              <w:top w:val="single" w:sz="4" w:space="0" w:color="auto"/>
            </w:tcBorders>
            <w:shd w:val="clear" w:color="auto" w:fill="auto"/>
            <w:vAlign w:val="center"/>
          </w:tcPr>
          <w:p w:rsidR="00E819C4" w:rsidRDefault="00E819C4" w:rsidP="00E819C4">
            <w:pPr>
              <w:autoSpaceDE w:val="0"/>
              <w:autoSpaceDN w:val="0"/>
              <w:adjustRightInd w:val="0"/>
              <w:spacing w:before="0" w:after="0"/>
              <w:jc w:val="both"/>
              <w:rPr>
                <w:rFonts w:ascii="Arial" w:hAnsi="Arial" w:cs="Arial"/>
                <w:lang w:val="es-UY"/>
              </w:rPr>
            </w:pPr>
            <w:r>
              <w:rPr>
                <w:rFonts w:ascii="Arial" w:hAnsi="Arial" w:cs="Arial"/>
                <w:lang w:val="es-UY"/>
              </w:rPr>
              <w:t>VIH: virus de la inmunodeficiencia humana.</w:t>
            </w:r>
          </w:p>
          <w:p w:rsidR="00E819C4" w:rsidRDefault="00E819C4" w:rsidP="00E819C4">
            <w:pPr>
              <w:autoSpaceDE w:val="0"/>
              <w:autoSpaceDN w:val="0"/>
              <w:adjustRightInd w:val="0"/>
              <w:spacing w:before="0" w:after="0"/>
              <w:jc w:val="both"/>
              <w:rPr>
                <w:rFonts w:ascii="Arial" w:hAnsi="Arial" w:cs="Arial"/>
                <w:lang w:val="es-UY"/>
              </w:rPr>
            </w:pPr>
            <w:r>
              <w:rPr>
                <w:rFonts w:ascii="Arial" w:hAnsi="Arial" w:cs="Arial"/>
                <w:vertAlign w:val="superscript"/>
                <w:lang w:val="es-UY"/>
              </w:rPr>
              <w:t>a</w:t>
            </w:r>
            <w:r>
              <w:rPr>
                <w:rFonts w:ascii="Arial" w:hAnsi="Arial" w:cs="Arial"/>
                <w:lang w:val="es-UY"/>
              </w:rPr>
              <w:t>S</w:t>
            </w:r>
            <w:r w:rsidRPr="00F22857">
              <w:rPr>
                <w:rFonts w:ascii="Arial" w:hAnsi="Arial" w:cs="Arial"/>
                <w:lang w:val="es-UY"/>
              </w:rPr>
              <w:t>ignificativamente distinto de 1 al 1%</w:t>
            </w:r>
            <w:r>
              <w:rPr>
                <w:rFonts w:ascii="Arial" w:hAnsi="Arial" w:cs="Arial"/>
                <w:lang w:val="es-UY"/>
              </w:rPr>
              <w:t>.</w:t>
            </w:r>
          </w:p>
          <w:p w:rsidR="00E819C4" w:rsidRDefault="00E819C4" w:rsidP="00E819C4">
            <w:pPr>
              <w:autoSpaceDE w:val="0"/>
              <w:autoSpaceDN w:val="0"/>
              <w:adjustRightInd w:val="0"/>
              <w:spacing w:before="0" w:after="0"/>
              <w:jc w:val="both"/>
              <w:rPr>
                <w:rFonts w:ascii="Arial" w:hAnsi="Arial" w:cs="Arial"/>
                <w:lang w:val="es-UY"/>
              </w:rPr>
            </w:pPr>
            <w:r>
              <w:rPr>
                <w:rFonts w:ascii="Arial" w:hAnsi="Arial" w:cs="Arial"/>
                <w:vertAlign w:val="superscript"/>
                <w:lang w:val="es-UY"/>
              </w:rPr>
              <w:t>b</w:t>
            </w:r>
            <w:r>
              <w:rPr>
                <w:rFonts w:ascii="Arial" w:hAnsi="Arial" w:cs="Arial"/>
                <w:lang w:val="es-UY"/>
              </w:rPr>
              <w:t>S</w:t>
            </w:r>
            <w:r w:rsidRPr="00F22857">
              <w:rPr>
                <w:rFonts w:ascii="Arial" w:hAnsi="Arial" w:cs="Arial"/>
                <w:lang w:val="es-UY"/>
              </w:rPr>
              <w:t>ignificativo al 5%</w:t>
            </w:r>
            <w:r>
              <w:rPr>
                <w:rFonts w:ascii="Arial" w:hAnsi="Arial" w:cs="Arial"/>
                <w:lang w:val="es-UY"/>
              </w:rPr>
              <w:t>.</w:t>
            </w:r>
          </w:p>
          <w:p w:rsidR="004633B6" w:rsidRPr="00F22857" w:rsidRDefault="00E819C4" w:rsidP="00E819C4">
            <w:pPr>
              <w:autoSpaceDE w:val="0"/>
              <w:autoSpaceDN w:val="0"/>
              <w:adjustRightInd w:val="0"/>
              <w:spacing w:before="0" w:after="0"/>
              <w:jc w:val="both"/>
              <w:rPr>
                <w:rFonts w:ascii="Arial" w:hAnsi="Arial" w:cs="Arial"/>
                <w:lang w:val="es-UY"/>
              </w:rPr>
            </w:pPr>
            <w:r>
              <w:rPr>
                <w:rFonts w:ascii="Arial" w:hAnsi="Arial" w:cs="Arial"/>
                <w:lang w:val="es-UY"/>
              </w:rPr>
              <w:t>Nota: e</w:t>
            </w:r>
            <w:r w:rsidR="004633B6" w:rsidRPr="00F22857">
              <w:rPr>
                <w:rFonts w:ascii="Arial" w:hAnsi="Arial" w:cs="Arial"/>
                <w:lang w:val="es-UY"/>
              </w:rPr>
              <w:t xml:space="preserve">ntre paréntesis se muestran los errores estándar robustos a la heteroscedasticidad. El modelo incluye efectos fijos por año y una constante. Las categorías de referencia omitidas son la pertenencia al grupo 3 de Robson, edad entre 20 </w:t>
            </w:r>
            <w:r w:rsidR="004633B6" w:rsidRPr="00F22857">
              <w:rPr>
                <w:rFonts w:ascii="Arial" w:hAnsi="Arial" w:cs="Arial"/>
                <w:lang w:val="es-UY"/>
              </w:rPr>
              <w:lastRenderedPageBreak/>
              <w:t>y 35 años, unión libre y educación secundaria.</w:t>
            </w:r>
            <w:r w:rsidR="004633B6" w:rsidRPr="00F22857">
              <w:rPr>
                <w:rFonts w:ascii="Arial" w:hAnsi="Arial" w:cs="Arial"/>
              </w:rPr>
              <w:t xml:space="preserve"> </w:t>
            </w:r>
            <w:r w:rsidR="004633B6" w:rsidRPr="00F22857">
              <w:rPr>
                <w:rFonts w:ascii="Arial" w:hAnsi="Arial" w:cs="Arial"/>
                <w:lang w:val="es-UY"/>
              </w:rPr>
              <w:t>El porcentaje de predicciones correctas se ha calculado asumiendo una probabilidad de corte de 0,5.</w:t>
            </w:r>
          </w:p>
        </w:tc>
      </w:tr>
    </w:tbl>
    <w:p w:rsidR="0014346E" w:rsidRPr="00F22857" w:rsidRDefault="0014346E" w:rsidP="00F22857">
      <w:pPr>
        <w:jc w:val="both"/>
        <w:rPr>
          <w:rFonts w:ascii="Arial" w:hAnsi="Arial" w:cs="Arial"/>
          <w:b/>
          <w:smallCaps/>
        </w:rPr>
      </w:pPr>
    </w:p>
    <w:p w:rsidR="0014346E" w:rsidRPr="00F22857" w:rsidRDefault="0014346E" w:rsidP="00F22857">
      <w:pPr>
        <w:jc w:val="both"/>
        <w:rPr>
          <w:rFonts w:ascii="Arial" w:hAnsi="Arial" w:cs="Arial"/>
          <w:b/>
          <w:smallCaps/>
        </w:rPr>
      </w:pPr>
      <w:r w:rsidRPr="00F22857">
        <w:rPr>
          <w:rFonts w:ascii="Arial" w:hAnsi="Arial" w:cs="Arial"/>
          <w:b/>
          <w:smallCaps/>
        </w:rPr>
        <w:br w:type="page"/>
      </w:r>
    </w:p>
    <w:tbl>
      <w:tblPr>
        <w:tblW w:w="4166" w:type="pct"/>
        <w:jc w:val="center"/>
        <w:tblCellMar>
          <w:left w:w="70" w:type="dxa"/>
          <w:right w:w="70" w:type="dxa"/>
        </w:tblCellMar>
        <w:tblLook w:val="04A0" w:firstRow="1" w:lastRow="0" w:firstColumn="1" w:lastColumn="0" w:noHBand="0" w:noVBand="1"/>
      </w:tblPr>
      <w:tblGrid>
        <w:gridCol w:w="2729"/>
        <w:gridCol w:w="2982"/>
        <w:gridCol w:w="3382"/>
      </w:tblGrid>
      <w:tr w:rsidR="0014346E" w:rsidRPr="00F22857" w:rsidTr="0014346E">
        <w:trPr>
          <w:trHeight w:val="708"/>
          <w:jc w:val="center"/>
        </w:trPr>
        <w:tc>
          <w:tcPr>
            <w:tcW w:w="5000" w:type="pct"/>
            <w:gridSpan w:val="3"/>
            <w:tcBorders>
              <w:top w:val="nil"/>
              <w:left w:val="nil"/>
              <w:bottom w:val="single" w:sz="4" w:space="0" w:color="auto"/>
              <w:right w:val="nil"/>
            </w:tcBorders>
            <w:shd w:val="clear" w:color="auto" w:fill="auto"/>
            <w:vAlign w:val="center"/>
          </w:tcPr>
          <w:p w:rsidR="00E819C4" w:rsidRPr="003B0347" w:rsidRDefault="0014346E" w:rsidP="00F22857">
            <w:pPr>
              <w:spacing w:before="0" w:after="0"/>
              <w:jc w:val="both"/>
              <w:rPr>
                <w:rFonts w:ascii="Arial" w:eastAsia="Times New Roman" w:hAnsi="Arial" w:cs="Arial"/>
                <w:b/>
                <w:bCs/>
                <w:color w:val="000000" w:themeColor="text1"/>
                <w:lang w:eastAsia="es-ES"/>
              </w:rPr>
            </w:pPr>
            <w:r w:rsidRPr="003B0347">
              <w:rPr>
                <w:rFonts w:ascii="Arial" w:eastAsia="Times New Roman" w:hAnsi="Arial" w:cs="Arial"/>
                <w:b/>
                <w:bCs/>
                <w:color w:val="000000" w:themeColor="text1"/>
                <w:lang w:eastAsia="es-ES"/>
              </w:rPr>
              <w:lastRenderedPageBreak/>
              <w:t>Tabla III</w:t>
            </w:r>
          </w:p>
          <w:p w:rsidR="0014346E" w:rsidRPr="00F22857" w:rsidRDefault="0014346E" w:rsidP="00F22857">
            <w:pPr>
              <w:spacing w:before="0" w:after="0"/>
              <w:jc w:val="both"/>
              <w:rPr>
                <w:rFonts w:ascii="Arial" w:eastAsia="Times New Roman" w:hAnsi="Arial" w:cs="Arial"/>
                <w:bCs/>
                <w:color w:val="000000" w:themeColor="text1"/>
                <w:lang w:eastAsia="es-ES"/>
              </w:rPr>
            </w:pPr>
            <w:r w:rsidRPr="00F22857">
              <w:rPr>
                <w:rFonts w:ascii="Arial" w:eastAsia="Times New Roman" w:hAnsi="Arial" w:cs="Arial"/>
                <w:bCs/>
                <w:color w:val="000000" w:themeColor="text1"/>
                <w:lang w:eastAsia="es-ES"/>
              </w:rPr>
              <w:t xml:space="preserve">Varianza incondicional y condicionada resultado de un modelo </w:t>
            </w:r>
            <w:r w:rsidRPr="003B0347">
              <w:rPr>
                <w:rFonts w:ascii="Arial" w:eastAsia="Times New Roman" w:hAnsi="Arial" w:cs="Arial"/>
                <w:bCs/>
                <w:i/>
                <w:color w:val="000000" w:themeColor="text1"/>
                <w:lang w:eastAsia="es-ES"/>
              </w:rPr>
              <w:t>logit</w:t>
            </w:r>
            <w:r w:rsidRPr="00F22857">
              <w:rPr>
                <w:rFonts w:ascii="Arial" w:eastAsia="Times New Roman" w:hAnsi="Arial" w:cs="Arial"/>
                <w:bCs/>
                <w:color w:val="000000" w:themeColor="text1"/>
                <w:lang w:eastAsia="es-ES"/>
              </w:rPr>
              <w:t xml:space="preserve"> multinivel entre hospitales y categorías de hospital en Uruguay</w:t>
            </w:r>
          </w:p>
        </w:tc>
      </w:tr>
      <w:tr w:rsidR="0014346E" w:rsidRPr="00F22857" w:rsidTr="0014346E">
        <w:trPr>
          <w:trHeight w:val="702"/>
          <w:jc w:val="center"/>
        </w:trPr>
        <w:tc>
          <w:tcPr>
            <w:tcW w:w="1704" w:type="pct"/>
            <w:tcBorders>
              <w:top w:val="single" w:sz="4" w:space="0" w:color="auto"/>
              <w:left w:val="nil"/>
              <w:bottom w:val="single" w:sz="4" w:space="0" w:color="auto"/>
              <w:right w:val="nil"/>
            </w:tcBorders>
            <w:shd w:val="clear" w:color="auto" w:fill="auto"/>
            <w:noWrap/>
            <w:vAlign w:val="bottom"/>
            <w:hideMark/>
          </w:tcPr>
          <w:p w:rsidR="0014346E" w:rsidRPr="00F22857" w:rsidRDefault="0014346E" w:rsidP="00F22857">
            <w:pPr>
              <w:spacing w:before="0" w:after="0"/>
              <w:jc w:val="both"/>
              <w:rPr>
                <w:rFonts w:ascii="Arial" w:eastAsia="Times New Roman" w:hAnsi="Arial" w:cs="Arial"/>
                <w:color w:val="000000" w:themeColor="text1"/>
                <w:lang w:eastAsia="es-ES"/>
              </w:rPr>
            </w:pPr>
          </w:p>
        </w:tc>
        <w:tc>
          <w:tcPr>
            <w:tcW w:w="1645" w:type="pct"/>
            <w:tcBorders>
              <w:top w:val="single" w:sz="4" w:space="0" w:color="auto"/>
              <w:left w:val="nil"/>
              <w:bottom w:val="single" w:sz="4" w:space="0" w:color="auto"/>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bCs/>
                <w:color w:val="000000" w:themeColor="text1"/>
                <w:lang w:eastAsia="es-ES"/>
              </w:rPr>
            </w:pPr>
            <w:r w:rsidRPr="00F22857">
              <w:rPr>
                <w:rFonts w:ascii="Arial" w:eastAsia="Times New Roman" w:hAnsi="Arial" w:cs="Arial"/>
                <w:bCs/>
                <w:color w:val="000000" w:themeColor="text1"/>
                <w:lang w:eastAsia="es-ES"/>
              </w:rPr>
              <w:t>Entre centros hospitalarios</w:t>
            </w:r>
          </w:p>
        </w:tc>
        <w:tc>
          <w:tcPr>
            <w:tcW w:w="1651" w:type="pct"/>
            <w:tcBorders>
              <w:top w:val="single" w:sz="4" w:space="0" w:color="auto"/>
              <w:left w:val="nil"/>
              <w:bottom w:val="single" w:sz="4" w:space="0" w:color="auto"/>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bCs/>
                <w:color w:val="000000" w:themeColor="text1"/>
                <w:lang w:eastAsia="es-ES"/>
              </w:rPr>
            </w:pPr>
            <w:r w:rsidRPr="00F22857">
              <w:rPr>
                <w:rFonts w:ascii="Arial" w:eastAsia="Times New Roman" w:hAnsi="Arial" w:cs="Arial"/>
                <w:bCs/>
                <w:color w:val="000000" w:themeColor="text1"/>
                <w:lang w:eastAsia="es-ES"/>
              </w:rPr>
              <w:t>Entre categorías de hospitales</w:t>
            </w:r>
          </w:p>
        </w:tc>
      </w:tr>
      <w:tr w:rsidR="0014346E" w:rsidRPr="00F22857" w:rsidTr="0014346E">
        <w:trPr>
          <w:trHeight w:val="350"/>
          <w:jc w:val="center"/>
        </w:trPr>
        <w:tc>
          <w:tcPr>
            <w:tcW w:w="1704" w:type="pct"/>
            <w:tcBorders>
              <w:top w:val="single" w:sz="4" w:space="0" w:color="auto"/>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Sin variables de control</w:t>
            </w:r>
          </w:p>
        </w:tc>
        <w:tc>
          <w:tcPr>
            <w:tcW w:w="1645" w:type="pct"/>
            <w:tcBorders>
              <w:top w:val="single" w:sz="4" w:space="0" w:color="auto"/>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0,175</w:t>
            </w:r>
          </w:p>
        </w:tc>
        <w:tc>
          <w:tcPr>
            <w:tcW w:w="1651" w:type="pct"/>
            <w:tcBorders>
              <w:top w:val="single" w:sz="4" w:space="0" w:color="auto"/>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0,149</w:t>
            </w:r>
          </w:p>
        </w:tc>
      </w:tr>
      <w:tr w:rsidR="0014346E" w:rsidRPr="00F22857" w:rsidTr="0014346E">
        <w:trPr>
          <w:trHeight w:val="350"/>
          <w:jc w:val="center"/>
        </w:trPr>
        <w:tc>
          <w:tcPr>
            <w:tcW w:w="1704" w:type="pct"/>
            <w:tcBorders>
              <w:top w:val="nil"/>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p>
        </w:tc>
        <w:tc>
          <w:tcPr>
            <w:tcW w:w="1645" w:type="pct"/>
            <w:tcBorders>
              <w:top w:val="nil"/>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(0,030)</w:t>
            </w:r>
          </w:p>
        </w:tc>
        <w:tc>
          <w:tcPr>
            <w:tcW w:w="1651" w:type="pct"/>
            <w:tcBorders>
              <w:top w:val="nil"/>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(0,066)</w:t>
            </w:r>
          </w:p>
        </w:tc>
      </w:tr>
      <w:tr w:rsidR="0014346E" w:rsidRPr="00F22857" w:rsidTr="0014346E">
        <w:trPr>
          <w:trHeight w:val="350"/>
          <w:jc w:val="center"/>
        </w:trPr>
        <w:tc>
          <w:tcPr>
            <w:tcW w:w="1704" w:type="pct"/>
            <w:tcBorders>
              <w:top w:val="nil"/>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Con variables de control</w:t>
            </w:r>
          </w:p>
        </w:tc>
        <w:tc>
          <w:tcPr>
            <w:tcW w:w="1645" w:type="pct"/>
            <w:tcBorders>
              <w:top w:val="nil"/>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0,089</w:t>
            </w:r>
          </w:p>
        </w:tc>
        <w:tc>
          <w:tcPr>
            <w:tcW w:w="1651" w:type="pct"/>
            <w:tcBorders>
              <w:top w:val="nil"/>
              <w:left w:val="nil"/>
              <w:bottom w:val="nil"/>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0,072</w:t>
            </w:r>
          </w:p>
        </w:tc>
      </w:tr>
      <w:tr w:rsidR="0014346E" w:rsidRPr="00F22857" w:rsidTr="00CA3ABA">
        <w:trPr>
          <w:trHeight w:val="350"/>
          <w:jc w:val="center"/>
        </w:trPr>
        <w:tc>
          <w:tcPr>
            <w:tcW w:w="1704" w:type="pct"/>
            <w:tcBorders>
              <w:top w:val="nil"/>
              <w:left w:val="nil"/>
              <w:bottom w:val="single" w:sz="4" w:space="0" w:color="auto"/>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p>
        </w:tc>
        <w:tc>
          <w:tcPr>
            <w:tcW w:w="1645" w:type="pct"/>
            <w:tcBorders>
              <w:top w:val="nil"/>
              <w:left w:val="nil"/>
              <w:bottom w:val="single" w:sz="4" w:space="0" w:color="auto"/>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(0,016)</w:t>
            </w:r>
          </w:p>
        </w:tc>
        <w:tc>
          <w:tcPr>
            <w:tcW w:w="1651" w:type="pct"/>
            <w:tcBorders>
              <w:top w:val="nil"/>
              <w:left w:val="nil"/>
              <w:bottom w:val="single" w:sz="4" w:space="0" w:color="auto"/>
              <w:right w:val="nil"/>
            </w:tcBorders>
            <w:shd w:val="clear" w:color="auto" w:fill="auto"/>
            <w:noWrap/>
            <w:vAlign w:val="center"/>
            <w:hideMark/>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(0,034)</w:t>
            </w:r>
          </w:p>
        </w:tc>
      </w:tr>
      <w:tr w:rsidR="0014346E" w:rsidRPr="00F22857" w:rsidTr="00CA3ABA">
        <w:trPr>
          <w:trHeight w:val="847"/>
          <w:jc w:val="center"/>
        </w:trPr>
        <w:tc>
          <w:tcPr>
            <w:tcW w:w="5000" w:type="pct"/>
            <w:gridSpan w:val="3"/>
            <w:tcBorders>
              <w:top w:val="single" w:sz="4" w:space="0" w:color="auto"/>
              <w:left w:val="nil"/>
              <w:bottom w:val="nil"/>
              <w:right w:val="nil"/>
            </w:tcBorders>
            <w:shd w:val="clear" w:color="auto" w:fill="auto"/>
            <w:vAlign w:val="center"/>
          </w:tcPr>
          <w:p w:rsidR="0014346E" w:rsidRPr="00F22857" w:rsidRDefault="0014346E" w:rsidP="00F22857">
            <w:pPr>
              <w:spacing w:before="0" w:after="0"/>
              <w:jc w:val="both"/>
              <w:rPr>
                <w:rFonts w:ascii="Arial" w:eastAsia="Times New Roman" w:hAnsi="Arial" w:cs="Arial"/>
                <w:color w:val="000000" w:themeColor="text1"/>
                <w:lang w:eastAsia="es-ES"/>
              </w:rPr>
            </w:pPr>
            <w:r w:rsidRPr="00F22857">
              <w:rPr>
                <w:rFonts w:ascii="Arial" w:eastAsia="Times New Roman" w:hAnsi="Arial" w:cs="Arial"/>
                <w:color w:val="000000" w:themeColor="text1"/>
                <w:lang w:eastAsia="es-ES"/>
              </w:rPr>
              <w:t xml:space="preserve">Nota: </w:t>
            </w:r>
            <w:r w:rsidR="00E819C4">
              <w:rPr>
                <w:rFonts w:ascii="Arial" w:eastAsia="Times New Roman" w:hAnsi="Arial" w:cs="Arial"/>
                <w:color w:val="000000" w:themeColor="text1"/>
                <w:lang w:eastAsia="es-ES"/>
              </w:rPr>
              <w:t>e</w:t>
            </w:r>
            <w:r w:rsidRPr="00F22857">
              <w:rPr>
                <w:rFonts w:ascii="Arial" w:eastAsia="Times New Roman" w:hAnsi="Arial" w:cs="Arial"/>
                <w:color w:val="000000" w:themeColor="text1"/>
                <w:lang w:eastAsia="es-ES"/>
              </w:rPr>
              <w:t>ntre paréntesis se muestran los errores estándar robustos a la heteroscedasticidad. El modelo con variables de control incluye l</w:t>
            </w:r>
            <w:r w:rsidR="0086322A" w:rsidRPr="00F22857">
              <w:rPr>
                <w:rFonts w:ascii="Arial" w:eastAsia="Times New Roman" w:hAnsi="Arial" w:cs="Arial"/>
                <w:color w:val="000000" w:themeColor="text1"/>
                <w:lang w:eastAsia="es-ES"/>
              </w:rPr>
              <w:t xml:space="preserve">os mismos regresores </w:t>
            </w:r>
            <w:r w:rsidRPr="00F22857">
              <w:rPr>
                <w:rFonts w:ascii="Arial" w:eastAsia="Times New Roman" w:hAnsi="Arial" w:cs="Arial"/>
                <w:color w:val="000000" w:themeColor="text1"/>
                <w:lang w:eastAsia="es-ES"/>
              </w:rPr>
              <w:t xml:space="preserve">que el </w:t>
            </w:r>
            <w:r w:rsidR="0086322A" w:rsidRPr="00F22857">
              <w:rPr>
                <w:rFonts w:ascii="Arial" w:eastAsia="Times New Roman" w:hAnsi="Arial" w:cs="Arial"/>
                <w:color w:val="000000" w:themeColor="text1"/>
                <w:lang w:eastAsia="es-ES"/>
              </w:rPr>
              <w:t xml:space="preserve">modelo </w:t>
            </w:r>
            <w:r w:rsidRPr="00F22857">
              <w:rPr>
                <w:rFonts w:ascii="Arial" w:eastAsia="Times New Roman" w:hAnsi="Arial" w:cs="Arial"/>
                <w:color w:val="000000" w:themeColor="text1"/>
                <w:lang w:eastAsia="es-ES"/>
              </w:rPr>
              <w:t xml:space="preserve">presentado en el texto </w:t>
            </w:r>
            <w:r w:rsidR="0086322A" w:rsidRPr="00F22857">
              <w:rPr>
                <w:rFonts w:ascii="Arial" w:eastAsia="Times New Roman" w:hAnsi="Arial" w:cs="Arial"/>
                <w:color w:val="000000" w:themeColor="text1"/>
                <w:lang w:eastAsia="es-ES"/>
              </w:rPr>
              <w:t xml:space="preserve">principal </w:t>
            </w:r>
            <w:r w:rsidRPr="00F22857">
              <w:rPr>
                <w:rFonts w:ascii="Arial" w:eastAsia="Times New Roman" w:hAnsi="Arial" w:cs="Arial"/>
                <w:color w:val="000000" w:themeColor="text1"/>
                <w:lang w:eastAsia="es-ES"/>
              </w:rPr>
              <w:t>del artículo.</w:t>
            </w:r>
          </w:p>
        </w:tc>
      </w:tr>
    </w:tbl>
    <w:p w:rsidR="00417286" w:rsidRPr="00F22857" w:rsidRDefault="00417286" w:rsidP="00F22857">
      <w:pPr>
        <w:jc w:val="both"/>
        <w:rPr>
          <w:rFonts w:ascii="Arial" w:hAnsi="Arial" w:cs="Arial"/>
          <w:b/>
          <w:smallCaps/>
        </w:rPr>
      </w:pPr>
    </w:p>
    <w:sectPr w:rsidR="00417286" w:rsidRPr="00F22857" w:rsidSect="00C34321">
      <w:footerReference w:type="default" r:id="rId5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A11" w:rsidRDefault="00EF0A11" w:rsidP="00B21E69">
      <w:pPr>
        <w:spacing w:before="0" w:after="0" w:line="240" w:lineRule="auto"/>
      </w:pPr>
      <w:r>
        <w:separator/>
      </w:r>
    </w:p>
  </w:endnote>
  <w:endnote w:type="continuationSeparator" w:id="0">
    <w:p w:rsidR="00EF0A11" w:rsidRDefault="00EF0A11" w:rsidP="00B21E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286313"/>
      <w:docPartObj>
        <w:docPartGallery w:val="Page Numbers (Bottom of Page)"/>
        <w:docPartUnique/>
      </w:docPartObj>
    </w:sdtPr>
    <w:sdtEndPr>
      <w:rPr>
        <w:sz w:val="20"/>
        <w:szCs w:val="20"/>
      </w:rPr>
    </w:sdtEndPr>
    <w:sdtContent>
      <w:p w:rsidR="00757982" w:rsidRPr="008D6652" w:rsidRDefault="00757982">
        <w:pPr>
          <w:pStyle w:val="Footer"/>
          <w:jc w:val="center"/>
          <w:rPr>
            <w:sz w:val="20"/>
            <w:szCs w:val="20"/>
          </w:rPr>
        </w:pPr>
        <w:r w:rsidRPr="008D6652">
          <w:rPr>
            <w:sz w:val="20"/>
            <w:szCs w:val="20"/>
          </w:rPr>
          <w:fldChar w:fldCharType="begin"/>
        </w:r>
        <w:r w:rsidRPr="008D6652">
          <w:rPr>
            <w:sz w:val="20"/>
            <w:szCs w:val="20"/>
          </w:rPr>
          <w:instrText>PAGE   \* MERGEFORMAT</w:instrText>
        </w:r>
        <w:r w:rsidRPr="008D6652">
          <w:rPr>
            <w:sz w:val="20"/>
            <w:szCs w:val="20"/>
          </w:rPr>
          <w:fldChar w:fldCharType="separate"/>
        </w:r>
        <w:r w:rsidR="003B0347">
          <w:rPr>
            <w:noProof/>
            <w:sz w:val="20"/>
            <w:szCs w:val="20"/>
          </w:rPr>
          <w:t>1</w:t>
        </w:r>
        <w:r w:rsidRPr="008D6652">
          <w:rPr>
            <w:sz w:val="20"/>
            <w:szCs w:val="20"/>
          </w:rPr>
          <w:fldChar w:fldCharType="end"/>
        </w:r>
      </w:p>
    </w:sdtContent>
  </w:sdt>
  <w:p w:rsidR="00757982" w:rsidRDefault="00757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A11" w:rsidRDefault="00EF0A11" w:rsidP="00B21E69">
      <w:pPr>
        <w:spacing w:before="0" w:after="0" w:line="240" w:lineRule="auto"/>
      </w:pPr>
      <w:r>
        <w:separator/>
      </w:r>
    </w:p>
  </w:footnote>
  <w:footnote w:type="continuationSeparator" w:id="0">
    <w:p w:rsidR="00EF0A11" w:rsidRDefault="00EF0A11" w:rsidP="00B21E69">
      <w:pPr>
        <w:spacing w:before="0" w:after="0" w:line="240" w:lineRule="auto"/>
      </w:pPr>
      <w:r>
        <w:continuationSeparator/>
      </w:r>
    </w:p>
  </w:footnote>
  <w:footnote w:id="1">
    <w:p w:rsidR="00757982" w:rsidRPr="008C1AEA" w:rsidRDefault="00757982">
      <w:pPr>
        <w:pStyle w:val="FootnoteText"/>
        <w:rPr>
          <w:lang w:val="en-US"/>
        </w:rPr>
      </w:pPr>
      <w:r w:rsidRPr="008C1AEA">
        <w:rPr>
          <w:rStyle w:val="FootnoteReference"/>
        </w:rPr>
        <w:footnoteRef/>
      </w:r>
      <w:r w:rsidRPr="008C1AEA">
        <w:t xml:space="preserve"> Cáceres IA, Arcaya M, Declercq E, et al. </w:t>
      </w:r>
      <w:r w:rsidRPr="008C1AEA">
        <w:rPr>
          <w:lang w:val="en-US"/>
        </w:rPr>
        <w:t>Hospital differences in cesarean deliveries in Massachusetts (US) 2004</w:t>
      </w:r>
      <w:r>
        <w:rPr>
          <w:lang w:val="en-US"/>
        </w:rPr>
        <w:t>-</w:t>
      </w:r>
      <w:r w:rsidRPr="008C1AEA">
        <w:rPr>
          <w:lang w:val="en-US"/>
        </w:rPr>
        <w:t>2006: the case against case-mix artifact. PloS One. 2013;8:e57817.</w:t>
      </w:r>
    </w:p>
  </w:footnote>
  <w:footnote w:id="2">
    <w:p w:rsidR="00757982" w:rsidRDefault="00757982" w:rsidP="005E3E04">
      <w:pPr>
        <w:pStyle w:val="FootnoteText"/>
        <w:jc w:val="both"/>
      </w:pPr>
      <w:r w:rsidRPr="008C1AEA">
        <w:rPr>
          <w:rStyle w:val="FootnoteReference"/>
        </w:rPr>
        <w:footnoteRef/>
      </w:r>
      <w:r w:rsidRPr="008C1AEA">
        <w:rPr>
          <w:lang w:val="en-US"/>
        </w:rPr>
        <w:t xml:space="preserve"> Souza JP, Betran AP, Dumont A, et al. A global reference for caesarean section rates (C‐Model): a multicountry cross‐sectional study. </w:t>
      </w:r>
      <w:r w:rsidRPr="008C1AEA">
        <w:t>BJOG. 2016;123:427</w:t>
      </w:r>
      <w:r w:rsidR="00E819C4">
        <w:t>-</w:t>
      </w:r>
      <w:r w:rsidRPr="008C1AEA">
        <w:t>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57E05"/>
    <w:multiLevelType w:val="hybridMultilevel"/>
    <w:tmpl w:val="82AED9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2237186"/>
    <w:multiLevelType w:val="hybridMultilevel"/>
    <w:tmpl w:val="E124B0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90F5F63"/>
    <w:multiLevelType w:val="hybridMultilevel"/>
    <w:tmpl w:val="73CCC95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9491C6A"/>
    <w:multiLevelType w:val="hybridMultilevel"/>
    <w:tmpl w:val="57A277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46A0BB2"/>
    <w:multiLevelType w:val="hybridMultilevel"/>
    <w:tmpl w:val="706AFF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9275BF1"/>
    <w:multiLevelType w:val="hybridMultilevel"/>
    <w:tmpl w:val="590E0252"/>
    <w:lvl w:ilvl="0" w:tplc="0C0A000F">
      <w:start w:val="1"/>
      <w:numFmt w:val="decimal"/>
      <w:lvlText w:val="%1."/>
      <w:lvlJc w:val="left"/>
      <w:pPr>
        <w:ind w:left="502"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76B1827"/>
    <w:multiLevelType w:val="hybridMultilevel"/>
    <w:tmpl w:val="FAF651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36"/>
    <w:rsid w:val="00035E34"/>
    <w:rsid w:val="0004126E"/>
    <w:rsid w:val="0004347F"/>
    <w:rsid w:val="00077883"/>
    <w:rsid w:val="000B2D76"/>
    <w:rsid w:val="000B5EC0"/>
    <w:rsid w:val="000D499E"/>
    <w:rsid w:val="0011494F"/>
    <w:rsid w:val="00140CA0"/>
    <w:rsid w:val="0014346E"/>
    <w:rsid w:val="00161C55"/>
    <w:rsid w:val="00175E30"/>
    <w:rsid w:val="0019683C"/>
    <w:rsid w:val="001C7178"/>
    <w:rsid w:val="001D156A"/>
    <w:rsid w:val="001E04ED"/>
    <w:rsid w:val="002000DF"/>
    <w:rsid w:val="00230B42"/>
    <w:rsid w:val="0023131D"/>
    <w:rsid w:val="00274D01"/>
    <w:rsid w:val="002B3AF9"/>
    <w:rsid w:val="002B4746"/>
    <w:rsid w:val="002E0333"/>
    <w:rsid w:val="002E5183"/>
    <w:rsid w:val="002F35CC"/>
    <w:rsid w:val="002F3E6C"/>
    <w:rsid w:val="003373B5"/>
    <w:rsid w:val="003739C0"/>
    <w:rsid w:val="003B0347"/>
    <w:rsid w:val="003B6EB6"/>
    <w:rsid w:val="003C741B"/>
    <w:rsid w:val="003E2A73"/>
    <w:rsid w:val="0041058F"/>
    <w:rsid w:val="00416724"/>
    <w:rsid w:val="00417286"/>
    <w:rsid w:val="0044401B"/>
    <w:rsid w:val="0044497E"/>
    <w:rsid w:val="00453869"/>
    <w:rsid w:val="004633B6"/>
    <w:rsid w:val="004A0263"/>
    <w:rsid w:val="004B173F"/>
    <w:rsid w:val="004E177D"/>
    <w:rsid w:val="004F0C9F"/>
    <w:rsid w:val="004F5BA1"/>
    <w:rsid w:val="00504DD0"/>
    <w:rsid w:val="005208FE"/>
    <w:rsid w:val="0052534F"/>
    <w:rsid w:val="00540AF5"/>
    <w:rsid w:val="00576E4D"/>
    <w:rsid w:val="00585737"/>
    <w:rsid w:val="00586EE0"/>
    <w:rsid w:val="005C5034"/>
    <w:rsid w:val="005C54E6"/>
    <w:rsid w:val="005D6AA6"/>
    <w:rsid w:val="005E3E04"/>
    <w:rsid w:val="005E6249"/>
    <w:rsid w:val="005F1B98"/>
    <w:rsid w:val="0061093D"/>
    <w:rsid w:val="006D7676"/>
    <w:rsid w:val="006E3231"/>
    <w:rsid w:val="006F49B6"/>
    <w:rsid w:val="006F4FE7"/>
    <w:rsid w:val="007064AB"/>
    <w:rsid w:val="00732DBB"/>
    <w:rsid w:val="00757982"/>
    <w:rsid w:val="007819FD"/>
    <w:rsid w:val="007C2B03"/>
    <w:rsid w:val="007D37A3"/>
    <w:rsid w:val="007D4B02"/>
    <w:rsid w:val="007F1A2F"/>
    <w:rsid w:val="008500E5"/>
    <w:rsid w:val="00856205"/>
    <w:rsid w:val="0085790A"/>
    <w:rsid w:val="00861C58"/>
    <w:rsid w:val="0086322A"/>
    <w:rsid w:val="008669E2"/>
    <w:rsid w:val="00876085"/>
    <w:rsid w:val="008845FE"/>
    <w:rsid w:val="00891C74"/>
    <w:rsid w:val="00897755"/>
    <w:rsid w:val="008C1AEA"/>
    <w:rsid w:val="008C2DD8"/>
    <w:rsid w:val="008C7F67"/>
    <w:rsid w:val="008D6652"/>
    <w:rsid w:val="008E1C02"/>
    <w:rsid w:val="008E5D37"/>
    <w:rsid w:val="008F70AC"/>
    <w:rsid w:val="009076DF"/>
    <w:rsid w:val="009212B4"/>
    <w:rsid w:val="00925467"/>
    <w:rsid w:val="00973184"/>
    <w:rsid w:val="009B25F2"/>
    <w:rsid w:val="00A11D36"/>
    <w:rsid w:val="00A47AC8"/>
    <w:rsid w:val="00A51BF5"/>
    <w:rsid w:val="00A53EA3"/>
    <w:rsid w:val="00A60C3B"/>
    <w:rsid w:val="00A6360A"/>
    <w:rsid w:val="00A67347"/>
    <w:rsid w:val="00A673B5"/>
    <w:rsid w:val="00AD6D25"/>
    <w:rsid w:val="00AD705B"/>
    <w:rsid w:val="00AE268D"/>
    <w:rsid w:val="00B21E69"/>
    <w:rsid w:val="00B33551"/>
    <w:rsid w:val="00B36CDF"/>
    <w:rsid w:val="00B44B77"/>
    <w:rsid w:val="00B56114"/>
    <w:rsid w:val="00B839B1"/>
    <w:rsid w:val="00B90DAD"/>
    <w:rsid w:val="00BA737D"/>
    <w:rsid w:val="00C061F6"/>
    <w:rsid w:val="00C3104D"/>
    <w:rsid w:val="00C34321"/>
    <w:rsid w:val="00C5439D"/>
    <w:rsid w:val="00C67248"/>
    <w:rsid w:val="00C92FC2"/>
    <w:rsid w:val="00CA3ABA"/>
    <w:rsid w:val="00CD4AF3"/>
    <w:rsid w:val="00CD6571"/>
    <w:rsid w:val="00D01010"/>
    <w:rsid w:val="00D075BD"/>
    <w:rsid w:val="00D333AA"/>
    <w:rsid w:val="00D910BB"/>
    <w:rsid w:val="00DB1A0C"/>
    <w:rsid w:val="00DC3D72"/>
    <w:rsid w:val="00DD69CF"/>
    <w:rsid w:val="00E246BB"/>
    <w:rsid w:val="00E42124"/>
    <w:rsid w:val="00E47F9F"/>
    <w:rsid w:val="00E543E3"/>
    <w:rsid w:val="00E60A58"/>
    <w:rsid w:val="00E61DB8"/>
    <w:rsid w:val="00E668C6"/>
    <w:rsid w:val="00E66F92"/>
    <w:rsid w:val="00E819C4"/>
    <w:rsid w:val="00EF0A11"/>
    <w:rsid w:val="00F153B0"/>
    <w:rsid w:val="00F22857"/>
    <w:rsid w:val="00F30824"/>
    <w:rsid w:val="00F50EFF"/>
    <w:rsid w:val="00F6580F"/>
    <w:rsid w:val="00F77D71"/>
    <w:rsid w:val="00FB5A3C"/>
    <w:rsid w:val="00FF5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AA3718-E508-42E6-A458-1FB657C1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ES"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E69"/>
    <w:pPr>
      <w:tabs>
        <w:tab w:val="center" w:pos="4252"/>
        <w:tab w:val="right" w:pos="8504"/>
      </w:tabs>
      <w:spacing w:before="0" w:after="0" w:line="240" w:lineRule="auto"/>
    </w:pPr>
  </w:style>
  <w:style w:type="character" w:customStyle="1" w:styleId="HeaderChar">
    <w:name w:val="Header Char"/>
    <w:basedOn w:val="DefaultParagraphFont"/>
    <w:link w:val="Header"/>
    <w:uiPriority w:val="99"/>
    <w:rsid w:val="00B21E69"/>
  </w:style>
  <w:style w:type="paragraph" w:styleId="Footer">
    <w:name w:val="footer"/>
    <w:basedOn w:val="Normal"/>
    <w:link w:val="FooterChar"/>
    <w:uiPriority w:val="99"/>
    <w:unhideWhenUsed/>
    <w:rsid w:val="00B21E69"/>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B21E69"/>
  </w:style>
  <w:style w:type="character" w:customStyle="1" w:styleId="MTEquationSection">
    <w:name w:val="MTEquationSection"/>
    <w:basedOn w:val="DefaultParagraphFont"/>
    <w:rsid w:val="00DC3D72"/>
    <w:rPr>
      <w:b/>
      <w:smallCaps/>
      <w:vanish/>
      <w:color w:val="FF0000"/>
      <w:sz w:val="28"/>
      <w:szCs w:val="28"/>
    </w:rPr>
  </w:style>
  <w:style w:type="paragraph" w:customStyle="1" w:styleId="MTDisplayEquation">
    <w:name w:val="MTDisplayEquation"/>
    <w:basedOn w:val="Normal"/>
    <w:next w:val="Normal"/>
    <w:link w:val="MTDisplayEquationCar"/>
    <w:rsid w:val="00DC3D72"/>
    <w:pPr>
      <w:tabs>
        <w:tab w:val="center" w:pos="4820"/>
        <w:tab w:val="right" w:pos="9640"/>
      </w:tabs>
    </w:pPr>
  </w:style>
  <w:style w:type="character" w:customStyle="1" w:styleId="MTDisplayEquationCar">
    <w:name w:val="MTDisplayEquation Car"/>
    <w:basedOn w:val="DefaultParagraphFont"/>
    <w:link w:val="MTDisplayEquation"/>
    <w:rsid w:val="00DC3D72"/>
  </w:style>
  <w:style w:type="paragraph" w:styleId="ListParagraph">
    <w:name w:val="List Paragraph"/>
    <w:basedOn w:val="Normal"/>
    <w:uiPriority w:val="34"/>
    <w:qFormat/>
    <w:rsid w:val="00C92FC2"/>
    <w:pPr>
      <w:ind w:left="720"/>
      <w:contextualSpacing/>
    </w:pPr>
  </w:style>
  <w:style w:type="character" w:styleId="Hyperlink">
    <w:name w:val="Hyperlink"/>
    <w:basedOn w:val="DefaultParagraphFont"/>
    <w:uiPriority w:val="99"/>
    <w:unhideWhenUsed/>
    <w:rsid w:val="000B2D76"/>
    <w:rPr>
      <w:color w:val="0563C1" w:themeColor="hyperlink"/>
      <w:u w:val="single"/>
    </w:rPr>
  </w:style>
  <w:style w:type="character" w:customStyle="1" w:styleId="Mencionar1">
    <w:name w:val="Mencionar1"/>
    <w:basedOn w:val="DefaultParagraphFont"/>
    <w:uiPriority w:val="99"/>
    <w:semiHidden/>
    <w:unhideWhenUsed/>
    <w:rsid w:val="000B2D76"/>
    <w:rPr>
      <w:color w:val="2B579A"/>
      <w:shd w:val="clear" w:color="auto" w:fill="E6E6E6"/>
    </w:rPr>
  </w:style>
  <w:style w:type="paragraph" w:styleId="BalloonText">
    <w:name w:val="Balloon Text"/>
    <w:basedOn w:val="Normal"/>
    <w:link w:val="BalloonTextChar"/>
    <w:uiPriority w:val="99"/>
    <w:semiHidden/>
    <w:unhideWhenUsed/>
    <w:rsid w:val="0085620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05"/>
    <w:rPr>
      <w:rFonts w:ascii="Tahoma" w:hAnsi="Tahoma" w:cs="Tahoma"/>
      <w:sz w:val="16"/>
      <w:szCs w:val="16"/>
    </w:rPr>
  </w:style>
  <w:style w:type="paragraph" w:styleId="FootnoteText">
    <w:name w:val="footnote text"/>
    <w:basedOn w:val="Normal"/>
    <w:link w:val="FootnoteTextChar"/>
    <w:uiPriority w:val="99"/>
    <w:semiHidden/>
    <w:unhideWhenUsed/>
    <w:rsid w:val="005E3E0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E3E04"/>
    <w:rPr>
      <w:sz w:val="20"/>
      <w:szCs w:val="20"/>
    </w:rPr>
  </w:style>
  <w:style w:type="character" w:styleId="FootnoteReference">
    <w:name w:val="footnote reference"/>
    <w:basedOn w:val="DefaultParagraphFont"/>
    <w:uiPriority w:val="99"/>
    <w:semiHidden/>
    <w:unhideWhenUsed/>
    <w:rsid w:val="005E3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00542">
      <w:bodyDiv w:val="1"/>
      <w:marLeft w:val="0"/>
      <w:marRight w:val="0"/>
      <w:marTop w:val="0"/>
      <w:marBottom w:val="0"/>
      <w:divBdr>
        <w:top w:val="none" w:sz="0" w:space="0" w:color="auto"/>
        <w:left w:val="none" w:sz="0" w:space="0" w:color="auto"/>
        <w:bottom w:val="none" w:sz="0" w:space="0" w:color="auto"/>
        <w:right w:val="none" w:sz="0" w:space="0" w:color="auto"/>
      </w:divBdr>
    </w:div>
    <w:div w:id="595867863">
      <w:bodyDiv w:val="1"/>
      <w:marLeft w:val="0"/>
      <w:marRight w:val="0"/>
      <w:marTop w:val="0"/>
      <w:marBottom w:val="0"/>
      <w:divBdr>
        <w:top w:val="none" w:sz="0" w:space="0" w:color="auto"/>
        <w:left w:val="none" w:sz="0" w:space="0" w:color="auto"/>
        <w:bottom w:val="none" w:sz="0" w:space="0" w:color="auto"/>
        <w:right w:val="none" w:sz="0" w:space="0" w:color="auto"/>
      </w:divBdr>
    </w:div>
    <w:div w:id="1605769676">
      <w:bodyDiv w:val="1"/>
      <w:marLeft w:val="0"/>
      <w:marRight w:val="0"/>
      <w:marTop w:val="0"/>
      <w:marBottom w:val="0"/>
      <w:divBdr>
        <w:top w:val="none" w:sz="0" w:space="0" w:color="auto"/>
        <w:left w:val="none" w:sz="0" w:space="0" w:color="auto"/>
        <w:bottom w:val="none" w:sz="0" w:space="0" w:color="auto"/>
        <w:right w:val="none" w:sz="0" w:space="0" w:color="auto"/>
      </w:divBdr>
    </w:div>
    <w:div w:id="1828859133">
      <w:bodyDiv w:val="1"/>
      <w:marLeft w:val="0"/>
      <w:marRight w:val="0"/>
      <w:marTop w:val="0"/>
      <w:marBottom w:val="0"/>
      <w:divBdr>
        <w:top w:val="none" w:sz="0" w:space="0" w:color="auto"/>
        <w:left w:val="none" w:sz="0" w:space="0" w:color="auto"/>
        <w:bottom w:val="none" w:sz="0" w:space="0" w:color="auto"/>
        <w:right w:val="none" w:sz="0" w:space="0" w:color="auto"/>
      </w:divBdr>
    </w:div>
    <w:div w:id="21325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DC14-C2CD-4458-9D68-DCE005AE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2061</Words>
  <Characters>11750</Characters>
  <Application>Microsoft Office Word</Application>
  <DocSecurity>0</DocSecurity>
  <Lines>97</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Bhim Bahadur Subba</dc:creator>
  <cp:keywords/>
  <dc:description/>
  <cp:lastModifiedBy>Bhim Bahadur Subba</cp:lastModifiedBy>
  <cp:revision>2</cp:revision>
  <dcterms:created xsi:type="dcterms:W3CDTF">2018-04-03T05:54:00Z</dcterms:created>
  <dcterms:modified xsi:type="dcterms:W3CDTF">2018-04-03T05:54:00Z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