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1F" w:rsidRPr="0021178F" w:rsidRDefault="009D6C1F" w:rsidP="00211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8F" w:rsidRDefault="009D6C1F" w:rsidP="00211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75E">
        <w:rPr>
          <w:rFonts w:ascii="Times New Roman" w:hAnsi="Times New Roman" w:cs="Times New Roman"/>
          <w:b/>
          <w:sz w:val="24"/>
          <w:szCs w:val="24"/>
        </w:rPr>
        <w:t>Apéndice A</w:t>
      </w:r>
    </w:p>
    <w:p w:rsidR="009D6C1F" w:rsidRPr="0021178F" w:rsidRDefault="009D6C1F" w:rsidP="00211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8F">
        <w:rPr>
          <w:rFonts w:ascii="Times New Roman" w:hAnsi="Times New Roman" w:cs="Times New Roman"/>
          <w:b/>
          <w:sz w:val="24"/>
          <w:szCs w:val="24"/>
        </w:rPr>
        <w:t xml:space="preserve">Formulación analítica del </w:t>
      </w:r>
      <w:r w:rsidR="0021178F" w:rsidRPr="0021178F">
        <w:rPr>
          <w:rFonts w:ascii="Times New Roman" w:hAnsi="Times New Roman" w:cs="Times New Roman"/>
          <w:b/>
          <w:sz w:val="24"/>
          <w:szCs w:val="24"/>
        </w:rPr>
        <w:t>análisis envolvente de datos</w:t>
      </w:r>
    </w:p>
    <w:p w:rsidR="009D6C1F" w:rsidRPr="0021178F" w:rsidRDefault="009D6C1F" w:rsidP="00211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78F">
        <w:rPr>
          <w:rFonts w:ascii="Times New Roman" w:hAnsi="Times New Roman" w:cs="Times New Roman"/>
          <w:sz w:val="24"/>
          <w:szCs w:val="24"/>
        </w:rPr>
        <w:t xml:space="preserve">La formulación analítica del </w:t>
      </w:r>
      <w:r w:rsidR="0021178F" w:rsidRPr="0021178F">
        <w:rPr>
          <w:rFonts w:ascii="Times New Roman" w:hAnsi="Times New Roman" w:cs="Times New Roman"/>
          <w:sz w:val="24"/>
          <w:szCs w:val="24"/>
        </w:rPr>
        <w:t xml:space="preserve">análisis envolvente de datos </w:t>
      </w:r>
      <w:r w:rsidRPr="0021178F">
        <w:rPr>
          <w:rFonts w:ascii="Times New Roman" w:hAnsi="Times New Roman" w:cs="Times New Roman"/>
          <w:sz w:val="24"/>
          <w:szCs w:val="24"/>
        </w:rPr>
        <w:t>(</w:t>
      </w:r>
      <w:r w:rsidR="0021178F">
        <w:rPr>
          <w:rFonts w:ascii="Times New Roman" w:hAnsi="Times New Roman" w:cs="Times New Roman"/>
          <w:sz w:val="24"/>
          <w:szCs w:val="24"/>
        </w:rPr>
        <w:t xml:space="preserve">DEA, </w:t>
      </w:r>
      <w:r w:rsidR="0021178F" w:rsidRPr="0021178F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="0021178F" w:rsidRPr="0021178F">
        <w:rPr>
          <w:rFonts w:ascii="Times New Roman" w:hAnsi="Times New Roman" w:cs="Times New Roman"/>
          <w:i/>
          <w:sz w:val="24"/>
          <w:szCs w:val="24"/>
        </w:rPr>
        <w:t>envelopment</w:t>
      </w:r>
      <w:proofErr w:type="spellEnd"/>
      <w:r w:rsidR="0021178F" w:rsidRPr="002117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78F" w:rsidRPr="0021178F">
        <w:rPr>
          <w:rFonts w:ascii="Times New Roman" w:hAnsi="Times New Roman" w:cs="Times New Roman"/>
          <w:i/>
          <w:sz w:val="24"/>
          <w:szCs w:val="24"/>
        </w:rPr>
        <w:t>an</w:t>
      </w:r>
      <w:r w:rsidRPr="0021178F">
        <w:rPr>
          <w:rFonts w:ascii="Times New Roman" w:hAnsi="Times New Roman" w:cs="Times New Roman"/>
          <w:i/>
          <w:sz w:val="24"/>
          <w:szCs w:val="24"/>
        </w:rPr>
        <w:t>alysis</w:t>
      </w:r>
      <w:proofErr w:type="spellEnd"/>
      <w:r w:rsidRPr="0021178F">
        <w:rPr>
          <w:rFonts w:ascii="Times New Roman" w:hAnsi="Times New Roman" w:cs="Times New Roman"/>
          <w:sz w:val="24"/>
          <w:szCs w:val="24"/>
        </w:rPr>
        <w:t xml:space="preserve">) con rendimientos variables de escala y orientado a </w:t>
      </w:r>
      <w:r w:rsidRPr="0016075E">
        <w:rPr>
          <w:rFonts w:ascii="Times New Roman" w:hAnsi="Times New Roman" w:cs="Times New Roman"/>
          <w:i/>
          <w:sz w:val="24"/>
          <w:szCs w:val="24"/>
        </w:rPr>
        <w:t>inpu</w:t>
      </w:r>
      <w:r w:rsidR="0021178F">
        <w:rPr>
          <w:rFonts w:ascii="Times New Roman" w:hAnsi="Times New Roman" w:cs="Times New Roman"/>
          <w:i/>
          <w:sz w:val="24"/>
          <w:szCs w:val="24"/>
        </w:rPr>
        <w:t>ts</w:t>
      </w:r>
      <w:r w:rsidRPr="0021178F">
        <w:rPr>
          <w:rFonts w:ascii="Times New Roman" w:hAnsi="Times New Roman" w:cs="Times New Roman"/>
          <w:sz w:val="24"/>
          <w:szCs w:val="24"/>
        </w:rPr>
        <w:t xml:space="preserve"> en su versión envolvente es:</w:t>
      </w: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  <w:r w:rsidRPr="0021178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113567</wp:posOffset>
            </wp:positionH>
            <wp:positionV relativeFrom="paragraph">
              <wp:posOffset>1904</wp:posOffset>
            </wp:positionV>
            <wp:extent cx="1542464" cy="1990387"/>
            <wp:effectExtent l="19050" t="0" r="586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4" t="28719" r="56844" b="1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27" cy="19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78F">
        <w:rPr>
          <w:rFonts w:ascii="Times New Roman" w:hAnsi="Times New Roman" w:cs="Times New Roman"/>
          <w:sz w:val="24"/>
          <w:szCs w:val="24"/>
        </w:rPr>
        <w:t xml:space="preserve">Este programa de optimización está formado por un vector de </w:t>
      </w:r>
      <w:r w:rsidRPr="0016075E">
        <w:rPr>
          <w:rFonts w:ascii="Times New Roman" w:hAnsi="Times New Roman" w:cs="Times New Roman"/>
          <w:i/>
          <w:sz w:val="24"/>
          <w:szCs w:val="24"/>
        </w:rPr>
        <w:t>n</w:t>
      </w:r>
      <w:r w:rsidRPr="0021178F">
        <w:rPr>
          <w:rFonts w:ascii="Times New Roman" w:hAnsi="Times New Roman" w:cs="Times New Roman"/>
          <w:sz w:val="24"/>
          <w:szCs w:val="24"/>
        </w:rPr>
        <w:t xml:space="preserve"> hospitales constituido por </w:t>
      </w:r>
      <w:r w:rsidRPr="0016075E">
        <w:rPr>
          <w:rFonts w:ascii="Times New Roman" w:hAnsi="Times New Roman" w:cs="Times New Roman"/>
          <w:i/>
          <w:sz w:val="24"/>
          <w:szCs w:val="24"/>
        </w:rPr>
        <w:t>m</w:t>
      </w:r>
      <w:r w:rsidRPr="0021178F">
        <w:rPr>
          <w:rFonts w:ascii="Times New Roman" w:hAnsi="Times New Roman" w:cs="Times New Roman"/>
          <w:sz w:val="24"/>
          <w:szCs w:val="24"/>
        </w:rPr>
        <w:t xml:space="preserve"> </w:t>
      </w:r>
      <w:r w:rsidRPr="0016075E">
        <w:rPr>
          <w:rFonts w:ascii="Times New Roman" w:hAnsi="Times New Roman" w:cs="Times New Roman"/>
          <w:i/>
          <w:sz w:val="24"/>
          <w:szCs w:val="24"/>
        </w:rPr>
        <w:t>inputs</w:t>
      </w:r>
      <w:r w:rsidRPr="0021178F">
        <w:rPr>
          <w:rFonts w:ascii="Times New Roman" w:hAnsi="Times New Roman" w:cs="Times New Roman"/>
          <w:sz w:val="24"/>
          <w:szCs w:val="24"/>
        </w:rPr>
        <w:t xml:space="preserve"> y </w:t>
      </w:r>
      <w:r w:rsidRPr="0016075E">
        <w:rPr>
          <w:rFonts w:ascii="Times New Roman" w:hAnsi="Times New Roman" w:cs="Times New Roman"/>
          <w:i/>
          <w:sz w:val="24"/>
          <w:szCs w:val="24"/>
        </w:rPr>
        <w:t>r outputs,</w:t>
      </w:r>
      <w:r w:rsidRPr="0021178F">
        <w:rPr>
          <w:rFonts w:ascii="Times New Roman" w:hAnsi="Times New Roman" w:cs="Times New Roman"/>
          <w:sz w:val="24"/>
          <w:szCs w:val="24"/>
        </w:rPr>
        <w:t xml:space="preserve"> de forma que:</w:t>
      </w: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  <w:r w:rsidRPr="0021178F">
        <w:rPr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22127</wp:posOffset>
            </wp:positionH>
            <wp:positionV relativeFrom="paragraph">
              <wp:posOffset>36293</wp:posOffset>
            </wp:positionV>
            <wp:extent cx="3814226" cy="1259058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78" t="47441" r="24055" b="1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51" cy="125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78F">
        <w:rPr>
          <w:rFonts w:ascii="Times New Roman" w:hAnsi="Times New Roman" w:cs="Times New Roman"/>
          <w:sz w:val="24"/>
          <w:szCs w:val="24"/>
        </w:rPr>
        <w:t xml:space="preserve">La formulación analítica del DEA con rendimientos constantes de escala se obtiene eliminando la restricción: </w:t>
      </w: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  <w:r w:rsidRPr="0021178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117475</wp:posOffset>
            </wp:positionV>
            <wp:extent cx="1390015" cy="46799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191" r="26466" b="32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C1F" w:rsidRPr="0021178F" w:rsidRDefault="009D6C1F" w:rsidP="0021178F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625678" w:rsidRPr="0021178F" w:rsidRDefault="00625678" w:rsidP="0021178F">
      <w:pPr>
        <w:spacing w:line="360" w:lineRule="auto"/>
        <w:jc w:val="both"/>
        <w:rPr>
          <w:sz w:val="24"/>
          <w:szCs w:val="24"/>
        </w:rPr>
      </w:pPr>
      <w:r w:rsidRPr="0021178F">
        <w:rPr>
          <w:sz w:val="24"/>
          <w:szCs w:val="24"/>
        </w:rPr>
        <w:br w:type="page"/>
      </w:r>
    </w:p>
    <w:p w:rsidR="0021178F" w:rsidRPr="0016075E" w:rsidRDefault="00625678" w:rsidP="00211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75E">
        <w:rPr>
          <w:rFonts w:ascii="Times New Roman" w:hAnsi="Times New Roman" w:cs="Times New Roman"/>
          <w:b/>
          <w:sz w:val="24"/>
          <w:szCs w:val="24"/>
        </w:rPr>
        <w:lastRenderedPageBreak/>
        <w:t>Apéndice B</w:t>
      </w:r>
    </w:p>
    <w:p w:rsidR="00625678" w:rsidRPr="0021178F" w:rsidRDefault="00625678" w:rsidP="00211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8F">
        <w:rPr>
          <w:rFonts w:ascii="Times New Roman" w:hAnsi="Times New Roman" w:cs="Times New Roman"/>
          <w:b/>
          <w:sz w:val="24"/>
          <w:szCs w:val="24"/>
        </w:rPr>
        <w:t>Formulación analítica del modelo de regresión multinivel</w:t>
      </w:r>
    </w:p>
    <w:p w:rsidR="00A07BA6" w:rsidRPr="0021178F" w:rsidRDefault="00A07BA6" w:rsidP="00211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78" w:rsidRPr="0021178F" w:rsidRDefault="00625678" w:rsidP="0021178F">
      <w:pPr>
        <w:pStyle w:val="Normal0"/>
        <w:spacing w:before="0" w:after="0"/>
        <w:ind w:firstLine="284"/>
        <w:rPr>
          <w:rFonts w:ascii="Times New Roman" w:hAnsi="Times New Roman"/>
          <w:sz w:val="24"/>
          <w:szCs w:val="24"/>
        </w:rPr>
      </w:pPr>
      <w:r w:rsidRPr="0021178F">
        <w:rPr>
          <w:rFonts w:ascii="Times New Roman" w:hAnsi="Times New Roman"/>
          <w:sz w:val="24"/>
          <w:szCs w:val="24"/>
        </w:rPr>
        <w:t xml:space="preserve">Para identificar los factores relacionados con la eficiencia técnica, se formula una regresión lineal multinivel con efectos fijos, en </w:t>
      </w:r>
      <w:r w:rsidR="0021178F">
        <w:rPr>
          <w:rFonts w:ascii="Times New Roman" w:hAnsi="Times New Roman"/>
          <w:sz w:val="24"/>
          <w:szCs w:val="24"/>
        </w:rPr>
        <w:t>la</w:t>
      </w:r>
      <w:r w:rsidR="0021178F" w:rsidRPr="0021178F">
        <w:rPr>
          <w:rFonts w:ascii="Times New Roman" w:hAnsi="Times New Roman"/>
          <w:sz w:val="24"/>
          <w:szCs w:val="24"/>
        </w:rPr>
        <w:t xml:space="preserve"> </w:t>
      </w:r>
      <w:r w:rsidRPr="0021178F">
        <w:rPr>
          <w:rFonts w:ascii="Times New Roman" w:hAnsi="Times New Roman"/>
          <w:sz w:val="24"/>
          <w:szCs w:val="24"/>
        </w:rPr>
        <w:t xml:space="preserve">que los hospitales (nivel 1) están agrupados en </w:t>
      </w:r>
      <w:r w:rsidR="0021178F" w:rsidRPr="0021178F">
        <w:rPr>
          <w:rFonts w:ascii="Times New Roman" w:hAnsi="Times New Roman"/>
          <w:sz w:val="24"/>
          <w:szCs w:val="24"/>
        </w:rPr>
        <w:t xml:space="preserve">comunidades autónomas </w:t>
      </w:r>
      <w:r w:rsidRPr="0021178F">
        <w:rPr>
          <w:rFonts w:ascii="Times New Roman" w:hAnsi="Times New Roman"/>
          <w:sz w:val="24"/>
          <w:szCs w:val="24"/>
        </w:rPr>
        <w:t xml:space="preserve">(nivel 2). </w:t>
      </w:r>
    </w:p>
    <w:p w:rsidR="00625678" w:rsidRPr="0021178F" w:rsidRDefault="00625678" w:rsidP="0021178F">
      <w:pPr>
        <w:pStyle w:val="Normal0"/>
        <w:spacing w:before="0" w:after="0"/>
        <w:ind w:firstLine="284"/>
        <w:rPr>
          <w:rFonts w:ascii="Times New Roman" w:hAnsi="Times New Roman"/>
          <w:sz w:val="24"/>
          <w:szCs w:val="24"/>
        </w:rPr>
      </w:pPr>
      <w:r w:rsidRPr="0021178F">
        <w:rPr>
          <w:rFonts w:ascii="Times New Roman" w:hAnsi="Times New Roman"/>
          <w:sz w:val="24"/>
          <w:szCs w:val="24"/>
        </w:rPr>
        <w:t>El modelo jerárquico de dos niveles establece la relación:</w:t>
      </w:r>
    </w:p>
    <w:p w:rsidR="00625678" w:rsidRPr="0021178F" w:rsidRDefault="00625678" w:rsidP="0021178F">
      <w:pPr>
        <w:pStyle w:val="Normal0"/>
        <w:spacing w:before="0" w:after="0"/>
        <w:ind w:firstLine="284"/>
        <w:rPr>
          <w:rFonts w:ascii="Times New Roman" w:hAnsi="Times New Roman"/>
          <w:sz w:val="24"/>
          <w:szCs w:val="24"/>
        </w:rPr>
      </w:pPr>
    </w:p>
    <w:p w:rsidR="00625678" w:rsidRPr="0021178F" w:rsidRDefault="0049022B" w:rsidP="002117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89.85pt;margin-top:3.05pt;width:220.2pt;height:22pt;z-index:251669504">
            <v:imagedata r:id="rId8" o:title=""/>
          </v:shape>
          <o:OLEObject Type="Embed" ProgID="Equation.3" ShapeID="_x0000_s1034" DrawAspect="Content" ObjectID="_1673330576" r:id="rId9"/>
        </w:object>
      </w:r>
    </w:p>
    <w:p w:rsidR="00625678" w:rsidRPr="0021178F" w:rsidRDefault="00625678" w:rsidP="002117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5678" w:rsidRPr="0021178F" w:rsidRDefault="0021178F" w:rsidP="00160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5678" w:rsidRPr="0021178F">
        <w:rPr>
          <w:rFonts w:ascii="Times New Roman" w:hAnsi="Times New Roman" w:cs="Times New Roman"/>
          <w:sz w:val="24"/>
          <w:szCs w:val="24"/>
        </w:rPr>
        <w:t xml:space="preserve">onde </w:t>
      </w:r>
      <w:proofErr w:type="spellStart"/>
      <w:r w:rsidR="00625678" w:rsidRPr="0021178F">
        <w:rPr>
          <w:rFonts w:ascii="Times New Roman" w:hAnsi="Times New Roman" w:cs="Times New Roman"/>
          <w:i/>
          <w:sz w:val="24"/>
          <w:szCs w:val="24"/>
        </w:rPr>
        <w:t>Y</w:t>
      </w:r>
      <w:r w:rsidR="00625678" w:rsidRPr="0021178F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proofErr w:type="spellEnd"/>
      <w:r w:rsidR="00625678" w:rsidRPr="0021178F">
        <w:rPr>
          <w:rFonts w:ascii="Times New Roman" w:hAnsi="Times New Roman" w:cs="Times New Roman"/>
          <w:sz w:val="24"/>
          <w:szCs w:val="24"/>
        </w:rPr>
        <w:t xml:space="preserve"> es el valor de la variable respuesta para el hospital </w:t>
      </w:r>
      <w:r w:rsidR="00625678" w:rsidRPr="0021178F">
        <w:rPr>
          <w:rFonts w:ascii="Times New Roman" w:hAnsi="Times New Roman" w:cs="Times New Roman"/>
          <w:i/>
          <w:sz w:val="24"/>
          <w:szCs w:val="24"/>
        </w:rPr>
        <w:t>i</w:t>
      </w:r>
      <w:r w:rsidR="00625678" w:rsidRPr="0016075E">
        <w:rPr>
          <w:rFonts w:ascii="Times New Roman" w:hAnsi="Times New Roman" w:cs="Times New Roman"/>
          <w:i/>
          <w:sz w:val="24"/>
          <w:szCs w:val="24"/>
        </w:rPr>
        <w:t>,</w:t>
      </w:r>
      <w:r w:rsidR="00625678" w:rsidRPr="0021178F">
        <w:rPr>
          <w:rFonts w:ascii="Times New Roman" w:hAnsi="Times New Roman" w:cs="Times New Roman"/>
          <w:sz w:val="24"/>
          <w:szCs w:val="24"/>
        </w:rPr>
        <w:t xml:space="preserve"> perteneciente a la comunidad autónoma </w:t>
      </w:r>
      <w:r w:rsidR="00625678" w:rsidRPr="0021178F">
        <w:rPr>
          <w:rFonts w:ascii="Times New Roman" w:hAnsi="Times New Roman" w:cs="Times New Roman"/>
          <w:i/>
          <w:sz w:val="24"/>
          <w:szCs w:val="24"/>
        </w:rPr>
        <w:t>j</w:t>
      </w:r>
      <w:r w:rsidR="00625678" w:rsidRPr="0021178F">
        <w:rPr>
          <w:rFonts w:ascii="Times New Roman" w:hAnsi="Times New Roman" w:cs="Times New Roman"/>
          <w:sz w:val="24"/>
          <w:szCs w:val="24"/>
        </w:rPr>
        <w:t xml:space="preserve">. Esta variable es modelada como función lineal de las características del hospital de la comunidad autónoma, representadas por </w:t>
      </w:r>
      <w:r w:rsidR="00625678" w:rsidRPr="0021178F">
        <w:rPr>
          <w:rFonts w:ascii="Times New Roman" w:hAnsi="Times New Roman" w:cs="Times New Roman"/>
          <w:i/>
          <w:sz w:val="24"/>
          <w:szCs w:val="24"/>
        </w:rPr>
        <w:t>X</w:t>
      </w:r>
      <w:r w:rsidR="00625678" w:rsidRPr="0021178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625678" w:rsidRPr="0021178F">
        <w:rPr>
          <w:rFonts w:ascii="Times New Roman" w:hAnsi="Times New Roman" w:cs="Times New Roman"/>
          <w:i/>
          <w:sz w:val="24"/>
          <w:szCs w:val="24"/>
        </w:rPr>
        <w:t>,...,X</w:t>
      </w:r>
      <w:r w:rsidR="00625678" w:rsidRPr="0021178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="00625678" w:rsidRPr="0016075E">
        <w:rPr>
          <w:rFonts w:ascii="Times New Roman" w:hAnsi="Times New Roman" w:cs="Times New Roman"/>
          <w:i/>
          <w:sz w:val="24"/>
          <w:szCs w:val="24"/>
        </w:rPr>
        <w:t>,</w:t>
      </w:r>
      <w:r w:rsidR="00625678" w:rsidRPr="0021178F">
        <w:rPr>
          <w:rFonts w:ascii="Times New Roman" w:hAnsi="Times New Roman" w:cs="Times New Roman"/>
          <w:sz w:val="24"/>
          <w:szCs w:val="24"/>
        </w:rPr>
        <w:t xml:space="preserve"> y dos efectos aleatorios, uno correspondiente al segundo nivel </w:t>
      </w:r>
      <w:r w:rsidR="00625678" w:rsidRPr="0016075E">
        <w:rPr>
          <w:rFonts w:ascii="Times New Roman" w:hAnsi="Times New Roman" w:cs="Times New Roman"/>
          <w:i/>
          <w:sz w:val="24"/>
          <w:szCs w:val="24"/>
        </w:rPr>
        <w:t>(</w:t>
      </w:r>
      <w:r w:rsidR="00625678" w:rsidRPr="0021178F">
        <w:rPr>
          <w:rFonts w:ascii="Times New Roman" w:hAnsi="Times New Roman" w:cs="Times New Roman"/>
          <w:i/>
          <w:sz w:val="24"/>
          <w:szCs w:val="24"/>
        </w:rPr>
        <w:t>u</w:t>
      </w:r>
      <w:r w:rsidR="00625678" w:rsidRPr="0021178F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625678" w:rsidRPr="0016075E">
        <w:rPr>
          <w:rFonts w:ascii="Times New Roman" w:hAnsi="Times New Roman" w:cs="Times New Roman"/>
          <w:i/>
          <w:sz w:val="24"/>
          <w:szCs w:val="24"/>
        </w:rPr>
        <w:t>)</w:t>
      </w:r>
      <w:r w:rsidR="00625678" w:rsidRPr="0021178F">
        <w:rPr>
          <w:rFonts w:ascii="Times New Roman" w:hAnsi="Times New Roman" w:cs="Times New Roman"/>
          <w:sz w:val="24"/>
          <w:szCs w:val="24"/>
        </w:rPr>
        <w:t xml:space="preserve"> y otro al residual del primer nivel </w:t>
      </w:r>
      <w:r w:rsidR="00625678" w:rsidRPr="0016075E">
        <w:rPr>
          <w:rFonts w:ascii="Times New Roman" w:hAnsi="Times New Roman" w:cs="Times New Roman"/>
          <w:i/>
          <w:sz w:val="24"/>
          <w:szCs w:val="24"/>
        </w:rPr>
        <w:t>(</w:t>
      </w:r>
      <w:r w:rsidR="00625678" w:rsidRPr="0021178F">
        <w:rPr>
          <w:rFonts w:ascii="Times New Roman" w:hAnsi="Times New Roman" w:cs="Times New Roman"/>
          <w:i/>
          <w:sz w:val="24"/>
          <w:szCs w:val="24"/>
        </w:rPr>
        <w:t>e</w:t>
      </w:r>
      <w:r w:rsidR="00625678" w:rsidRPr="0021178F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="00625678" w:rsidRPr="0016075E">
        <w:rPr>
          <w:rFonts w:ascii="Times New Roman" w:hAnsi="Times New Roman" w:cs="Times New Roman"/>
          <w:i/>
          <w:sz w:val="24"/>
          <w:szCs w:val="24"/>
        </w:rPr>
        <w:t>).</w:t>
      </w:r>
      <w:r w:rsidR="00625678" w:rsidRPr="0021178F">
        <w:rPr>
          <w:rFonts w:ascii="Times New Roman" w:hAnsi="Times New Roman" w:cs="Times New Roman"/>
          <w:sz w:val="24"/>
          <w:szCs w:val="24"/>
        </w:rPr>
        <w:t xml:space="preserve"> Ambos componentes aleatorios se distribuyen según una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25678" w:rsidRPr="0021178F">
        <w:rPr>
          <w:rFonts w:ascii="Times New Roman" w:hAnsi="Times New Roman" w:cs="Times New Roman"/>
          <w:sz w:val="24"/>
          <w:szCs w:val="24"/>
        </w:rPr>
        <w:t xml:space="preserve">ormal de media cero y varianza </w:t>
      </w:r>
      <w:r w:rsidR="00625678" w:rsidRPr="0021178F">
        <w:rPr>
          <w:rFonts w:ascii="Times New Roman" w:hAnsi="Times New Roman" w:cs="Times New Roman"/>
          <w:sz w:val="24"/>
          <w:szCs w:val="24"/>
        </w:rPr>
        <w:sym w:font="Symbol" w:char="F073"/>
      </w:r>
      <w:r w:rsidR="00625678" w:rsidRPr="0021178F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625678" w:rsidRPr="002117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5678" w:rsidRPr="0021178F">
        <w:rPr>
          <w:rFonts w:ascii="Times New Roman" w:hAnsi="Times New Roman" w:cs="Times New Roman"/>
          <w:sz w:val="24"/>
          <w:szCs w:val="24"/>
        </w:rPr>
        <w:t xml:space="preserve"> y </w:t>
      </w:r>
      <w:r w:rsidR="00625678" w:rsidRPr="0021178F">
        <w:rPr>
          <w:rFonts w:ascii="Times New Roman" w:hAnsi="Times New Roman" w:cs="Times New Roman"/>
          <w:sz w:val="24"/>
          <w:szCs w:val="24"/>
        </w:rPr>
        <w:sym w:font="Symbol" w:char="F073"/>
      </w:r>
      <w:r w:rsidR="00625678" w:rsidRPr="0021178F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625678" w:rsidRPr="002117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5678" w:rsidRPr="0021178F">
        <w:rPr>
          <w:rFonts w:ascii="Times New Roman" w:hAnsi="Times New Roman" w:cs="Times New Roman"/>
          <w:sz w:val="24"/>
          <w:szCs w:val="24"/>
        </w:rPr>
        <w:t xml:space="preserve"> respectivamente. </w:t>
      </w:r>
    </w:p>
    <w:p w:rsidR="00625678" w:rsidRPr="0021178F" w:rsidRDefault="00625678" w:rsidP="00211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8F">
        <w:rPr>
          <w:rFonts w:ascii="Times New Roman" w:hAnsi="Times New Roman" w:cs="Times New Roman"/>
          <w:sz w:val="24"/>
          <w:szCs w:val="24"/>
        </w:rPr>
        <w:br w:type="page"/>
      </w:r>
    </w:p>
    <w:p w:rsidR="005A731A" w:rsidRPr="0021178F" w:rsidRDefault="005A731A" w:rsidP="0021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Tabla I</w:t>
      </w:r>
    </w:p>
    <w:p w:rsidR="005A731A" w:rsidRPr="0021178F" w:rsidRDefault="005A731A" w:rsidP="002117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Selección de variables </w:t>
      </w:r>
      <w:r w:rsidRPr="0021178F">
        <w:rPr>
          <w:rFonts w:ascii="Times New Roman" w:eastAsia="Times New Roman" w:hAnsi="Times New Roman" w:cs="Times New Roman"/>
          <w:i/>
          <w:sz w:val="24"/>
          <w:szCs w:val="24"/>
        </w:rPr>
        <w:t>input-output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 del modelo de análisis de eficiencia técnica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237"/>
      </w:tblGrid>
      <w:tr w:rsidR="0021178F" w:rsidRPr="0021178F" w:rsidTr="0049022B">
        <w:trPr>
          <w:jc w:val="center"/>
        </w:trPr>
        <w:tc>
          <w:tcPr>
            <w:tcW w:w="1101" w:type="dxa"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6237" w:type="dxa"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</w:tr>
      <w:tr w:rsidR="0021178F" w:rsidRPr="0021178F" w:rsidTr="0049022B">
        <w:trPr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Inputs</w:t>
            </w:r>
          </w:p>
        </w:tc>
        <w:tc>
          <w:tcPr>
            <w:tcW w:w="1701" w:type="dxa"/>
            <w:shd w:val="clear" w:color="auto" w:fill="auto"/>
          </w:tcPr>
          <w:p w:rsidR="00314A13" w:rsidRPr="0021178F" w:rsidRDefault="00314A13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Camas instaladas</w:t>
            </w:r>
          </w:p>
        </w:tc>
        <w:tc>
          <w:tcPr>
            <w:tcW w:w="6237" w:type="dxa"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la variable </w:t>
            </w:r>
            <w:r w:rsidRPr="00211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proxy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capital más utilizada en la literatura; recoge el promedio anual de la dotación instalada, independientemente de las que hayan estado realmente en funcionamiento o no durante todo el año</w:t>
            </w:r>
          </w:p>
        </w:tc>
      </w:tr>
      <w:tr w:rsidR="0021178F" w:rsidRPr="0021178F" w:rsidTr="0049022B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Compras y servicios exteriores adquiridos</w:t>
            </w:r>
          </w:p>
        </w:tc>
        <w:tc>
          <w:tcPr>
            <w:tcW w:w="6237" w:type="dxa"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Importe monetario del aprovisionamiento de los hospitales de bienes necesarios para la asistencia sanitaria (compras de productos farmacéuticos y material sanitario de consumo, servicios asistenciales externalizados y trabajos no asistenciales externalizados)</w:t>
            </w:r>
          </w:p>
        </w:tc>
      </w:tr>
      <w:tr w:rsidR="0021178F" w:rsidRPr="0021178F" w:rsidTr="0049022B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A13" w:rsidRPr="0021178F" w:rsidRDefault="00314A13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13" w:rsidRPr="0021178F" w:rsidRDefault="00314A13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6237" w:type="dxa"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Profesionales contratados en el centro hospitalario, estructurándose este recurso en tres </w:t>
            </w:r>
            <w:r w:rsidRPr="001607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inputs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diferenciados: personal facultativo, otro personal sanitario y personal no sanitario</w:t>
            </w:r>
            <w:r w:rsid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; 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incluye tanto a profesionales contratados a tiempo completo como a tiempo parcial (considerando tiempo parcial </w:t>
            </w:r>
            <w:r w:rsid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 w:rsidR="0021178F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50%)</w:t>
            </w:r>
            <w:r w:rsid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; 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e excluye el personal en formación y el personal colaborador</w:t>
            </w:r>
          </w:p>
        </w:tc>
      </w:tr>
      <w:tr w:rsidR="0021178F" w:rsidRPr="0021178F" w:rsidTr="0049022B">
        <w:trPr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Outputs</w:t>
            </w:r>
          </w:p>
        </w:tc>
        <w:tc>
          <w:tcPr>
            <w:tcW w:w="1701" w:type="dxa"/>
            <w:shd w:val="clear" w:color="auto" w:fill="auto"/>
          </w:tcPr>
          <w:p w:rsidR="00314A13" w:rsidRPr="0021178F" w:rsidRDefault="00314A13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Altas totales ajustadas por casuística</w:t>
            </w:r>
          </w:p>
        </w:tc>
        <w:tc>
          <w:tcPr>
            <w:tcW w:w="6237" w:type="dxa"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Altas hospitalarias ponderadas por su complejidad a través del </w:t>
            </w:r>
            <w:r w:rsidR="0021178F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índice de casuística (también denominado peso 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o </w:t>
            </w:r>
            <w:r w:rsidRPr="001607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case-mix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que se define como la media ponderada de los pesos de los </w:t>
            </w:r>
            <w:r w:rsidR="0021178F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grupo</w:t>
            </w:r>
            <w:r w:rsid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1178F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relacionado</w:t>
            </w:r>
            <w:r w:rsid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1178F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 el diagnóstico</w:t>
            </w:r>
            <w:r w:rsidR="0021178F" w:rsidRPr="0021178F" w:rsidDel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de todos los pacientes de un determinado hospital</w:t>
            </w:r>
            <w:r w:rsid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; 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calcula multiplicando el número de casos de cada </w:t>
            </w:r>
            <w:r w:rsidR="0021178F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grupo relacionado por el diagnóstico</w:t>
            </w:r>
            <w:r w:rsidR="0021178F" w:rsidRPr="0021178F" w:rsidDel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 su peso (pesos españoles) y dividiendo por el número total de casos del hospital </w:t>
            </w:r>
          </w:p>
        </w:tc>
      </w:tr>
      <w:tr w:rsidR="0021178F" w:rsidRPr="0021178F" w:rsidTr="0049022B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A13" w:rsidRPr="0021178F" w:rsidRDefault="00314A13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Consultas externas</w:t>
            </w:r>
          </w:p>
        </w:tc>
        <w:tc>
          <w:tcPr>
            <w:tcW w:w="6237" w:type="dxa"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Actos médicos realizados de forma ambulatoria para el diagnóstico, </w:t>
            </w:r>
            <w:r w:rsid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tratamiento o </w:t>
            </w:r>
            <w:r w:rsid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seguimiento del paciente. Esta variable integra tanto las consultas externas atendidas en el propio hospital como en sus centros periféricos de especialidades</w:t>
            </w:r>
          </w:p>
        </w:tc>
      </w:tr>
      <w:tr w:rsidR="0021178F" w:rsidRPr="0021178F" w:rsidTr="0049022B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A13" w:rsidRPr="0021178F" w:rsidRDefault="00314A13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13" w:rsidRPr="0021178F" w:rsidRDefault="00314A13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Urgencias no ingresadas</w:t>
            </w:r>
          </w:p>
        </w:tc>
        <w:tc>
          <w:tcPr>
            <w:tcW w:w="6237" w:type="dxa"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Casos de pacientes atendidos en los servicios de urgencias hospitalarias que, tras ser atendidos, han sido dados de alta por no requerir ingreso</w:t>
            </w:r>
            <w:r w:rsid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; a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simismo</w:t>
            </w:r>
            <w:r w:rsid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 variable integra las urgencias atendidas que derivaron en alta voluntaria del paciente, traslado a otro centro sanitario o fallecimiento en el propio servicio</w:t>
            </w:r>
          </w:p>
        </w:tc>
      </w:tr>
      <w:tr w:rsidR="0021178F" w:rsidRPr="0021178F" w:rsidTr="0049022B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A13" w:rsidRPr="0021178F" w:rsidRDefault="00314A13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Procedimientos de cirugía mayor ambulatoria</w:t>
            </w:r>
          </w:p>
        </w:tc>
        <w:tc>
          <w:tcPr>
            <w:tcW w:w="6237" w:type="dxa"/>
            <w:shd w:val="clear" w:color="auto" w:fill="auto"/>
          </w:tcPr>
          <w:p w:rsidR="005A731A" w:rsidRPr="0021178F" w:rsidRDefault="005A731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Procesos subsidiarios de cirugía realizada con anestesia general, local, regional o sedación que no necesitan ingreso hospitalario al considerarse suficiente unos cuidados posoperatorios poco intensivos y de corta duración, de forma que </w:t>
            </w:r>
            <w:r w:rsidR="0021178F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alta 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tiene lugar en pocas horas</w:t>
            </w:r>
            <w:r w:rsid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; c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omprende tanto la </w:t>
            </w:r>
            <w:r w:rsidR="0021178F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cirugía mayor ambulatoria 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programada como la urgente</w:t>
            </w:r>
          </w:p>
        </w:tc>
      </w:tr>
    </w:tbl>
    <w:p w:rsidR="005A731A" w:rsidRPr="0021178F" w:rsidRDefault="005A731A" w:rsidP="0021178F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sz w:val="24"/>
          <w:szCs w:val="24"/>
        </w:rPr>
        <w:t>Fuente: elaboración propia.</w:t>
      </w:r>
    </w:p>
    <w:p w:rsidR="005A731A" w:rsidRPr="0021178F" w:rsidRDefault="005A731A" w:rsidP="0021178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678" w:rsidRPr="0021178F" w:rsidRDefault="00625678" w:rsidP="002117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5678" w:rsidRPr="0021178F" w:rsidRDefault="00625678" w:rsidP="00211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8F">
        <w:rPr>
          <w:rFonts w:ascii="Times New Roman" w:hAnsi="Times New Roman" w:cs="Times New Roman"/>
          <w:sz w:val="24"/>
          <w:szCs w:val="24"/>
        </w:rPr>
        <w:br w:type="page"/>
      </w:r>
    </w:p>
    <w:p w:rsidR="007668E4" w:rsidRPr="0021178F" w:rsidRDefault="007668E4" w:rsidP="0021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Tabla II</w:t>
      </w:r>
    </w:p>
    <w:p w:rsidR="007668E4" w:rsidRPr="0021178F" w:rsidRDefault="007668E4" w:rsidP="0021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Variables </w:t>
      </w:r>
      <w:r w:rsidRPr="0021178F">
        <w:rPr>
          <w:rFonts w:ascii="Times New Roman" w:eastAsia="Times New Roman" w:hAnsi="Times New Roman" w:cs="Times New Roman"/>
          <w:i/>
          <w:sz w:val="24"/>
          <w:szCs w:val="24"/>
        </w:rPr>
        <w:t>input-output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 de los hospitales generales del Sistema Nacional de Salud español</w:t>
      </w:r>
      <w:r w:rsidR="002117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>2010-2012</w:t>
      </w:r>
      <w:r w:rsidR="002117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8E4" w:rsidRPr="0021178F" w:rsidRDefault="007668E4" w:rsidP="0021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0" w:type="dxa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985"/>
        <w:gridCol w:w="1220"/>
        <w:gridCol w:w="1220"/>
        <w:gridCol w:w="1220"/>
        <w:gridCol w:w="1234"/>
        <w:gridCol w:w="1220"/>
        <w:gridCol w:w="1220"/>
        <w:gridCol w:w="1220"/>
      </w:tblGrid>
      <w:tr w:rsidR="0021178F" w:rsidRPr="0021178F" w:rsidTr="00F12A0F">
        <w:trPr>
          <w:trHeight w:val="36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shd w:val="clear" w:color="auto" w:fill="auto"/>
            <w:noWrap/>
            <w:vAlign w:val="bottom"/>
            <w:hideMark/>
          </w:tcPr>
          <w:p w:rsidR="007668E4" w:rsidRPr="0016075E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16075E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Variación</w:t>
            </w:r>
            <w:r w:rsidRPr="001607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16075E" w:rsidDel="00582F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120" w:type="dxa"/>
            <w:gridSpan w:val="3"/>
            <w:shd w:val="clear" w:color="auto" w:fill="auto"/>
            <w:noWrap/>
            <w:vAlign w:val="bottom"/>
            <w:hideMark/>
          </w:tcPr>
          <w:p w:rsidR="007668E4" w:rsidRPr="0016075E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Desviación estándar</w:t>
            </w:r>
          </w:p>
        </w:tc>
      </w:tr>
      <w:tr w:rsidR="0021178F" w:rsidRPr="0021178F" w:rsidTr="00F12A0F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1178F" w:rsidRPr="0021178F" w:rsidTr="00F12A0F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668E4" w:rsidRPr="0021178F" w:rsidRDefault="001922BE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7668E4" w:rsidRPr="00211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Inputs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78F" w:rsidRPr="0021178F" w:rsidTr="00F12A0F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Camas instaladas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412,10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411,17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405,04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-1,71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345,01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341,94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333,14</w:t>
            </w:r>
          </w:p>
        </w:tc>
      </w:tr>
      <w:tr w:rsidR="0021178F" w:rsidRPr="0021178F" w:rsidTr="00F12A0F">
        <w:trPr>
          <w:trHeight w:val="37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facultativo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290,53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291,19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-0,87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235,12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241,01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232,08</w:t>
            </w:r>
          </w:p>
        </w:tc>
      </w:tr>
      <w:tr w:rsidR="0021178F" w:rsidRPr="0021178F" w:rsidTr="00F12A0F">
        <w:trPr>
          <w:trHeight w:val="37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Otro personal sanitario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1.424,55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1.387,15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1.339,12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-6,00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1.314,40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1.293,53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1.239,48</w:t>
            </w:r>
          </w:p>
        </w:tc>
      </w:tr>
      <w:tr w:rsidR="0021178F" w:rsidRPr="0021178F" w:rsidTr="00F12A0F">
        <w:trPr>
          <w:trHeight w:val="37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no sanitario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435,76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429,30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410,46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-5,81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442,27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440,57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405,56</w:t>
            </w:r>
          </w:p>
        </w:tc>
      </w:tr>
      <w:tr w:rsidR="0021178F" w:rsidRPr="0021178F" w:rsidTr="00F12A0F">
        <w:trPr>
          <w:trHeight w:val="37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Compras y servicios exteriores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51.916,23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54.256,62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55.120,09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49.689,19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53.112,82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53.217,49</w:t>
            </w:r>
          </w:p>
        </w:tc>
      </w:tr>
      <w:tr w:rsidR="0021178F" w:rsidRPr="0021178F" w:rsidTr="00F12A0F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668E4" w:rsidRPr="0021178F" w:rsidRDefault="001922BE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7668E4" w:rsidRPr="00211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Outputs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78F" w:rsidRPr="0021178F" w:rsidTr="00F12A0F">
        <w:trPr>
          <w:trHeight w:val="37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Altas totales ajustadas por casuística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15.542,23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15.554,50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15.537,44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-0,03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13.774,37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13.666,87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13.656,19</w:t>
            </w:r>
          </w:p>
        </w:tc>
      </w:tr>
      <w:tr w:rsidR="0021178F" w:rsidRPr="0021178F" w:rsidTr="00F12A0F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Consultas externas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290.880,27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295.460,60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291.776,89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223.693,08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222.401,22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217.721,86</w:t>
            </w:r>
          </w:p>
        </w:tc>
      </w:tr>
      <w:tr w:rsidR="0021178F" w:rsidRPr="0021178F" w:rsidTr="00F12A0F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Urgencias no ingresadas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71.438,40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72.023,20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68.477,03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-4,15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50.154,27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50.129,06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47.501,09</w:t>
            </w:r>
          </w:p>
        </w:tc>
      </w:tr>
      <w:tr w:rsidR="0021178F" w:rsidRPr="0021178F" w:rsidTr="00F12A0F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Procedimientos de </w:t>
            </w:r>
            <w:r w:rsidR="0021178F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cirugía mayor ambulatoria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3.829,22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3.962,86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4.114,90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3.117,22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3.218,28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3.310,22</w:t>
            </w:r>
          </w:p>
        </w:tc>
      </w:tr>
    </w:tbl>
    <w:p w:rsidR="007668E4" w:rsidRPr="0021178F" w:rsidRDefault="007668E4" w:rsidP="0021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8E4" w:rsidRPr="0021178F" w:rsidRDefault="007668E4" w:rsidP="0021178F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sz w:val="24"/>
          <w:szCs w:val="24"/>
        </w:rPr>
        <w:t>a Porcentaje de variación 2010-2012.</w:t>
      </w:r>
    </w:p>
    <w:p w:rsidR="007668E4" w:rsidRPr="0021178F" w:rsidRDefault="007668E4" w:rsidP="0021178F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b Incluye </w:t>
      </w:r>
      <w:r w:rsidR="0021178F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número de profesionales a tiempo completo y </w:t>
      </w:r>
      <w:r w:rsidR="0021178F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número de profesionales a tiempo parcial (considerando la jornada laboral a tiempo parcial </w:t>
      </w:r>
      <w:r w:rsidR="0021178F">
        <w:rPr>
          <w:rFonts w:ascii="Times New Roman" w:eastAsia="Times New Roman" w:hAnsi="Times New Roman" w:cs="Times New Roman"/>
          <w:sz w:val="24"/>
          <w:szCs w:val="24"/>
        </w:rPr>
        <w:t>el</w:t>
      </w:r>
      <w:r w:rsidR="0021178F" w:rsidRPr="0021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>50%).</w:t>
      </w:r>
    </w:p>
    <w:p w:rsidR="007668E4" w:rsidRPr="0021178F" w:rsidRDefault="007668E4" w:rsidP="0021178F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sz w:val="24"/>
          <w:szCs w:val="24"/>
        </w:rPr>
        <w:t>c Miles de euros.</w:t>
      </w:r>
    </w:p>
    <w:p w:rsidR="007668E4" w:rsidRDefault="007668E4" w:rsidP="0021178F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d Las altas hospitalarias se han ajustado aplicando el peso español medio (también denominado índice de </w:t>
      </w:r>
      <w:r w:rsidRPr="0016075E">
        <w:rPr>
          <w:rFonts w:ascii="Times New Roman" w:eastAsia="Times New Roman" w:hAnsi="Times New Roman" w:cs="Times New Roman"/>
          <w:i/>
          <w:sz w:val="24"/>
          <w:szCs w:val="24"/>
        </w:rPr>
        <w:t>case-mix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 o índice de casuística). El peso medio se define como 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media ponderada de los pesos de los </w:t>
      </w:r>
      <w:r w:rsidR="0021178F" w:rsidRPr="0021178F">
        <w:rPr>
          <w:rFonts w:ascii="Times New Roman" w:eastAsia="Times New Roman" w:hAnsi="Times New Roman" w:cs="Times New Roman"/>
          <w:sz w:val="24"/>
          <w:szCs w:val="24"/>
        </w:rPr>
        <w:t xml:space="preserve">grupos relacionados por el diagnóstico 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>de todos los pacientes de una determinada unidad, grupo o proveedor.</w:t>
      </w:r>
    </w:p>
    <w:p w:rsidR="0021178F" w:rsidRPr="0021178F" w:rsidRDefault="0021178F" w:rsidP="0021178F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Nota: s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e incluyen los hospitales de dependencia pública,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>hospitales administrados o financiados en su mayor parte por las administraciones públicas,</w:t>
      </w:r>
      <w:r w:rsidR="00192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>los hospitales de dependencia privada pertenecientes a la Red de Utilización Pública (XHUP) en Cataluña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 y además las entidades de dependencia privada que mantienen un concierto sustitutorio, lo que implica que el centro presta toda su oferta asistencial a una población asignada perteneciente al S</w:t>
      </w:r>
      <w:r>
        <w:rPr>
          <w:rFonts w:ascii="Times New Roman" w:eastAsia="Times New Roman" w:hAnsi="Times New Roman" w:cs="Times New Roman"/>
          <w:sz w:val="24"/>
          <w:szCs w:val="24"/>
        </w:rPr>
        <w:t>istema Nacional de Salud,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 xml:space="preserve"> y donde gran parte de su actividad proviene de este contrato.</w:t>
      </w:r>
    </w:p>
    <w:p w:rsidR="007668E4" w:rsidRPr="0021178F" w:rsidRDefault="007668E4" w:rsidP="0021178F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sz w:val="24"/>
          <w:szCs w:val="24"/>
        </w:rPr>
        <w:t>Fuente: elaboración propia a partir de las fuentes de información SIAE y CMBD-H, Ministerio de Sanidad, Servicios Sociales e Igualdad</w:t>
      </w:r>
      <w:r w:rsidR="002117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178F">
        <w:rPr>
          <w:rFonts w:ascii="Times New Roman" w:eastAsia="Times New Roman" w:hAnsi="Times New Roman" w:cs="Times New Roman"/>
          <w:sz w:val="24"/>
          <w:szCs w:val="24"/>
        </w:rPr>
        <w:t>Gobierno de España.</w:t>
      </w:r>
    </w:p>
    <w:p w:rsidR="007668E4" w:rsidRPr="0021178F" w:rsidRDefault="007668E4" w:rsidP="0021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678" w:rsidRPr="0021178F" w:rsidRDefault="00625678" w:rsidP="002117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5678" w:rsidRPr="0021178F" w:rsidRDefault="00625678" w:rsidP="00211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8F">
        <w:rPr>
          <w:rFonts w:ascii="Times New Roman" w:hAnsi="Times New Roman" w:cs="Times New Roman"/>
          <w:sz w:val="24"/>
          <w:szCs w:val="24"/>
        </w:rPr>
        <w:br w:type="page"/>
      </w:r>
    </w:p>
    <w:p w:rsidR="005A731A" w:rsidRPr="0021178F" w:rsidRDefault="005A731A" w:rsidP="00211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8F">
        <w:rPr>
          <w:rFonts w:ascii="Times New Roman" w:hAnsi="Times New Roman" w:cs="Times New Roman"/>
          <w:b/>
          <w:sz w:val="24"/>
          <w:szCs w:val="24"/>
        </w:rPr>
        <w:lastRenderedPageBreak/>
        <w:t>Tabla III</w:t>
      </w:r>
    </w:p>
    <w:p w:rsidR="005A731A" w:rsidRPr="0021178F" w:rsidRDefault="005A731A" w:rsidP="00211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8F">
        <w:rPr>
          <w:rFonts w:ascii="Times New Roman" w:hAnsi="Times New Roman" w:cs="Times New Roman"/>
          <w:sz w:val="24"/>
          <w:szCs w:val="24"/>
        </w:rPr>
        <w:t>Construcción de</w:t>
      </w:r>
      <w:r w:rsidR="0021178F">
        <w:rPr>
          <w:rFonts w:ascii="Times New Roman" w:hAnsi="Times New Roman" w:cs="Times New Roman"/>
          <w:sz w:val="24"/>
          <w:szCs w:val="24"/>
        </w:rPr>
        <w:t>l</w:t>
      </w:r>
      <w:r w:rsidRPr="0021178F">
        <w:rPr>
          <w:rFonts w:ascii="Times New Roman" w:hAnsi="Times New Roman" w:cs="Times New Roman"/>
          <w:sz w:val="24"/>
          <w:szCs w:val="24"/>
        </w:rPr>
        <w:t xml:space="preserve"> modelo base y modelos alternativos</w:t>
      </w:r>
    </w:p>
    <w:tbl>
      <w:tblPr>
        <w:tblW w:w="95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926"/>
        <w:gridCol w:w="850"/>
        <w:gridCol w:w="851"/>
        <w:gridCol w:w="850"/>
        <w:gridCol w:w="851"/>
        <w:gridCol w:w="850"/>
      </w:tblGrid>
      <w:tr w:rsidR="0021178F" w:rsidRPr="0021178F" w:rsidTr="00314A13">
        <w:trPr>
          <w:trHeight w:val="562"/>
          <w:jc w:val="center"/>
        </w:trPr>
        <w:tc>
          <w:tcPr>
            <w:tcW w:w="4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31A" w:rsidRPr="0016075E" w:rsidRDefault="005A731A" w:rsidP="0021178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5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Modelo </w:t>
            </w:r>
            <w:r w:rsidR="0021178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b</w:t>
            </w:r>
            <w:r w:rsidRPr="0016075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ase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31A" w:rsidRPr="0016075E" w:rsidRDefault="005A731A" w:rsidP="0021178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5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Modelo 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31A" w:rsidRPr="0016075E" w:rsidRDefault="005A731A" w:rsidP="0021178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5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Modelo 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31A" w:rsidRPr="0016075E" w:rsidRDefault="005A731A" w:rsidP="0021178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5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Modelo 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31A" w:rsidRPr="0016075E" w:rsidRDefault="005A731A" w:rsidP="0021178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5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Modelo 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31A" w:rsidRPr="0016075E" w:rsidRDefault="005A731A" w:rsidP="0021178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5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Modelo 5</w:t>
            </w:r>
          </w:p>
        </w:tc>
      </w:tr>
      <w:tr w:rsidR="0021178F" w:rsidRPr="0021178F" w:rsidTr="00314A13">
        <w:trPr>
          <w:trHeight w:val="1313"/>
          <w:jc w:val="center"/>
        </w:trPr>
        <w:tc>
          <w:tcPr>
            <w:tcW w:w="4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>Inputs</w:t>
            </w:r>
          </w:p>
          <w:p w:rsidR="005A731A" w:rsidRPr="0021178F" w:rsidRDefault="001922BE" w:rsidP="0021178F">
            <w:pPr>
              <w:spacing w:after="0" w:line="360" w:lineRule="auto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Camas instaladas</w:t>
            </w:r>
          </w:p>
          <w:p w:rsidR="005A731A" w:rsidRPr="0021178F" w:rsidRDefault="001922BE" w:rsidP="0021178F">
            <w:pPr>
              <w:spacing w:after="0" w:line="360" w:lineRule="auto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Compras y servicios exteriores </w:t>
            </w:r>
          </w:p>
          <w:p w:rsidR="005A731A" w:rsidRPr="0021178F" w:rsidRDefault="001922BE" w:rsidP="0021178F">
            <w:pPr>
              <w:spacing w:after="0" w:line="360" w:lineRule="auto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Personal facultativo</w:t>
            </w:r>
          </w:p>
          <w:p w:rsidR="005A731A" w:rsidRPr="0021178F" w:rsidRDefault="001922BE" w:rsidP="0021178F">
            <w:pPr>
              <w:spacing w:after="0" w:line="360" w:lineRule="auto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Otro personal sanitario </w:t>
            </w:r>
          </w:p>
          <w:p w:rsidR="005A731A" w:rsidRPr="0021178F" w:rsidRDefault="001922BE" w:rsidP="0021178F">
            <w:pPr>
              <w:spacing w:after="0" w:line="360" w:lineRule="auto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Personal no sanitario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867AD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1905</wp:posOffset>
                      </wp:positionV>
                      <wp:extent cx="118745" cy="254635"/>
                      <wp:effectExtent l="0" t="0" r="0" b="0"/>
                      <wp:wrapNone/>
                      <wp:docPr id="2" name="9 Cerrar llav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25463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77AE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9 Cerrar llave" o:spid="_x0000_s1026" type="#_x0000_t88" style="position:absolute;margin-left:20.75pt;margin-top:.15pt;width:9.3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" adj="839" strokecolor="windowText"/>
                  </w:pict>
                </mc:Fallback>
              </mc:AlternateConten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867AD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151765</wp:posOffset>
                      </wp:positionV>
                      <wp:extent cx="118745" cy="374015"/>
                      <wp:effectExtent l="0" t="0" r="0" b="6985"/>
                      <wp:wrapNone/>
                      <wp:docPr id="1" name="8 Cerrar llav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37401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1CDE9" id="8 Cerrar llave" o:spid="_x0000_s1026" type="#_x0000_t88" style="position:absolute;margin-left:18.35pt;margin-top:11.95pt;width:9.35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" adj="571" strokecolor="black [3213]"/>
                  </w:pict>
                </mc:Fallback>
              </mc:AlternateConten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</w:tc>
      </w:tr>
      <w:tr w:rsidR="005A731A" w:rsidRPr="0021178F" w:rsidTr="00314A13">
        <w:trPr>
          <w:trHeight w:val="1205"/>
          <w:jc w:val="center"/>
        </w:trPr>
        <w:tc>
          <w:tcPr>
            <w:tcW w:w="4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>Outputs</w:t>
            </w:r>
          </w:p>
          <w:p w:rsidR="005A731A" w:rsidRPr="0021178F" w:rsidRDefault="001922BE" w:rsidP="0021178F">
            <w:pPr>
              <w:spacing w:after="0" w:line="360" w:lineRule="auto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Altas totales ajustadas</w:t>
            </w:r>
          </w:p>
          <w:p w:rsidR="005A731A" w:rsidRPr="0021178F" w:rsidRDefault="001922BE" w:rsidP="0021178F">
            <w:pPr>
              <w:spacing w:after="0" w:line="360" w:lineRule="auto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Consultas externas</w:t>
            </w:r>
          </w:p>
          <w:p w:rsidR="005A731A" w:rsidRPr="0021178F" w:rsidRDefault="001922BE" w:rsidP="0021178F">
            <w:pPr>
              <w:spacing w:after="0" w:line="360" w:lineRule="auto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Urgencias no ingresadas</w:t>
            </w:r>
          </w:p>
          <w:p w:rsidR="005A731A" w:rsidRPr="0021178F" w:rsidRDefault="001922BE" w:rsidP="0021178F">
            <w:pPr>
              <w:spacing w:after="0" w:line="360" w:lineRule="auto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Procedimientos de </w:t>
            </w:r>
            <w:r w:rsidR="0021178F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cirugía mayor ambu</w:t>
            </w:r>
            <w:r w:rsidR="005A731A"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latoria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X</w:t>
            </w:r>
          </w:p>
          <w:p w:rsidR="005A731A" w:rsidRPr="0021178F" w:rsidRDefault="005A731A" w:rsidP="0021178F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</w:tr>
    </w:tbl>
    <w:p w:rsidR="005A731A" w:rsidRPr="0021178F" w:rsidRDefault="005A731A" w:rsidP="0021178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07BA6" w:rsidRPr="0021178F" w:rsidRDefault="00A07BA6" w:rsidP="0021178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178F">
        <w:rPr>
          <w:rFonts w:ascii="Times New Roman" w:hAnsi="Times New Roman" w:cs="Times New Roman"/>
          <w:sz w:val="24"/>
          <w:szCs w:val="24"/>
        </w:rPr>
        <w:t>Nota: el guión y la llave indican, respectivamente, eliminación y agregación.</w:t>
      </w:r>
    </w:p>
    <w:p w:rsidR="005A731A" w:rsidRPr="0021178F" w:rsidRDefault="005A731A" w:rsidP="0021178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178F">
        <w:rPr>
          <w:rFonts w:ascii="Times New Roman" w:hAnsi="Times New Roman" w:cs="Times New Roman"/>
          <w:sz w:val="24"/>
          <w:szCs w:val="24"/>
        </w:rPr>
        <w:t>Fuente: elaboración propia.</w:t>
      </w:r>
    </w:p>
    <w:p w:rsidR="005A731A" w:rsidRPr="0021178F" w:rsidRDefault="005A731A" w:rsidP="00211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78F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7668E4" w:rsidRPr="0021178F" w:rsidRDefault="007668E4" w:rsidP="0021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Tabla I</w:t>
      </w:r>
      <w:r w:rsidR="00063B9B" w:rsidRPr="0021178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211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68E4" w:rsidRPr="0021178F" w:rsidRDefault="007668E4" w:rsidP="002117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sz w:val="24"/>
          <w:szCs w:val="24"/>
        </w:rPr>
        <w:t>Selección de variables hospitalarias y regionales del análisis de segunda etapa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6"/>
        <w:gridCol w:w="5241"/>
      </w:tblGrid>
      <w:tr w:rsidR="0021178F" w:rsidRPr="0021178F" w:rsidTr="0049022B">
        <w:trPr>
          <w:jc w:val="center"/>
        </w:trPr>
        <w:tc>
          <w:tcPr>
            <w:tcW w:w="1526" w:type="dxa"/>
            <w:shd w:val="clear" w:color="auto" w:fill="auto"/>
          </w:tcPr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689" w:type="dxa"/>
            <w:gridSpan w:val="2"/>
          </w:tcPr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5241" w:type="dxa"/>
            <w:shd w:val="clear" w:color="auto" w:fill="auto"/>
          </w:tcPr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</w:tr>
      <w:tr w:rsidR="0021178F" w:rsidRPr="0021178F" w:rsidTr="0049022B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Hospitalarias</w:t>
            </w:r>
          </w:p>
        </w:tc>
        <w:tc>
          <w:tcPr>
            <w:tcW w:w="3689" w:type="dxa"/>
            <w:gridSpan w:val="2"/>
          </w:tcPr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Dotación de alta tecnología</w:t>
            </w:r>
          </w:p>
        </w:tc>
        <w:tc>
          <w:tcPr>
            <w:tcW w:w="5241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Recoge el equipamiento de diagnóstico por imagen, radioterapia y otros equipos clasificados como tales, en funcionamiento tanto en el propio hospital como en los centros de especialidades de él dependientes </w:t>
            </w:r>
          </w:p>
        </w:tc>
      </w:tr>
      <w:tr w:rsidR="0021178F" w:rsidRPr="0021178F" w:rsidTr="0049022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en formación </w:t>
            </w:r>
          </w:p>
        </w:tc>
        <w:tc>
          <w:tcPr>
            <w:tcW w:w="5241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Incluye a médicos/as residentes (MIR)</w:t>
            </w:r>
            <w:r w:rsidR="001922BE">
              <w:rPr>
                <w:rFonts w:ascii="Times New Roman" w:eastAsia="Times New Roman" w:hAnsi="Times New Roman" w:cs="Times New Roman"/>
                <w:sz w:val="24"/>
                <w:szCs w:val="24"/>
              </w:rPr>
              <w:t>; 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e excluye de esta variable al resto de profesionales en periodo de formación: enfermería de posgrado, otros internos</w:t>
            </w:r>
            <w:r w:rsidR="001922BE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residentes (</w:t>
            </w:r>
            <w:r w:rsidR="001922BE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biólogos/as, químicos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/as, etc.) y otro personal en formación de posgrado </w:t>
            </w:r>
          </w:p>
        </w:tc>
      </w:tr>
      <w:tr w:rsidR="0021178F" w:rsidRPr="0021178F" w:rsidTr="0049022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Altas hospitalarias no financiadas por el Sistema Nacional de Salud</w:t>
            </w:r>
          </w:p>
        </w:tc>
        <w:tc>
          <w:tcPr>
            <w:tcW w:w="5241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Altas hospitalarias no financiadas por el </w:t>
            </w:r>
            <w:r w:rsidR="001922BE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Sistema Nacional de Salud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sujetas a las siguientes categorías de régimen económico: particulares, aseguradoras privadas, mutuas de funcionarios, otras entidades públicas, </w:t>
            </w:r>
            <w:r w:rsidR="001922BE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mutuas de accidente</w:t>
            </w:r>
            <w:r w:rsidR="001922B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922BE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trabajo y enfermedades profesionales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, convenios internacionales, accidentes de tráfico y otro régimen económico externo al Sistema Nacional de Salud</w:t>
            </w:r>
          </w:p>
        </w:tc>
      </w:tr>
      <w:tr w:rsidR="0021178F" w:rsidRPr="0021178F" w:rsidTr="0049022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Tipo de hospital</w:t>
            </w:r>
          </w:p>
        </w:tc>
        <w:tc>
          <w:tcPr>
            <w:tcW w:w="1846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Personalidad jurídica</w:t>
            </w:r>
          </w:p>
        </w:tc>
        <w:tc>
          <w:tcPr>
            <w:tcW w:w="5241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Diferenciación entre hospitales con y sin personalidad jurídica </w:t>
            </w:r>
          </w:p>
        </w:tc>
      </w:tr>
      <w:tr w:rsidR="0021178F" w:rsidRPr="0021178F" w:rsidTr="0049022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14A13" w:rsidRPr="0021178F" w:rsidRDefault="00314A13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13" w:rsidRPr="0021178F" w:rsidRDefault="00314A13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Forma de gestión</w:t>
            </w:r>
          </w:p>
        </w:tc>
        <w:tc>
          <w:tcPr>
            <w:tcW w:w="5241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recogen las siguientes formas de gestión: hospital público sin personalidad jurídica (hospital tradicional), concesión administrativa sanitaria, consorcio, ente de derecho público, ente de derecho público con PFI </w:t>
            </w:r>
            <w:r w:rsidR="001922BE" w:rsidRPr="001607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922BE" w:rsidRPr="00192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private </w:t>
            </w:r>
            <w:proofErr w:type="spellStart"/>
            <w:r w:rsidR="001922BE" w:rsidRPr="00192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finance</w:t>
            </w:r>
            <w:proofErr w:type="spellEnd"/>
            <w:r w:rsidR="001922BE" w:rsidRPr="00192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22BE" w:rsidRPr="00192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initiative</w:t>
            </w:r>
            <w:proofErr w:type="spellEnd"/>
            <w:r w:rsidR="001922BE" w:rsidRPr="001607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),</w:t>
            </w:r>
            <w:r w:rsidR="001922BE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fundación público</w:t>
            </w:r>
            <w:r w:rsidR="0019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sanitaria, hospital</w:t>
            </w:r>
            <w:r w:rsidR="001922BE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privados lucrativo</w:t>
            </w:r>
            <w:r w:rsidR="001922B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no lucrativo</w:t>
            </w:r>
            <w:r w:rsidR="001922B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1178F" w:rsidRPr="0021178F" w:rsidTr="0049022B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Regionales</w:t>
            </w:r>
          </w:p>
        </w:tc>
        <w:tc>
          <w:tcPr>
            <w:tcW w:w="1843" w:type="dxa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Geográfica</w:t>
            </w:r>
          </w:p>
        </w:tc>
        <w:tc>
          <w:tcPr>
            <w:tcW w:w="1846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Insularidad</w:t>
            </w:r>
          </w:p>
        </w:tc>
        <w:tc>
          <w:tcPr>
            <w:tcW w:w="5241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Condición de insularidad de la </w:t>
            </w:r>
            <w:r w:rsidR="001922BE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comunidad autón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 en la que se ubica el hospital general </w:t>
            </w:r>
          </w:p>
        </w:tc>
      </w:tr>
      <w:tr w:rsidR="0021178F" w:rsidRPr="0021178F" w:rsidTr="0049022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Económicas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Gasto per cápita en </w:t>
            </w:r>
            <w:r w:rsidR="001922B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ervicios </w:t>
            </w:r>
            <w:r w:rsidR="001922BE"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públicos fu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ndamentales </w:t>
            </w:r>
          </w:p>
        </w:tc>
        <w:tc>
          <w:tcPr>
            <w:tcW w:w="5241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Los servicios públicos fundamentales incluyen todas las actividades relacionadas con la prestación y la 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gestión de servicios de salud (asistencia primaria, especializada y hospitalaria, salud pública, investigación clínica), la prestación y la gestión de servicios educativos (infantil, primaria, secundaria, postsecundaria y superior, becas, servicios auxiliares de la educación) y la prestación y la gestión de los servicios de protección social (los derivados de enfermedad e incapacidad, edad avanzada, supervivientes, protección a la familia, desempleo, vivienda</w:t>
            </w:r>
            <w:r w:rsidR="0019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exclusión social)</w:t>
            </w:r>
          </w:p>
        </w:tc>
      </w:tr>
      <w:tr w:rsidR="0021178F" w:rsidRPr="0021178F" w:rsidTr="0049022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Renta media anual por hogar </w:t>
            </w:r>
          </w:p>
        </w:tc>
        <w:tc>
          <w:tcPr>
            <w:tcW w:w="5241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La renta anual neta media por hogar proporciona la correspondiente al año anterior al de realización de la entrevista</w:t>
            </w:r>
          </w:p>
        </w:tc>
      </w:tr>
      <w:tr w:rsidR="0021178F" w:rsidRPr="0021178F" w:rsidTr="0049022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Sociodemográfica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Índice de envejecimiento</w:t>
            </w:r>
          </w:p>
        </w:tc>
        <w:tc>
          <w:tcPr>
            <w:tcW w:w="5241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índice de envejecimiento recoge la estructura de población de la región, definido por el cociente entre el número de personas de 65 o más años y el número de personas menores de 15 años </w:t>
            </w:r>
          </w:p>
        </w:tc>
      </w:tr>
      <w:tr w:rsidR="0021178F" w:rsidRPr="0021178F" w:rsidTr="0049022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ADA" w:rsidRPr="0021178F" w:rsidRDefault="003D6ADA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Sanitaria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camas privadas respecto a la población</w:t>
            </w:r>
          </w:p>
        </w:tc>
        <w:tc>
          <w:tcPr>
            <w:tcW w:w="5241" w:type="dxa"/>
            <w:shd w:val="clear" w:color="auto" w:fill="auto"/>
          </w:tcPr>
          <w:p w:rsidR="007668E4" w:rsidRPr="0021178F" w:rsidRDefault="007668E4" w:rsidP="00211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8F"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camas instaladas en hospitales privados lucrativos y no lucrativos respecto al total de camas instaladas en hospitales públicos y privados de la región</w:t>
            </w:r>
          </w:p>
        </w:tc>
      </w:tr>
    </w:tbl>
    <w:bookmarkEnd w:id="0"/>
    <w:p w:rsidR="007668E4" w:rsidRPr="0021178F" w:rsidRDefault="007668E4" w:rsidP="0021178F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8F">
        <w:rPr>
          <w:rFonts w:ascii="Times New Roman" w:eastAsia="Times New Roman" w:hAnsi="Times New Roman" w:cs="Times New Roman"/>
          <w:sz w:val="24"/>
          <w:szCs w:val="24"/>
        </w:rPr>
        <w:t>Fuente: elaboración propia.</w:t>
      </w:r>
    </w:p>
    <w:sectPr w:rsidR="007668E4" w:rsidRPr="0021178F" w:rsidSect="00232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1F"/>
    <w:rsid w:val="00063B9B"/>
    <w:rsid w:val="001352A3"/>
    <w:rsid w:val="0016075E"/>
    <w:rsid w:val="001922BE"/>
    <w:rsid w:val="0021178F"/>
    <w:rsid w:val="0023233D"/>
    <w:rsid w:val="002A4E74"/>
    <w:rsid w:val="00314A13"/>
    <w:rsid w:val="00316C6D"/>
    <w:rsid w:val="003D6ADA"/>
    <w:rsid w:val="003E1D4B"/>
    <w:rsid w:val="00413B78"/>
    <w:rsid w:val="00462098"/>
    <w:rsid w:val="0049022B"/>
    <w:rsid w:val="005A731A"/>
    <w:rsid w:val="005F4320"/>
    <w:rsid w:val="00625678"/>
    <w:rsid w:val="007668E4"/>
    <w:rsid w:val="00867ADA"/>
    <w:rsid w:val="009A51FF"/>
    <w:rsid w:val="009D6C1F"/>
    <w:rsid w:val="00A07BA6"/>
    <w:rsid w:val="00CB685A"/>
    <w:rsid w:val="00D841E7"/>
    <w:rsid w:val="00E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740FAB1-EF0B-4C5F-8731-43675226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1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_Normal"/>
    <w:basedOn w:val="Normal"/>
    <w:link w:val="NormalCarCar"/>
    <w:rsid w:val="009D6C1F"/>
    <w:pPr>
      <w:spacing w:before="120" w:after="120" w:line="360" w:lineRule="auto"/>
      <w:jc w:val="both"/>
    </w:pPr>
    <w:rPr>
      <w:rFonts w:ascii="Calibri" w:eastAsia="Times New Roman" w:hAnsi="Calibri" w:cs="Times New Roman"/>
      <w:szCs w:val="20"/>
    </w:rPr>
  </w:style>
  <w:style w:type="character" w:customStyle="1" w:styleId="NormalCarCar">
    <w:name w:val="_Normal Car Car"/>
    <w:basedOn w:val="Fuentedeprrafopredeter"/>
    <w:link w:val="Normal0"/>
    <w:rsid w:val="009D6C1F"/>
    <w:rPr>
      <w:rFonts w:ascii="Calibri" w:eastAsia="Times New Roman" w:hAnsi="Calibri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C1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76EB-A297-47C9-9CBB-4FEFAFDA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1497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Carmen Perez Romero</cp:lastModifiedBy>
  <cp:revision>6</cp:revision>
  <dcterms:created xsi:type="dcterms:W3CDTF">2021-01-28T08:15:00Z</dcterms:created>
  <dcterms:modified xsi:type="dcterms:W3CDTF">2021-01-28T08:17:00Z</dcterms:modified>
</cp:coreProperties>
</file>