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F2A4C0" w14:textId="3DF9734D" w:rsidR="00B160BE" w:rsidRDefault="00B160BE" w:rsidP="00D8589B">
      <w:pPr>
        <w:jc w:val="both"/>
        <w:rPr>
          <w:b/>
          <w:lang w:val="en-US"/>
        </w:rPr>
      </w:pPr>
      <w:r>
        <w:rPr>
          <w:b/>
          <w:lang w:val="en-US"/>
        </w:rPr>
        <w:t>Appendix</w:t>
      </w:r>
      <w:r w:rsidRPr="005C30BB">
        <w:rPr>
          <w:b/>
          <w:lang w:val="en-US"/>
        </w:rPr>
        <w:t xml:space="preserve"> </w:t>
      </w:r>
    </w:p>
    <w:p w14:paraId="7BA735C2" w14:textId="77777777" w:rsidR="00B160BE" w:rsidRPr="00492347" w:rsidRDefault="00B160BE" w:rsidP="00D8589B">
      <w:pPr>
        <w:jc w:val="both"/>
        <w:rPr>
          <w:b/>
          <w:lang w:val="en-US"/>
        </w:rPr>
      </w:pPr>
      <w:r w:rsidRPr="00492347">
        <w:rPr>
          <w:b/>
          <w:lang w:val="en-US"/>
        </w:rPr>
        <w:t>Model description</w:t>
      </w:r>
    </w:p>
    <w:p w14:paraId="58C655C7" w14:textId="4D3AD869" w:rsidR="00B160BE" w:rsidRPr="00D963C5" w:rsidRDefault="00B160BE">
      <w:pPr>
        <w:jc w:val="both"/>
        <w:rPr>
          <w:lang w:val="en-US"/>
        </w:rPr>
      </w:pPr>
      <w:r w:rsidRPr="00D963C5">
        <w:rPr>
          <w:lang w:val="en-US"/>
        </w:rPr>
        <w:t>Instead of Markov models</w:t>
      </w:r>
      <w:r w:rsidR="000C5546" w:rsidRPr="00D963C5">
        <w:rPr>
          <w:lang w:val="en-US"/>
        </w:rPr>
        <w:t>,</w:t>
      </w:r>
      <w:r w:rsidRPr="00D963C5">
        <w:rPr>
          <w:lang w:val="en-US"/>
        </w:rPr>
        <w:t xml:space="preserve"> we used DES to represent the natural history of early BC because of its capacity to take into account the patient history in its progression through the model</w:t>
      </w:r>
      <w:r w:rsidRPr="00D963C5">
        <w:rPr>
          <w:vertAlign w:val="superscript"/>
          <w:lang w:val="en-US"/>
        </w:rPr>
        <w:t>1</w:t>
      </w:r>
      <w:r w:rsidRPr="00D963C5">
        <w:rPr>
          <w:lang w:val="en-US"/>
        </w:rPr>
        <w:t xml:space="preserve">. The DES model developed for the study reproduced two identical populations of patients whose pathways were different according to the criteria applied for the prescription of chemotherapy. In turn, the simulated populations constituted representations of the patients included in the sample of participating hospitals, in order to simulate the population on which real data were available. The follow-up period with the populations started from the moment they were evaluated in order to make a decision about the adjuvant treatment until the end of their lives, either due to death derived from a recurrence or due to causes other than BC. </w:t>
      </w:r>
      <w:r w:rsidRPr="00D8589B">
        <w:rPr>
          <w:highlight w:val="green"/>
          <w:lang w:val="en-US"/>
        </w:rPr>
        <w:t>Figure A1</w:t>
      </w:r>
      <w:r w:rsidRPr="00D963C5">
        <w:rPr>
          <w:lang w:val="en-US"/>
        </w:rPr>
        <w:t xml:space="preserve"> shows the flow diagram of the natural history of hormone Receptor positive/HER2 negative early breast cancer. The path that each patient followed depended on her initial characteristics (age, stage and menopause status) and by the risk group and criteria applied (</w:t>
      </w:r>
      <w:r w:rsidR="00E96DD0">
        <w:rPr>
          <w:lang w:val="en-US"/>
        </w:rPr>
        <w:t>o</w:t>
      </w:r>
      <w:r w:rsidRPr="00D963C5">
        <w:rPr>
          <w:lang w:val="en-US"/>
        </w:rPr>
        <w:t>ncotype or clinical-pathological) which determined her probability of developing recurrence. Patients’ initial characteristics (age, stage and menopause status) were assigned by jointly sampling from the patient-level dataset to preserve the correlations among them. The model also included the probability of receiving granulocyte colony-stimulating factor (G-CSF) and toxicity associated to the chemotherapy. Patients who recurred were assigned two “time-to-death”</w:t>
      </w:r>
      <w:r w:rsidR="000C5546" w:rsidRPr="00D963C5">
        <w:rPr>
          <w:lang w:val="en-US"/>
        </w:rPr>
        <w:t xml:space="preserve"> values</w:t>
      </w:r>
      <w:r w:rsidRPr="00D963C5">
        <w:rPr>
          <w:lang w:val="en-US"/>
        </w:rPr>
        <w:t>. First, death caused by breast cancer and, second, by other causes. The minimum of both times determined the age of death. A discount of 3% per annum was applied both for costs and for utility measured in quality adjusted life years</w:t>
      </w:r>
      <w:r w:rsidRPr="00D963C5">
        <w:rPr>
          <w:vertAlign w:val="superscript"/>
          <w:lang w:val="en-US"/>
        </w:rPr>
        <w:t>2</w:t>
      </w:r>
      <w:r w:rsidRPr="00D963C5">
        <w:rPr>
          <w:lang w:val="en-US"/>
        </w:rPr>
        <w:t>. In a complementary way, a calculation was carried out in which no discount was applied. The time-horizon was the life of the patients.</w:t>
      </w:r>
    </w:p>
    <w:p w14:paraId="4BD58856" w14:textId="7BE26023" w:rsidR="00B160BE" w:rsidRPr="00D963C5" w:rsidRDefault="00B160BE" w:rsidP="00D8589B">
      <w:pPr>
        <w:ind w:firstLine="708"/>
        <w:jc w:val="both"/>
        <w:rPr>
          <w:lang w:val="en-US"/>
        </w:rPr>
      </w:pPr>
      <w:r w:rsidRPr="00D963C5">
        <w:rPr>
          <w:lang w:val="en-US"/>
        </w:rPr>
        <w:t xml:space="preserve">To stabilize the results, each simulation run included 10,000 entities or “patients” which followed different </w:t>
      </w:r>
      <w:r w:rsidR="000C5546" w:rsidRPr="00D963C5">
        <w:rPr>
          <w:lang w:val="en-US"/>
        </w:rPr>
        <w:t xml:space="preserve">paths </w:t>
      </w:r>
      <w:r w:rsidRPr="00D963C5">
        <w:rPr>
          <w:lang w:val="en-US"/>
        </w:rPr>
        <w:t>according to their characteristics</w:t>
      </w:r>
      <w:r w:rsidRPr="00D963C5">
        <w:rPr>
          <w:vertAlign w:val="superscript"/>
          <w:lang w:val="en-US"/>
        </w:rPr>
        <w:t>1</w:t>
      </w:r>
      <w:r w:rsidRPr="00D963C5">
        <w:rPr>
          <w:lang w:val="en-US"/>
        </w:rPr>
        <w:t xml:space="preserve">. </w:t>
      </w:r>
      <w:r w:rsidR="00F15DB1" w:rsidRPr="00D8589B">
        <w:rPr>
          <w:highlight w:val="green"/>
          <w:lang w:val="en-US"/>
        </w:rPr>
        <w:t>Figure A3</w:t>
      </w:r>
      <w:r w:rsidR="00F15DB1" w:rsidRPr="00D963C5">
        <w:rPr>
          <w:lang w:val="en-US"/>
        </w:rPr>
        <w:t xml:space="preserve"> shows the ICER behaves according to the number of </w:t>
      </w:r>
      <w:r w:rsidR="00D52C86" w:rsidRPr="00D963C5">
        <w:rPr>
          <w:lang w:val="en-US"/>
        </w:rPr>
        <w:t>entities</w:t>
      </w:r>
      <w:r w:rsidR="00F15DB1" w:rsidRPr="00D963C5">
        <w:rPr>
          <w:lang w:val="en-US"/>
        </w:rPr>
        <w:t xml:space="preserve">. </w:t>
      </w:r>
      <w:r w:rsidRPr="00D963C5">
        <w:rPr>
          <w:lang w:val="en-US"/>
        </w:rPr>
        <w:t>The parameters of the model and the distributions applied in the probabilistic processing were derived from the clinical study with 401 patients</w:t>
      </w:r>
      <w:r w:rsidRPr="00D963C5">
        <w:rPr>
          <w:vertAlign w:val="superscript"/>
          <w:lang w:val="en-US"/>
        </w:rPr>
        <w:t>3</w:t>
      </w:r>
      <w:r w:rsidRPr="00D963C5">
        <w:rPr>
          <w:lang w:val="en-US"/>
        </w:rPr>
        <w:t xml:space="preserve"> and from the literature and are shown in </w:t>
      </w:r>
      <w:r w:rsidRPr="00D8589B">
        <w:rPr>
          <w:highlight w:val="green"/>
          <w:lang w:val="en-US"/>
        </w:rPr>
        <w:t xml:space="preserve">Tables </w:t>
      </w:r>
      <w:r w:rsidR="00E96DD0" w:rsidRPr="00D8589B">
        <w:rPr>
          <w:highlight w:val="green"/>
          <w:lang w:val="en-US"/>
        </w:rPr>
        <w:t xml:space="preserve">I </w:t>
      </w:r>
      <w:r w:rsidRPr="00D8589B">
        <w:rPr>
          <w:highlight w:val="green"/>
          <w:lang w:val="en-US"/>
        </w:rPr>
        <w:t xml:space="preserve">and </w:t>
      </w:r>
      <w:r w:rsidR="00E96DD0" w:rsidRPr="00D8589B">
        <w:rPr>
          <w:highlight w:val="green"/>
          <w:lang w:val="en-US"/>
        </w:rPr>
        <w:t>II</w:t>
      </w:r>
      <w:r w:rsidR="00E96DD0">
        <w:rPr>
          <w:lang w:val="en-US"/>
        </w:rPr>
        <w:t>.</w:t>
      </w:r>
      <w:r w:rsidRPr="00D963C5">
        <w:rPr>
          <w:vertAlign w:val="superscript"/>
          <w:lang w:val="en-US"/>
        </w:rPr>
        <w:t>4–9</w:t>
      </w:r>
      <w:r w:rsidRPr="00D963C5">
        <w:rPr>
          <w:lang w:val="en-US"/>
        </w:rPr>
        <w:t xml:space="preserve">. Table </w:t>
      </w:r>
      <w:r w:rsidR="00E96DD0">
        <w:rPr>
          <w:lang w:val="en-US"/>
        </w:rPr>
        <w:t>I</w:t>
      </w:r>
      <w:r w:rsidR="00E96DD0" w:rsidRPr="00D963C5">
        <w:rPr>
          <w:lang w:val="en-US"/>
        </w:rPr>
        <w:t xml:space="preserve"> </w:t>
      </w:r>
      <w:r w:rsidRPr="00D963C5">
        <w:rPr>
          <w:lang w:val="en-US"/>
        </w:rPr>
        <w:t xml:space="preserve">also describes the </w:t>
      </w:r>
      <w:r w:rsidR="00E522E8" w:rsidRPr="00D963C5">
        <w:rPr>
          <w:lang w:val="en-US"/>
        </w:rPr>
        <w:t xml:space="preserve">order </w:t>
      </w:r>
      <w:r w:rsidRPr="00D963C5">
        <w:rPr>
          <w:lang w:val="en-US"/>
        </w:rPr>
        <w:t>of uncertainty applied for each parameter.</w:t>
      </w:r>
      <w:r w:rsidR="00243330">
        <w:rPr>
          <w:lang w:val="en-US"/>
        </w:rPr>
        <w:t xml:space="preserve"> </w:t>
      </w:r>
      <w:r w:rsidRPr="00D963C5">
        <w:rPr>
          <w:lang w:val="en-US"/>
        </w:rPr>
        <w:t>The likelihood of, first, treatment with chemotherapy</w:t>
      </w:r>
      <w:r w:rsidRPr="00D963C5">
        <w:rPr>
          <w:vertAlign w:val="superscript"/>
          <w:lang w:val="en-US"/>
        </w:rPr>
        <w:t>3</w:t>
      </w:r>
      <w:r w:rsidRPr="00D963C5">
        <w:rPr>
          <w:lang w:val="en-US"/>
        </w:rPr>
        <w:t>, and cancer recurrence by type of treatment</w:t>
      </w:r>
      <w:r w:rsidRPr="00D963C5">
        <w:rPr>
          <w:vertAlign w:val="superscript"/>
          <w:lang w:val="en-US"/>
        </w:rPr>
        <w:t>4</w:t>
      </w:r>
      <w:r w:rsidRPr="00D963C5">
        <w:rPr>
          <w:lang w:val="en-US"/>
        </w:rPr>
        <w:t xml:space="preserve"> came from the literature. For those who recurred, the time until death was assigned by applying survival tables obtained from the work by Arrospide et al.</w:t>
      </w:r>
      <w:r w:rsidRPr="00D963C5">
        <w:rPr>
          <w:vertAlign w:val="superscript"/>
          <w:lang w:val="en-US"/>
        </w:rPr>
        <w:t>10</w:t>
      </w:r>
      <w:r w:rsidRPr="00D963C5">
        <w:rPr>
          <w:lang w:val="en-US"/>
        </w:rPr>
        <w:t>. Mortality due to causes other than BC was obtained from the general mortality rates of the Basque population (Basque Statistical Institute) and, by discounting BC mortality, a Gompertz function was defined to assign time until death</w:t>
      </w:r>
      <w:r w:rsidR="00E96DD0">
        <w:rPr>
          <w:lang w:val="en-US"/>
        </w:rPr>
        <w:t>.</w:t>
      </w:r>
      <w:r w:rsidRPr="00D963C5">
        <w:rPr>
          <w:vertAlign w:val="superscript"/>
          <w:lang w:val="en-US"/>
        </w:rPr>
        <w:t>10</w:t>
      </w:r>
      <w:r w:rsidRPr="00D963C5">
        <w:rPr>
          <w:lang w:val="en-US"/>
        </w:rPr>
        <w:t xml:space="preserve"> The age, stage and pre or postmenopausal condition of the simulated patients reproduced the distribution of the sample studied</w:t>
      </w:r>
      <w:r w:rsidR="00E96DD0">
        <w:rPr>
          <w:lang w:val="en-US"/>
        </w:rPr>
        <w:t>.</w:t>
      </w:r>
      <w:r w:rsidRPr="00D963C5">
        <w:rPr>
          <w:vertAlign w:val="superscript"/>
          <w:lang w:val="en-US"/>
        </w:rPr>
        <w:t>3</w:t>
      </w:r>
      <w:r w:rsidRPr="00D963C5">
        <w:rPr>
          <w:lang w:val="en-US"/>
        </w:rPr>
        <w:t xml:space="preserve"> The condition of menopause determined the type of hormonal treatment administered (tamoxifen or aromatase inhibitors). The parameters, </w:t>
      </w:r>
      <w:r w:rsidR="000C5546" w:rsidRPr="00D963C5">
        <w:rPr>
          <w:lang w:val="en-US"/>
        </w:rPr>
        <w:t xml:space="preserve">such </w:t>
      </w:r>
      <w:r w:rsidRPr="00D963C5">
        <w:rPr>
          <w:lang w:val="en-US"/>
        </w:rPr>
        <w:t>as the stage, that differentiated the assignment of chemotherapy and the reclassification of patients</w:t>
      </w:r>
      <w:r w:rsidR="000C5546" w:rsidRPr="00D963C5">
        <w:rPr>
          <w:lang w:val="en-US"/>
        </w:rPr>
        <w:t>,</w:t>
      </w:r>
      <w:r w:rsidRPr="00D963C5">
        <w:rPr>
          <w:lang w:val="en-US"/>
        </w:rPr>
        <w:t xml:space="preserve"> constituted a key point for the comparison of the two evaluated technologies. The analysis with one or another technique established a future risk and its application did not modify the characteristics of the patients. The calculation of the probabilities from the field </w:t>
      </w:r>
      <w:r w:rsidRPr="00D963C5">
        <w:rPr>
          <w:lang w:val="en-US"/>
        </w:rPr>
        <w:lastRenderedPageBreak/>
        <w:t>data allowed configuring the model to evaluate the economic impact produced by the technological change in the treatment criterion.</w:t>
      </w:r>
    </w:p>
    <w:p w14:paraId="59DC2B4D" w14:textId="6EED33BE" w:rsidR="00B160BE" w:rsidRPr="00D963C5" w:rsidRDefault="00B160BE">
      <w:pPr>
        <w:jc w:val="both"/>
        <w:rPr>
          <w:lang w:val="en-US"/>
        </w:rPr>
      </w:pPr>
      <w:r w:rsidRPr="00D963C5">
        <w:rPr>
          <w:lang w:val="en-US"/>
        </w:rPr>
        <w:t>The utilities of the different states in relation to the BC (</w:t>
      </w:r>
      <w:r w:rsidR="00E96DD0" w:rsidRPr="00D8589B">
        <w:rPr>
          <w:highlight w:val="green"/>
          <w:lang w:val="en-US"/>
        </w:rPr>
        <w:t xml:space="preserve">Fig. </w:t>
      </w:r>
      <w:r w:rsidRPr="00D8589B">
        <w:rPr>
          <w:highlight w:val="green"/>
          <w:lang w:val="en-US"/>
        </w:rPr>
        <w:t>A2</w:t>
      </w:r>
      <w:r w:rsidRPr="00D963C5">
        <w:rPr>
          <w:lang w:val="en-US"/>
        </w:rPr>
        <w:t>) were estimated following the work of Stout et al. based on the loss of utility caused by the treatment according to each age group and health status</w:t>
      </w:r>
      <w:r w:rsidR="00E96DD0">
        <w:rPr>
          <w:lang w:val="en-US"/>
        </w:rPr>
        <w:t>.</w:t>
      </w:r>
      <w:r w:rsidRPr="00D963C5">
        <w:rPr>
          <w:vertAlign w:val="superscript"/>
          <w:lang w:val="en-US"/>
        </w:rPr>
        <w:t>5</w:t>
      </w:r>
      <w:r w:rsidRPr="00D963C5">
        <w:rPr>
          <w:lang w:val="en-US"/>
        </w:rPr>
        <w:t xml:space="preserve"> In Stout et al. and related work, patients suffer a significant reduction in quality of life during the adjuvant and end-of-life chemotherapy stage as a consequence of metastasis. The procedure begins by establishing the utility for each age group in the general population. For that, we used data from the 2011-2012 Spanish National Health Survey, which contains the EQ-5D-5L instrument</w:t>
      </w:r>
      <w:r w:rsidR="00E96DD0">
        <w:rPr>
          <w:lang w:val="en-US"/>
        </w:rPr>
        <w:t>.</w:t>
      </w:r>
      <w:r w:rsidRPr="00D963C5">
        <w:rPr>
          <w:vertAlign w:val="superscript"/>
          <w:lang w:val="en-US"/>
        </w:rPr>
        <w:t>6,7</w:t>
      </w:r>
      <w:r w:rsidRPr="00D963C5">
        <w:rPr>
          <w:lang w:val="en-US"/>
        </w:rPr>
        <w:t xml:space="preserve"> The data of 21,007 adults </w:t>
      </w:r>
      <w:r w:rsidR="00831713" w:rsidRPr="00D963C5">
        <w:rPr>
          <w:lang w:val="en-US"/>
        </w:rPr>
        <w:t xml:space="preserve">from </w:t>
      </w:r>
      <w:r w:rsidRPr="00D963C5">
        <w:rPr>
          <w:lang w:val="en-US"/>
        </w:rPr>
        <w:t>the sample were downloaded from the Spanish Statistical Office website where more detailed description about the methodology of this survey can be found</w:t>
      </w:r>
      <w:r w:rsidR="00E96DD0">
        <w:rPr>
          <w:lang w:val="en-US"/>
        </w:rPr>
        <w:t>.</w:t>
      </w:r>
      <w:r w:rsidRPr="00D963C5">
        <w:rPr>
          <w:vertAlign w:val="superscript"/>
          <w:lang w:val="en-US"/>
        </w:rPr>
        <w:t>7</w:t>
      </w:r>
      <w:r w:rsidRPr="00D963C5">
        <w:rPr>
          <w:lang w:val="en-US"/>
        </w:rPr>
        <w:t xml:space="preserve"> Applying the approach described by Briggs et al.</w:t>
      </w:r>
      <w:r w:rsidR="00E96DD0">
        <w:rPr>
          <w:vertAlign w:val="superscript"/>
          <w:lang w:val="en-US"/>
        </w:rPr>
        <w:t>11</w:t>
      </w:r>
      <w:r w:rsidRPr="00D963C5">
        <w:rPr>
          <w:lang w:val="en-US"/>
        </w:rPr>
        <w:t xml:space="preserve"> a 1-gamma function was parameterized</w:t>
      </w:r>
      <w:r w:rsidR="00E96DD0">
        <w:rPr>
          <w:lang w:val="en-US"/>
        </w:rPr>
        <w:t>.</w:t>
      </w:r>
      <w:r w:rsidRPr="00D963C5">
        <w:rPr>
          <w:lang w:val="en-US"/>
        </w:rPr>
        <w:t xml:space="preserve"> </w:t>
      </w:r>
    </w:p>
    <w:p w14:paraId="5E1C9B23" w14:textId="77777777" w:rsidR="00E96DD0" w:rsidRDefault="00E96DD0">
      <w:pPr>
        <w:jc w:val="both"/>
        <w:rPr>
          <w:lang w:val="en-US"/>
        </w:rPr>
      </w:pPr>
    </w:p>
    <w:p w14:paraId="6E75FD90" w14:textId="0C20B717" w:rsidR="00B160BE" w:rsidRPr="00D8589B" w:rsidRDefault="00B160BE">
      <w:pPr>
        <w:jc w:val="both"/>
        <w:rPr>
          <w:b/>
          <w:lang w:val="en-US"/>
        </w:rPr>
      </w:pPr>
      <w:r w:rsidRPr="00D8589B">
        <w:rPr>
          <w:b/>
          <w:lang w:val="en-US"/>
        </w:rPr>
        <w:t>Cost analysis</w:t>
      </w:r>
    </w:p>
    <w:p w14:paraId="480FA56C" w14:textId="77777777" w:rsidR="00E96DD0" w:rsidRDefault="00E96DD0">
      <w:pPr>
        <w:jc w:val="both"/>
        <w:rPr>
          <w:lang w:val="en-US"/>
        </w:rPr>
      </w:pPr>
    </w:p>
    <w:p w14:paraId="3F8D804A" w14:textId="6F88F1D8" w:rsidR="00B160BE" w:rsidRPr="00D963C5" w:rsidRDefault="00B160BE">
      <w:pPr>
        <w:jc w:val="both"/>
        <w:rPr>
          <w:lang w:val="en-US"/>
        </w:rPr>
      </w:pPr>
      <w:r w:rsidRPr="00D963C5">
        <w:rPr>
          <w:lang w:val="en-US"/>
        </w:rPr>
        <w:t>The baseline case assumed the perspective of the health system, incorporating only health-care costs, which were calculated by multiplying the use of resources by each unit cost</w:t>
      </w:r>
      <w:r w:rsidRPr="00D963C5">
        <w:rPr>
          <w:vertAlign w:val="superscript"/>
          <w:lang w:val="en-US"/>
        </w:rPr>
        <w:t>3</w:t>
      </w:r>
      <w:r w:rsidRPr="00D963C5">
        <w:rPr>
          <w:lang w:val="en-US"/>
        </w:rPr>
        <w:t>. An analysis was then added from the societal perspective in which costs for loss of productivity due to sick leave due to chemotherapy were included</w:t>
      </w:r>
      <w:r w:rsidR="00E96DD0">
        <w:rPr>
          <w:lang w:val="en-US"/>
        </w:rPr>
        <w:t>.</w:t>
      </w:r>
      <w:r w:rsidRPr="00D963C5">
        <w:rPr>
          <w:vertAlign w:val="superscript"/>
          <w:lang w:val="en-US"/>
        </w:rPr>
        <w:t>3</w:t>
      </w:r>
      <w:r w:rsidRPr="00D963C5">
        <w:rPr>
          <w:lang w:val="en-US"/>
        </w:rPr>
        <w:t xml:space="preserve"> The unit costs were obtained from the analytical accounting system of the Basque Health Service in 2014, the pharmacy service and the literature</w:t>
      </w:r>
      <w:r w:rsidRPr="00D963C5">
        <w:rPr>
          <w:vertAlign w:val="superscript"/>
          <w:lang w:val="en-US"/>
        </w:rPr>
        <w:t>2,3</w:t>
      </w:r>
      <w:r w:rsidRPr="00D963C5">
        <w:rPr>
          <w:lang w:val="en-US"/>
        </w:rPr>
        <w:t xml:space="preserve"> and are shown in </w:t>
      </w:r>
      <w:r w:rsidR="00E96DD0">
        <w:rPr>
          <w:lang w:val="en-US"/>
        </w:rPr>
        <w:t>T</w:t>
      </w:r>
      <w:r w:rsidRPr="00D963C5">
        <w:rPr>
          <w:lang w:val="en-US"/>
        </w:rPr>
        <w:t xml:space="preserve">able </w:t>
      </w:r>
      <w:r w:rsidR="00E96DD0">
        <w:rPr>
          <w:lang w:val="en-US"/>
        </w:rPr>
        <w:t>II</w:t>
      </w:r>
      <w:r w:rsidRPr="00D963C5">
        <w:rPr>
          <w:lang w:val="en-US"/>
        </w:rPr>
        <w:t>. The time lost as paid work was estimated from the perspective of human capital</w:t>
      </w:r>
      <w:r w:rsidR="00E96DD0">
        <w:rPr>
          <w:lang w:val="en-US"/>
        </w:rPr>
        <w:t>.</w:t>
      </w:r>
      <w:r w:rsidRPr="00D963C5">
        <w:rPr>
          <w:vertAlign w:val="superscript"/>
          <w:lang w:val="en-US"/>
        </w:rPr>
        <w:t>2,12</w:t>
      </w:r>
      <w:r w:rsidRPr="00D963C5">
        <w:rPr>
          <w:lang w:val="en-US"/>
        </w:rPr>
        <w:t xml:space="preserve"> The unit cost of lost productivity for each patient was estimated from the average monthly gross salary in Spain in 2014 (€ 1881), calculated in the</w:t>
      </w:r>
      <w:r w:rsidR="00243330">
        <w:rPr>
          <w:lang w:val="en-US"/>
        </w:rPr>
        <w:t xml:space="preserve"> </w:t>
      </w:r>
      <w:r w:rsidRPr="00D963C5">
        <w:rPr>
          <w:lang w:val="en-US"/>
        </w:rPr>
        <w:t>Survey of the Spanish Labor Force carried out by the Spanish National Institute of Statistics in 2014 and the duration of treatment for each chemotherapy regimen.</w:t>
      </w:r>
    </w:p>
    <w:p w14:paraId="623A007D" w14:textId="77777777" w:rsidR="00E96DD0" w:rsidRDefault="00E96DD0">
      <w:pPr>
        <w:jc w:val="both"/>
        <w:rPr>
          <w:lang w:val="en-US"/>
        </w:rPr>
      </w:pPr>
    </w:p>
    <w:p w14:paraId="327F5DD7" w14:textId="7B9A1C3B" w:rsidR="00B160BE" w:rsidRPr="00D8589B" w:rsidRDefault="00B160BE">
      <w:pPr>
        <w:jc w:val="both"/>
        <w:rPr>
          <w:b/>
          <w:lang w:val="en-US"/>
        </w:rPr>
      </w:pPr>
      <w:r w:rsidRPr="00D8589B">
        <w:rPr>
          <w:b/>
          <w:lang w:val="en-US"/>
        </w:rPr>
        <w:t>Probabilistic model</w:t>
      </w:r>
    </w:p>
    <w:p w14:paraId="18233F52" w14:textId="77777777" w:rsidR="00E96DD0" w:rsidRDefault="00E96DD0">
      <w:pPr>
        <w:jc w:val="both"/>
        <w:rPr>
          <w:lang w:val="en-US"/>
        </w:rPr>
      </w:pPr>
    </w:p>
    <w:p w14:paraId="5B3FDB78" w14:textId="53C9F850" w:rsidR="00B160BE" w:rsidRPr="00D963C5" w:rsidRDefault="00B160BE">
      <w:pPr>
        <w:jc w:val="both"/>
        <w:rPr>
          <w:lang w:val="en-US"/>
        </w:rPr>
      </w:pPr>
      <w:r w:rsidRPr="00D963C5">
        <w:rPr>
          <w:lang w:val="en-US"/>
        </w:rPr>
        <w:t>First, the calculation of the incremental cost-effectiveness ratio (ICER), composed of incremental cost and incremental effectiveness, was carried out through a deterministic analysis using the mean of each parameter. Subsequently, a probabilistic sensitivity analysis was developed with 1000 simulations in which the applied values ​​varied in each replication according to the distributions used</w:t>
      </w:r>
      <w:r w:rsidR="00E96DD0">
        <w:rPr>
          <w:lang w:val="en-US"/>
        </w:rPr>
        <w:t>.</w:t>
      </w:r>
      <w:r w:rsidRPr="00D963C5">
        <w:rPr>
          <w:vertAlign w:val="superscript"/>
          <w:lang w:val="en-US"/>
        </w:rPr>
        <w:t>11</w:t>
      </w:r>
      <w:r w:rsidRPr="00D963C5">
        <w:rPr>
          <w:lang w:val="en-US"/>
        </w:rPr>
        <w:t xml:space="preserve"> The result of each trial is summarized in an ICER used to obtain the confidence intervals (</w:t>
      </w:r>
      <w:r w:rsidR="00831713" w:rsidRPr="00D963C5">
        <w:rPr>
          <w:lang w:val="en-US"/>
        </w:rPr>
        <w:t>p</w:t>
      </w:r>
      <w:r w:rsidRPr="00D963C5">
        <w:rPr>
          <w:lang w:val="en-US"/>
        </w:rPr>
        <w:t>ercentiles 2.5 and 97.5), the cost-effectiveness plane and the acceptability curves. The first consists of the representation in a plane of the incremental cost and the incremental effectiveness of each simulation</w:t>
      </w:r>
      <w:r w:rsidR="00E96DD0">
        <w:rPr>
          <w:lang w:val="en-US"/>
        </w:rPr>
        <w:t>.</w:t>
      </w:r>
      <w:r w:rsidRPr="00D963C5">
        <w:rPr>
          <w:vertAlign w:val="superscript"/>
          <w:lang w:val="en-US"/>
        </w:rPr>
        <w:t>11</w:t>
      </w:r>
      <w:r w:rsidRPr="00D963C5">
        <w:rPr>
          <w:lang w:val="en-US"/>
        </w:rPr>
        <w:t xml:space="preserve"> The second, the acceptability curve, is based on the calculation of the percentage of simulations in which the alternative studied has an incremental cost-effectiveness ratio lower than the threshold for different values for this ratio. That percentage also equates to the probability that the incremental net benefit will be </w:t>
      </w:r>
      <w:r w:rsidRPr="00D963C5">
        <w:rPr>
          <w:lang w:val="en-US"/>
        </w:rPr>
        <w:lastRenderedPageBreak/>
        <w:t>greater than zero. The curve is obtained by projecting that calculation based on the threshold value</w:t>
      </w:r>
      <w:r w:rsidR="00E96DD0">
        <w:rPr>
          <w:lang w:val="en-US"/>
        </w:rPr>
        <w:t>.</w:t>
      </w:r>
      <w:r w:rsidRPr="00D963C5">
        <w:rPr>
          <w:vertAlign w:val="superscript"/>
          <w:lang w:val="en-US"/>
        </w:rPr>
        <w:t>11</w:t>
      </w:r>
    </w:p>
    <w:p w14:paraId="3BD366AE" w14:textId="0647E457" w:rsidR="00B160BE" w:rsidRPr="00D963C5" w:rsidRDefault="00B160BE" w:rsidP="00D8589B">
      <w:pPr>
        <w:ind w:firstLine="708"/>
        <w:jc w:val="both"/>
        <w:rPr>
          <w:lang w:val="en-US"/>
        </w:rPr>
      </w:pPr>
      <w:r w:rsidRPr="00D963C5">
        <w:rPr>
          <w:lang w:val="en-US"/>
        </w:rPr>
        <w:t xml:space="preserve">In some simulations, the preferred strategy, based on the analysis of the net benefit of the whole set of simulations, is not optimal, leading to an opportunity loss. This loss is the difference between the maximum net profit attainable (with perfect information) and the net benefit associated with the most favored strategy. The opportunity loss is calculated for each simulation as the difference between the maximum benefit achieved in that simulation and the net benefit of the favorite strategy. In the case where the maximum net profit reached in that simulation coincides with that of the most favored strategy, no loss of opportunity will have been incurred. But, given parameter uncertainty, in some simulations the preferred strategy would have been the rejected one and, thus, a negative net benefit would have occurred. The average opportunity loss of all simulations is calculated later, and represents the expected cost of the uncertainty, which is equivalent to the total </w:t>
      </w:r>
      <w:r w:rsidR="00E96DD0" w:rsidRPr="00E96DD0">
        <w:rPr>
          <w:lang w:val="en-US"/>
        </w:rPr>
        <w:t xml:space="preserve">expected value of perfect information </w:t>
      </w:r>
      <w:r w:rsidR="00E96DD0">
        <w:rPr>
          <w:lang w:val="en-US"/>
        </w:rPr>
        <w:t>(</w:t>
      </w:r>
      <w:r w:rsidRPr="00D963C5">
        <w:rPr>
          <w:lang w:val="en-US"/>
        </w:rPr>
        <w:t>EVPI</w:t>
      </w:r>
      <w:r w:rsidR="00E96DD0">
        <w:rPr>
          <w:lang w:val="en-US"/>
        </w:rPr>
        <w:t>)</w:t>
      </w:r>
      <w:r w:rsidRPr="00D963C5">
        <w:rPr>
          <w:lang w:val="en-US"/>
        </w:rPr>
        <w:t xml:space="preserve"> per patient. This estimate is multiplied by the target population of the technology for the next five years (1505 patients according to the Basque Cancer Registry) to obtain the population EVPI. To calculate the partial EVPI (EVPPI) associated with two group</w:t>
      </w:r>
      <w:r w:rsidR="00831713" w:rsidRPr="00D963C5">
        <w:rPr>
          <w:lang w:val="en-US"/>
        </w:rPr>
        <w:t>s</w:t>
      </w:r>
      <w:r w:rsidRPr="00D963C5">
        <w:rPr>
          <w:lang w:val="en-US"/>
        </w:rPr>
        <w:t xml:space="preserve"> of parameters (risk score distribution and adverse effects probabilities), the process is repeated, fixing this group at mean values ​​and keeping the distributions in the rest. The obtained EVPI is subtracted from the total to estimate the EVPPI associated with each group of parameters</w:t>
      </w:r>
      <w:r w:rsidR="00E96DD0">
        <w:rPr>
          <w:lang w:val="en-US"/>
        </w:rPr>
        <w:t>.</w:t>
      </w:r>
      <w:r w:rsidRPr="00D963C5">
        <w:rPr>
          <w:vertAlign w:val="superscript"/>
          <w:lang w:val="en-US"/>
        </w:rPr>
        <w:t>11,13</w:t>
      </w:r>
      <w:r w:rsidRPr="00D963C5">
        <w:rPr>
          <w:lang w:val="en-US"/>
        </w:rPr>
        <w:t xml:space="preserve"> </w:t>
      </w:r>
    </w:p>
    <w:p w14:paraId="3817041E" w14:textId="77777777" w:rsidR="00B160BE" w:rsidRPr="00D963C5" w:rsidRDefault="00B160BE">
      <w:pPr>
        <w:jc w:val="both"/>
        <w:rPr>
          <w:lang w:val="en-US"/>
        </w:rPr>
      </w:pPr>
    </w:p>
    <w:p w14:paraId="6605C3BE" w14:textId="0F0F97D4" w:rsidR="00B160BE" w:rsidRDefault="00B160BE" w:rsidP="00D8589B">
      <w:pPr>
        <w:jc w:val="both"/>
        <w:rPr>
          <w:b/>
          <w:lang w:val="en-GB"/>
        </w:rPr>
      </w:pPr>
      <w:r w:rsidRPr="00D963C5">
        <w:rPr>
          <w:b/>
          <w:lang w:val="en-GB"/>
        </w:rPr>
        <w:t>Model validation</w:t>
      </w:r>
    </w:p>
    <w:p w14:paraId="78DB7F91" w14:textId="77777777" w:rsidR="00E96DD0" w:rsidRPr="00D963C5" w:rsidRDefault="00E96DD0" w:rsidP="00D8589B">
      <w:pPr>
        <w:jc w:val="both"/>
        <w:rPr>
          <w:b/>
          <w:lang w:val="en-GB"/>
        </w:rPr>
      </w:pPr>
    </w:p>
    <w:p w14:paraId="06334FDB" w14:textId="644058A9" w:rsidR="00B160BE" w:rsidRPr="00D963C5" w:rsidRDefault="00B160BE">
      <w:pPr>
        <w:jc w:val="both"/>
        <w:rPr>
          <w:lang w:val="en-US"/>
        </w:rPr>
      </w:pPr>
      <w:r w:rsidRPr="00D963C5">
        <w:rPr>
          <w:lang w:val="en-US"/>
        </w:rPr>
        <w:t>The external validation of the model was established by comparing the 10-year recurrence probability to the data from the literature</w:t>
      </w:r>
      <w:r w:rsidR="00E96DD0">
        <w:rPr>
          <w:lang w:val="en-US"/>
        </w:rPr>
        <w:t>,</w:t>
      </w:r>
      <w:r w:rsidRPr="00D963C5">
        <w:rPr>
          <w:vertAlign w:val="superscript"/>
          <w:lang w:val="en-US"/>
        </w:rPr>
        <w:t>4</w:t>
      </w:r>
      <w:r w:rsidRPr="00D963C5">
        <w:rPr>
          <w:lang w:val="en-US"/>
        </w:rPr>
        <w:t xml:space="preserve"> since the model does not apply these probabilities but rather allocates times to events in a competitive manner. As internal validation, the life expectancy of the women without metastasis was estimated, which should coincide with the life expectancy of the general population.</w:t>
      </w:r>
    </w:p>
    <w:p w14:paraId="798B3363" w14:textId="2914EB0E" w:rsidR="00B160BE" w:rsidRPr="00D963C5" w:rsidRDefault="00B160BE" w:rsidP="00D8589B">
      <w:pPr>
        <w:ind w:firstLine="708"/>
        <w:jc w:val="both"/>
        <w:rPr>
          <w:lang w:val="en-US"/>
        </w:rPr>
      </w:pPr>
      <w:r w:rsidRPr="00D963C5">
        <w:rPr>
          <w:lang w:val="en-US"/>
        </w:rPr>
        <w:t>The literature does not include studies analyzing the probability of recurrence of breast cancer patients along full lifespan. Currently several studies are in progress in this area. However, the survival of early stage breast cancer patients has been evaluated over smaller time horizons (5 and 10 years)</w:t>
      </w:r>
      <w:r w:rsidR="00E96DD0">
        <w:rPr>
          <w:lang w:val="en-US"/>
        </w:rPr>
        <w:t>.</w:t>
      </w:r>
      <w:r w:rsidRPr="00D963C5">
        <w:rPr>
          <w:vertAlign w:val="superscript"/>
          <w:lang w:val="en-US"/>
        </w:rPr>
        <w:t>14,15</w:t>
      </w:r>
      <w:r w:rsidRPr="00D963C5">
        <w:rPr>
          <w:lang w:val="en-US"/>
        </w:rPr>
        <w:t xml:space="preserve"> The investigations developed by Paik et al.</w:t>
      </w:r>
      <w:r w:rsidR="00E96DD0">
        <w:rPr>
          <w:vertAlign w:val="superscript"/>
          <w:lang w:val="en-US"/>
        </w:rPr>
        <w:t>4</w:t>
      </w:r>
      <w:r w:rsidRPr="00D963C5">
        <w:rPr>
          <w:lang w:val="en-US"/>
        </w:rPr>
        <w:t xml:space="preserve"> established the recurrence likelihood of patients according to recurrence score and adjuvant treatment.</w:t>
      </w:r>
    </w:p>
    <w:p w14:paraId="6C3F4AF5" w14:textId="77777777" w:rsidR="00B160BE" w:rsidRDefault="00B160BE" w:rsidP="00D8589B">
      <w:pPr>
        <w:ind w:firstLine="708"/>
        <w:jc w:val="both"/>
        <w:rPr>
          <w:lang w:val="en-US"/>
        </w:rPr>
      </w:pPr>
      <w:r w:rsidRPr="00D963C5">
        <w:rPr>
          <w:lang w:val="en-US"/>
        </w:rPr>
        <w:t>As the model time horizon was patients’ entire life, we calculated by calibration that probability. This figure was validated by reproducing the 10-year probability. This figure was obtained as a surrogate result.</w:t>
      </w:r>
    </w:p>
    <w:p w14:paraId="54C71B7B" w14:textId="536092EC" w:rsidR="00D30F93" w:rsidRDefault="00D30F93" w:rsidP="00E96DD0">
      <w:pPr>
        <w:ind w:left="505" w:hanging="505"/>
        <w:jc w:val="both"/>
        <w:rPr>
          <w:lang w:val="en-US"/>
        </w:rPr>
      </w:pPr>
    </w:p>
    <w:p w14:paraId="3AF145EB" w14:textId="55142E93" w:rsidR="00E96DD0" w:rsidRDefault="00E96DD0" w:rsidP="00E96DD0">
      <w:pPr>
        <w:ind w:left="505" w:hanging="505"/>
        <w:jc w:val="both"/>
        <w:rPr>
          <w:lang w:val="en-US"/>
        </w:rPr>
      </w:pPr>
    </w:p>
    <w:p w14:paraId="024B8DF4" w14:textId="77777777" w:rsidR="00E96DD0" w:rsidRPr="00E70CD5" w:rsidRDefault="00E96DD0" w:rsidP="00D8589B">
      <w:pPr>
        <w:ind w:left="505" w:hanging="505"/>
        <w:jc w:val="both"/>
        <w:rPr>
          <w:lang w:val="en-US"/>
        </w:rPr>
      </w:pPr>
    </w:p>
    <w:tbl>
      <w:tblPr>
        <w:tblStyle w:val="TableGrid"/>
        <w:tblW w:w="8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42"/>
        <w:gridCol w:w="2494"/>
        <w:gridCol w:w="2494"/>
      </w:tblGrid>
      <w:tr w:rsidR="00B763AF" w:rsidRPr="00D8589B" w14:paraId="5762F5F6" w14:textId="77777777" w:rsidTr="00B763AF">
        <w:trPr>
          <w:trHeight w:val="567"/>
        </w:trPr>
        <w:tc>
          <w:tcPr>
            <w:tcW w:w="3742" w:type="dxa"/>
            <w:tcBorders>
              <w:top w:val="single" w:sz="4" w:space="0" w:color="auto"/>
              <w:bottom w:val="single" w:sz="4" w:space="0" w:color="auto"/>
            </w:tcBorders>
            <w:vAlign w:val="center"/>
          </w:tcPr>
          <w:p w14:paraId="7C3033CE" w14:textId="77777777" w:rsidR="00B763AF" w:rsidRPr="000B4347" w:rsidRDefault="00B763AF" w:rsidP="00D8589B">
            <w:pPr>
              <w:jc w:val="both"/>
              <w:rPr>
                <w:b/>
                <w:sz w:val="18"/>
                <w:lang w:val="en-US"/>
              </w:rPr>
            </w:pPr>
            <w:r w:rsidRPr="000B4347">
              <w:rPr>
                <w:b/>
                <w:sz w:val="18"/>
                <w:lang w:val="en-US"/>
              </w:rPr>
              <w:lastRenderedPageBreak/>
              <w:t>Patient Recurrence Risk and adjuvant treatment</w:t>
            </w:r>
          </w:p>
        </w:tc>
        <w:tc>
          <w:tcPr>
            <w:tcW w:w="2494" w:type="dxa"/>
            <w:tcBorders>
              <w:top w:val="single" w:sz="4" w:space="0" w:color="auto"/>
              <w:bottom w:val="single" w:sz="4" w:space="0" w:color="auto"/>
            </w:tcBorders>
            <w:vAlign w:val="center"/>
          </w:tcPr>
          <w:p w14:paraId="604054A7" w14:textId="77777777" w:rsidR="00B763AF" w:rsidRPr="000B4347" w:rsidRDefault="00B763AF" w:rsidP="00D8589B">
            <w:pPr>
              <w:jc w:val="both"/>
              <w:rPr>
                <w:b/>
                <w:sz w:val="18"/>
                <w:lang w:val="en-US"/>
              </w:rPr>
            </w:pPr>
            <w:r w:rsidRPr="000B4347">
              <w:rPr>
                <w:b/>
                <w:sz w:val="18"/>
                <w:lang w:val="en-US"/>
              </w:rPr>
              <w:t>Model recurrence probability at 10 years</w:t>
            </w:r>
          </w:p>
        </w:tc>
        <w:tc>
          <w:tcPr>
            <w:tcW w:w="2494" w:type="dxa"/>
            <w:tcBorders>
              <w:top w:val="single" w:sz="4" w:space="0" w:color="auto"/>
              <w:bottom w:val="single" w:sz="4" w:space="0" w:color="auto"/>
            </w:tcBorders>
            <w:vAlign w:val="center"/>
          </w:tcPr>
          <w:p w14:paraId="1EFC7D63" w14:textId="2B6DD133" w:rsidR="00B763AF" w:rsidRPr="000B4347" w:rsidRDefault="00B763AF" w:rsidP="00D8589B">
            <w:pPr>
              <w:jc w:val="both"/>
              <w:rPr>
                <w:b/>
                <w:sz w:val="18"/>
                <w:lang w:val="en-US"/>
              </w:rPr>
            </w:pPr>
            <w:r w:rsidRPr="000B4347">
              <w:rPr>
                <w:b/>
                <w:sz w:val="18"/>
                <w:lang w:val="en-US"/>
              </w:rPr>
              <w:t>Paik et al.</w:t>
            </w:r>
            <w:r w:rsidR="00E96DD0">
              <w:rPr>
                <w:b/>
                <w:sz w:val="18"/>
                <w:vertAlign w:val="superscript"/>
                <w:lang w:val="en-US"/>
              </w:rPr>
              <w:t>4</w:t>
            </w:r>
            <w:r w:rsidRPr="000B4347">
              <w:rPr>
                <w:b/>
                <w:sz w:val="18"/>
                <w:lang w:val="en-US"/>
              </w:rPr>
              <w:t xml:space="preserve"> recurrence probability at 10 years</w:t>
            </w:r>
          </w:p>
        </w:tc>
      </w:tr>
      <w:tr w:rsidR="00B763AF" w14:paraId="1DCF3E4C" w14:textId="77777777" w:rsidTr="00F13C5F">
        <w:trPr>
          <w:trHeight w:val="340"/>
        </w:trPr>
        <w:tc>
          <w:tcPr>
            <w:tcW w:w="3742" w:type="dxa"/>
            <w:tcBorders>
              <w:top w:val="single" w:sz="4" w:space="0" w:color="auto"/>
            </w:tcBorders>
            <w:vAlign w:val="center"/>
          </w:tcPr>
          <w:p w14:paraId="0A82C4A6" w14:textId="2EFF5A36" w:rsidR="00B763AF" w:rsidRPr="000B4347" w:rsidRDefault="00B763AF" w:rsidP="00D8589B">
            <w:pPr>
              <w:jc w:val="both"/>
              <w:rPr>
                <w:rFonts w:cstheme="minorHAnsi"/>
                <w:sz w:val="18"/>
                <w:szCs w:val="18"/>
                <w:lang w:val="en-GB"/>
              </w:rPr>
            </w:pPr>
            <w:r w:rsidRPr="000B4347">
              <w:rPr>
                <w:rFonts w:cstheme="minorHAnsi"/>
                <w:sz w:val="18"/>
                <w:szCs w:val="18"/>
                <w:lang w:val="en-GB"/>
              </w:rPr>
              <w:t xml:space="preserve">Low </w:t>
            </w:r>
            <w:r w:rsidR="00E96DD0">
              <w:rPr>
                <w:rFonts w:cstheme="minorHAnsi"/>
                <w:sz w:val="18"/>
                <w:szCs w:val="18"/>
                <w:lang w:val="en-GB"/>
              </w:rPr>
              <w:t>r</w:t>
            </w:r>
            <w:r w:rsidRPr="000B4347">
              <w:rPr>
                <w:rFonts w:cstheme="minorHAnsi"/>
                <w:sz w:val="18"/>
                <w:szCs w:val="18"/>
                <w:lang w:val="en-GB"/>
              </w:rPr>
              <w:t>isk patient treated with HT</w:t>
            </w:r>
          </w:p>
        </w:tc>
        <w:tc>
          <w:tcPr>
            <w:tcW w:w="2494" w:type="dxa"/>
            <w:tcBorders>
              <w:top w:val="single" w:sz="4" w:space="0" w:color="auto"/>
            </w:tcBorders>
            <w:vAlign w:val="center"/>
          </w:tcPr>
          <w:p w14:paraId="55BEC575" w14:textId="77777777" w:rsidR="00B763AF" w:rsidRPr="000B4347" w:rsidRDefault="00B763AF" w:rsidP="00D8589B">
            <w:pPr>
              <w:jc w:val="both"/>
              <w:rPr>
                <w:sz w:val="18"/>
                <w:szCs w:val="18"/>
              </w:rPr>
            </w:pPr>
            <w:r w:rsidRPr="000B4347">
              <w:rPr>
                <w:sz w:val="18"/>
                <w:szCs w:val="18"/>
              </w:rPr>
              <w:t>0</w:t>
            </w:r>
            <w:r>
              <w:rPr>
                <w:sz w:val="18"/>
                <w:szCs w:val="18"/>
              </w:rPr>
              <w:t>.</w:t>
            </w:r>
            <w:r w:rsidRPr="000B4347">
              <w:rPr>
                <w:sz w:val="18"/>
                <w:szCs w:val="18"/>
              </w:rPr>
              <w:t>03</w:t>
            </w:r>
            <w:r>
              <w:rPr>
                <w:sz w:val="18"/>
                <w:szCs w:val="18"/>
              </w:rPr>
              <w:t>20</w:t>
            </w:r>
          </w:p>
        </w:tc>
        <w:tc>
          <w:tcPr>
            <w:tcW w:w="2494" w:type="dxa"/>
            <w:tcBorders>
              <w:top w:val="single" w:sz="4" w:space="0" w:color="auto"/>
            </w:tcBorders>
            <w:vAlign w:val="center"/>
          </w:tcPr>
          <w:p w14:paraId="12A9F957" w14:textId="77777777" w:rsidR="00B763AF" w:rsidRPr="000B4347" w:rsidRDefault="00B763AF" w:rsidP="00D8589B">
            <w:pPr>
              <w:jc w:val="both"/>
              <w:rPr>
                <w:sz w:val="18"/>
                <w:szCs w:val="18"/>
              </w:rPr>
            </w:pPr>
            <w:r w:rsidRPr="000B4347">
              <w:rPr>
                <w:sz w:val="18"/>
                <w:szCs w:val="18"/>
              </w:rPr>
              <w:t>0.032</w:t>
            </w:r>
          </w:p>
        </w:tc>
      </w:tr>
      <w:tr w:rsidR="00B763AF" w14:paraId="512BC5FD" w14:textId="77777777" w:rsidTr="00F13C5F">
        <w:trPr>
          <w:trHeight w:val="340"/>
        </w:trPr>
        <w:tc>
          <w:tcPr>
            <w:tcW w:w="3742" w:type="dxa"/>
            <w:vAlign w:val="center"/>
          </w:tcPr>
          <w:p w14:paraId="3295AC39" w14:textId="15348470" w:rsidR="00B763AF" w:rsidRPr="000B4347" w:rsidRDefault="00B763AF" w:rsidP="00D8589B">
            <w:pPr>
              <w:jc w:val="both"/>
              <w:rPr>
                <w:rFonts w:cstheme="minorHAnsi"/>
                <w:sz w:val="18"/>
                <w:szCs w:val="18"/>
                <w:lang w:val="en-GB"/>
              </w:rPr>
            </w:pPr>
            <w:r w:rsidRPr="000B4347">
              <w:rPr>
                <w:rFonts w:cstheme="minorHAnsi"/>
                <w:sz w:val="18"/>
                <w:szCs w:val="18"/>
                <w:lang w:val="en-GB"/>
              </w:rPr>
              <w:t xml:space="preserve">Intermediate </w:t>
            </w:r>
            <w:r w:rsidR="00E96DD0">
              <w:rPr>
                <w:rFonts w:cstheme="minorHAnsi"/>
                <w:sz w:val="18"/>
                <w:szCs w:val="18"/>
                <w:lang w:val="en-GB"/>
              </w:rPr>
              <w:t>r</w:t>
            </w:r>
            <w:r w:rsidRPr="000B4347">
              <w:rPr>
                <w:rFonts w:cstheme="minorHAnsi"/>
                <w:sz w:val="18"/>
                <w:szCs w:val="18"/>
                <w:lang w:val="en-GB"/>
              </w:rPr>
              <w:t>isk patient treated with HT</w:t>
            </w:r>
          </w:p>
        </w:tc>
        <w:tc>
          <w:tcPr>
            <w:tcW w:w="2494" w:type="dxa"/>
            <w:vAlign w:val="center"/>
          </w:tcPr>
          <w:p w14:paraId="32FCCC8B" w14:textId="77777777" w:rsidR="00B763AF" w:rsidRPr="000B4347" w:rsidRDefault="00B763AF" w:rsidP="00D8589B">
            <w:pPr>
              <w:jc w:val="both"/>
              <w:rPr>
                <w:sz w:val="18"/>
                <w:szCs w:val="18"/>
              </w:rPr>
            </w:pPr>
            <w:r w:rsidRPr="000B4347">
              <w:rPr>
                <w:sz w:val="18"/>
                <w:szCs w:val="18"/>
              </w:rPr>
              <w:t>0</w:t>
            </w:r>
            <w:r>
              <w:rPr>
                <w:sz w:val="18"/>
                <w:szCs w:val="18"/>
              </w:rPr>
              <w:t>.0913</w:t>
            </w:r>
          </w:p>
        </w:tc>
        <w:tc>
          <w:tcPr>
            <w:tcW w:w="2494" w:type="dxa"/>
            <w:vAlign w:val="center"/>
          </w:tcPr>
          <w:p w14:paraId="273FAF10" w14:textId="77777777" w:rsidR="00B763AF" w:rsidRPr="000B4347" w:rsidRDefault="00B763AF" w:rsidP="00D8589B">
            <w:pPr>
              <w:jc w:val="both"/>
              <w:rPr>
                <w:sz w:val="18"/>
                <w:szCs w:val="18"/>
              </w:rPr>
            </w:pPr>
            <w:r w:rsidRPr="000B4347">
              <w:rPr>
                <w:sz w:val="18"/>
                <w:szCs w:val="18"/>
              </w:rPr>
              <w:t>0.091</w:t>
            </w:r>
          </w:p>
        </w:tc>
      </w:tr>
      <w:tr w:rsidR="00B763AF" w14:paraId="770E4CAD" w14:textId="77777777" w:rsidTr="00F13C5F">
        <w:trPr>
          <w:trHeight w:val="340"/>
        </w:trPr>
        <w:tc>
          <w:tcPr>
            <w:tcW w:w="3742" w:type="dxa"/>
            <w:vAlign w:val="center"/>
          </w:tcPr>
          <w:p w14:paraId="17575833" w14:textId="1AC986B8" w:rsidR="00B763AF" w:rsidRPr="000B4347" w:rsidRDefault="00B763AF" w:rsidP="00D8589B">
            <w:pPr>
              <w:jc w:val="both"/>
              <w:rPr>
                <w:rFonts w:cstheme="minorHAnsi"/>
                <w:sz w:val="18"/>
                <w:szCs w:val="18"/>
                <w:lang w:val="en-GB"/>
              </w:rPr>
            </w:pPr>
            <w:r w:rsidRPr="000B4347">
              <w:rPr>
                <w:rFonts w:cstheme="minorHAnsi"/>
                <w:sz w:val="18"/>
                <w:szCs w:val="18"/>
                <w:lang w:val="en-GB"/>
              </w:rPr>
              <w:t xml:space="preserve">High </w:t>
            </w:r>
            <w:r w:rsidR="00E96DD0">
              <w:rPr>
                <w:rFonts w:cstheme="minorHAnsi"/>
                <w:sz w:val="18"/>
                <w:szCs w:val="18"/>
                <w:lang w:val="en-GB"/>
              </w:rPr>
              <w:t>r</w:t>
            </w:r>
            <w:r w:rsidRPr="000B4347">
              <w:rPr>
                <w:rFonts w:cstheme="minorHAnsi"/>
                <w:sz w:val="18"/>
                <w:szCs w:val="18"/>
                <w:lang w:val="en-GB"/>
              </w:rPr>
              <w:t>isk patient treated with HT</w:t>
            </w:r>
          </w:p>
        </w:tc>
        <w:tc>
          <w:tcPr>
            <w:tcW w:w="2494" w:type="dxa"/>
            <w:vAlign w:val="center"/>
          </w:tcPr>
          <w:p w14:paraId="0CDF557A" w14:textId="77777777" w:rsidR="00B763AF" w:rsidRPr="000B4347" w:rsidRDefault="00B763AF" w:rsidP="00D8589B">
            <w:pPr>
              <w:jc w:val="both"/>
              <w:rPr>
                <w:sz w:val="18"/>
                <w:szCs w:val="18"/>
              </w:rPr>
            </w:pPr>
            <w:r w:rsidRPr="000B4347">
              <w:rPr>
                <w:sz w:val="18"/>
                <w:szCs w:val="18"/>
              </w:rPr>
              <w:t>0</w:t>
            </w:r>
            <w:r>
              <w:rPr>
                <w:sz w:val="18"/>
                <w:szCs w:val="18"/>
              </w:rPr>
              <w:t>.</w:t>
            </w:r>
            <w:r w:rsidRPr="000B4347">
              <w:rPr>
                <w:sz w:val="18"/>
                <w:szCs w:val="18"/>
              </w:rPr>
              <w:t>3964</w:t>
            </w:r>
          </w:p>
        </w:tc>
        <w:tc>
          <w:tcPr>
            <w:tcW w:w="2494" w:type="dxa"/>
            <w:vAlign w:val="center"/>
          </w:tcPr>
          <w:p w14:paraId="6EDEDE98" w14:textId="77777777" w:rsidR="00B763AF" w:rsidRPr="000B4347" w:rsidRDefault="00B763AF" w:rsidP="00D8589B">
            <w:pPr>
              <w:jc w:val="both"/>
              <w:rPr>
                <w:sz w:val="18"/>
                <w:szCs w:val="18"/>
              </w:rPr>
            </w:pPr>
            <w:r w:rsidRPr="000B4347">
              <w:rPr>
                <w:sz w:val="18"/>
                <w:szCs w:val="18"/>
              </w:rPr>
              <w:t>0.395</w:t>
            </w:r>
          </w:p>
        </w:tc>
      </w:tr>
      <w:tr w:rsidR="00B763AF" w14:paraId="48F45DDC" w14:textId="77777777" w:rsidTr="00F13C5F">
        <w:trPr>
          <w:trHeight w:val="340"/>
        </w:trPr>
        <w:tc>
          <w:tcPr>
            <w:tcW w:w="3742" w:type="dxa"/>
            <w:vAlign w:val="center"/>
          </w:tcPr>
          <w:p w14:paraId="7AA07291" w14:textId="40420601" w:rsidR="00B763AF" w:rsidRPr="000B4347" w:rsidRDefault="00B763AF" w:rsidP="00D8589B">
            <w:pPr>
              <w:jc w:val="both"/>
              <w:rPr>
                <w:rFonts w:cstheme="minorHAnsi"/>
                <w:sz w:val="18"/>
                <w:szCs w:val="18"/>
                <w:lang w:val="en-GB"/>
              </w:rPr>
            </w:pPr>
            <w:r w:rsidRPr="000B4347">
              <w:rPr>
                <w:rFonts w:cstheme="minorHAnsi"/>
                <w:sz w:val="18"/>
                <w:szCs w:val="18"/>
                <w:lang w:val="en-GB"/>
              </w:rPr>
              <w:t xml:space="preserve">Low </w:t>
            </w:r>
            <w:r w:rsidR="00E96DD0">
              <w:rPr>
                <w:rFonts w:cstheme="minorHAnsi"/>
                <w:sz w:val="18"/>
                <w:szCs w:val="18"/>
                <w:lang w:val="en-GB"/>
              </w:rPr>
              <w:t>r</w:t>
            </w:r>
            <w:r w:rsidRPr="000B4347">
              <w:rPr>
                <w:rFonts w:cstheme="minorHAnsi"/>
                <w:sz w:val="18"/>
                <w:szCs w:val="18"/>
                <w:lang w:val="en-GB"/>
              </w:rPr>
              <w:t>isk patient treated with CHT + HT</w:t>
            </w:r>
          </w:p>
        </w:tc>
        <w:tc>
          <w:tcPr>
            <w:tcW w:w="2494" w:type="dxa"/>
            <w:vAlign w:val="center"/>
          </w:tcPr>
          <w:p w14:paraId="78583044" w14:textId="77777777" w:rsidR="00B763AF" w:rsidRPr="000B4347" w:rsidRDefault="00B763AF" w:rsidP="00D8589B">
            <w:pPr>
              <w:jc w:val="both"/>
              <w:rPr>
                <w:sz w:val="18"/>
                <w:szCs w:val="18"/>
              </w:rPr>
            </w:pPr>
            <w:r w:rsidRPr="000B4347">
              <w:rPr>
                <w:sz w:val="18"/>
                <w:szCs w:val="18"/>
              </w:rPr>
              <w:t>0</w:t>
            </w:r>
            <w:r>
              <w:rPr>
                <w:sz w:val="18"/>
                <w:szCs w:val="18"/>
              </w:rPr>
              <w:t>.0449</w:t>
            </w:r>
          </w:p>
        </w:tc>
        <w:tc>
          <w:tcPr>
            <w:tcW w:w="2494" w:type="dxa"/>
            <w:vAlign w:val="center"/>
          </w:tcPr>
          <w:p w14:paraId="6A4089D3" w14:textId="77777777" w:rsidR="00B763AF" w:rsidRPr="000B4347" w:rsidRDefault="00B763AF" w:rsidP="00D8589B">
            <w:pPr>
              <w:jc w:val="both"/>
              <w:rPr>
                <w:sz w:val="18"/>
                <w:szCs w:val="18"/>
              </w:rPr>
            </w:pPr>
            <w:r w:rsidRPr="000B4347">
              <w:rPr>
                <w:sz w:val="18"/>
                <w:szCs w:val="18"/>
              </w:rPr>
              <w:t>0.044</w:t>
            </w:r>
          </w:p>
        </w:tc>
      </w:tr>
      <w:tr w:rsidR="00B763AF" w14:paraId="62A3A3F8" w14:textId="77777777" w:rsidTr="00F13C5F">
        <w:trPr>
          <w:trHeight w:val="340"/>
        </w:trPr>
        <w:tc>
          <w:tcPr>
            <w:tcW w:w="3742" w:type="dxa"/>
            <w:vAlign w:val="center"/>
          </w:tcPr>
          <w:p w14:paraId="61C1A493" w14:textId="3FED20F1" w:rsidR="00B763AF" w:rsidRPr="000B4347" w:rsidRDefault="00B763AF" w:rsidP="00D8589B">
            <w:pPr>
              <w:jc w:val="both"/>
              <w:rPr>
                <w:rFonts w:cstheme="minorHAnsi"/>
                <w:sz w:val="18"/>
                <w:szCs w:val="18"/>
                <w:lang w:val="en-GB"/>
              </w:rPr>
            </w:pPr>
            <w:r w:rsidRPr="000B4347">
              <w:rPr>
                <w:rFonts w:cstheme="minorHAnsi"/>
                <w:sz w:val="18"/>
                <w:szCs w:val="18"/>
                <w:lang w:val="en-GB"/>
              </w:rPr>
              <w:t xml:space="preserve">Intermediate </w:t>
            </w:r>
            <w:r w:rsidR="00E96DD0">
              <w:rPr>
                <w:rFonts w:cstheme="minorHAnsi"/>
                <w:sz w:val="18"/>
                <w:szCs w:val="18"/>
                <w:lang w:val="en-GB"/>
              </w:rPr>
              <w:t>r</w:t>
            </w:r>
            <w:r w:rsidRPr="000B4347">
              <w:rPr>
                <w:rFonts w:cstheme="minorHAnsi"/>
                <w:sz w:val="18"/>
                <w:szCs w:val="18"/>
                <w:lang w:val="en-GB"/>
              </w:rPr>
              <w:t>isk patient treated with CHT + HT</w:t>
            </w:r>
          </w:p>
        </w:tc>
        <w:tc>
          <w:tcPr>
            <w:tcW w:w="2494" w:type="dxa"/>
            <w:vAlign w:val="center"/>
          </w:tcPr>
          <w:p w14:paraId="5CD38B92" w14:textId="77777777" w:rsidR="00B763AF" w:rsidRPr="000B4347" w:rsidRDefault="00B763AF" w:rsidP="00D8589B">
            <w:pPr>
              <w:jc w:val="both"/>
              <w:rPr>
                <w:sz w:val="18"/>
                <w:szCs w:val="18"/>
              </w:rPr>
            </w:pPr>
            <w:r w:rsidRPr="000B4347">
              <w:rPr>
                <w:sz w:val="18"/>
                <w:szCs w:val="18"/>
              </w:rPr>
              <w:t>0</w:t>
            </w:r>
            <w:r>
              <w:rPr>
                <w:sz w:val="18"/>
                <w:szCs w:val="18"/>
              </w:rPr>
              <w:t>.</w:t>
            </w:r>
            <w:r w:rsidRPr="000B4347">
              <w:rPr>
                <w:sz w:val="18"/>
                <w:szCs w:val="18"/>
              </w:rPr>
              <w:t>1064</w:t>
            </w:r>
          </w:p>
        </w:tc>
        <w:tc>
          <w:tcPr>
            <w:tcW w:w="2494" w:type="dxa"/>
            <w:vAlign w:val="center"/>
          </w:tcPr>
          <w:p w14:paraId="3A9E36A8" w14:textId="77777777" w:rsidR="00B763AF" w:rsidRPr="000B4347" w:rsidRDefault="00B763AF" w:rsidP="00D8589B">
            <w:pPr>
              <w:jc w:val="both"/>
              <w:rPr>
                <w:sz w:val="18"/>
                <w:szCs w:val="18"/>
              </w:rPr>
            </w:pPr>
            <w:r w:rsidRPr="000B4347">
              <w:rPr>
                <w:sz w:val="18"/>
                <w:szCs w:val="18"/>
              </w:rPr>
              <w:t>0.109</w:t>
            </w:r>
          </w:p>
        </w:tc>
      </w:tr>
      <w:tr w:rsidR="00B763AF" w14:paraId="23198955" w14:textId="77777777" w:rsidTr="00F13C5F">
        <w:trPr>
          <w:trHeight w:val="340"/>
        </w:trPr>
        <w:tc>
          <w:tcPr>
            <w:tcW w:w="3742" w:type="dxa"/>
            <w:tcBorders>
              <w:bottom w:val="single" w:sz="4" w:space="0" w:color="auto"/>
            </w:tcBorders>
            <w:vAlign w:val="center"/>
          </w:tcPr>
          <w:p w14:paraId="3AD6523C" w14:textId="07158975" w:rsidR="00B763AF" w:rsidRPr="000B4347" w:rsidRDefault="00B763AF" w:rsidP="00D8589B">
            <w:pPr>
              <w:jc w:val="both"/>
              <w:rPr>
                <w:rFonts w:cstheme="minorHAnsi"/>
                <w:sz w:val="18"/>
                <w:szCs w:val="18"/>
                <w:lang w:val="en-GB"/>
              </w:rPr>
            </w:pPr>
            <w:r w:rsidRPr="000B4347">
              <w:rPr>
                <w:rFonts w:cstheme="minorHAnsi"/>
                <w:sz w:val="18"/>
                <w:szCs w:val="18"/>
                <w:lang w:val="en-GB"/>
              </w:rPr>
              <w:t xml:space="preserve">High </w:t>
            </w:r>
            <w:r w:rsidR="00E96DD0">
              <w:rPr>
                <w:rFonts w:cstheme="minorHAnsi"/>
                <w:sz w:val="18"/>
                <w:szCs w:val="18"/>
                <w:lang w:val="en-GB"/>
              </w:rPr>
              <w:t>r</w:t>
            </w:r>
            <w:r w:rsidRPr="000B4347">
              <w:rPr>
                <w:rFonts w:cstheme="minorHAnsi"/>
                <w:sz w:val="18"/>
                <w:szCs w:val="18"/>
                <w:lang w:val="en-GB"/>
              </w:rPr>
              <w:t>isk patient treated with CHT + HT</w:t>
            </w:r>
          </w:p>
        </w:tc>
        <w:tc>
          <w:tcPr>
            <w:tcW w:w="2494" w:type="dxa"/>
            <w:tcBorders>
              <w:bottom w:val="single" w:sz="4" w:space="0" w:color="auto"/>
            </w:tcBorders>
            <w:vAlign w:val="center"/>
          </w:tcPr>
          <w:p w14:paraId="4B1DAC46" w14:textId="77777777" w:rsidR="00B763AF" w:rsidRPr="000B4347" w:rsidRDefault="00B763AF" w:rsidP="00D8589B">
            <w:pPr>
              <w:jc w:val="both"/>
              <w:rPr>
                <w:sz w:val="18"/>
                <w:szCs w:val="18"/>
              </w:rPr>
            </w:pPr>
            <w:r w:rsidRPr="000B4347">
              <w:rPr>
                <w:sz w:val="18"/>
                <w:szCs w:val="18"/>
              </w:rPr>
              <w:t>0</w:t>
            </w:r>
            <w:r>
              <w:rPr>
                <w:sz w:val="18"/>
                <w:szCs w:val="18"/>
              </w:rPr>
              <w:t>.</w:t>
            </w:r>
            <w:r w:rsidRPr="000B4347">
              <w:rPr>
                <w:sz w:val="18"/>
                <w:szCs w:val="18"/>
              </w:rPr>
              <w:t>119</w:t>
            </w:r>
            <w:r>
              <w:rPr>
                <w:sz w:val="18"/>
                <w:szCs w:val="18"/>
              </w:rPr>
              <w:t>2</w:t>
            </w:r>
          </w:p>
        </w:tc>
        <w:tc>
          <w:tcPr>
            <w:tcW w:w="2494" w:type="dxa"/>
            <w:tcBorders>
              <w:bottom w:val="single" w:sz="4" w:space="0" w:color="auto"/>
            </w:tcBorders>
            <w:vAlign w:val="center"/>
          </w:tcPr>
          <w:p w14:paraId="4C66E986" w14:textId="77777777" w:rsidR="00B763AF" w:rsidRPr="000B4347" w:rsidRDefault="00B763AF" w:rsidP="00D8589B">
            <w:pPr>
              <w:jc w:val="both"/>
              <w:rPr>
                <w:sz w:val="18"/>
                <w:szCs w:val="18"/>
              </w:rPr>
            </w:pPr>
            <w:r w:rsidRPr="000B4347">
              <w:rPr>
                <w:sz w:val="18"/>
                <w:szCs w:val="18"/>
              </w:rPr>
              <w:t>0.119</w:t>
            </w:r>
          </w:p>
        </w:tc>
      </w:tr>
    </w:tbl>
    <w:p w14:paraId="25B63894" w14:textId="77777777" w:rsidR="00B763AF" w:rsidRDefault="00B763AF" w:rsidP="00D8589B">
      <w:pPr>
        <w:jc w:val="both"/>
      </w:pPr>
    </w:p>
    <w:p w14:paraId="7E415D75" w14:textId="77777777" w:rsidR="007668CD" w:rsidRDefault="007668CD" w:rsidP="00D8589B">
      <w:pPr>
        <w:jc w:val="both"/>
      </w:pPr>
    </w:p>
    <w:p w14:paraId="42CA9DE1" w14:textId="77777777" w:rsidR="007668CD" w:rsidRDefault="007668CD" w:rsidP="00D8589B">
      <w:pPr>
        <w:jc w:val="both"/>
        <w:sectPr w:rsidR="007668CD">
          <w:footerReference w:type="default" r:id="rId8"/>
          <w:pgSz w:w="11906" w:h="16838"/>
          <w:pgMar w:top="1417" w:right="1701" w:bottom="1417" w:left="1701" w:header="708" w:footer="708" w:gutter="0"/>
          <w:cols w:space="708"/>
          <w:docGrid w:linePitch="360"/>
        </w:sectPr>
      </w:pPr>
    </w:p>
    <w:p w14:paraId="5AA5502B" w14:textId="69D90AD6" w:rsidR="00B763AF" w:rsidRDefault="00E96DD0" w:rsidP="00E96DD0">
      <w:pPr>
        <w:jc w:val="both"/>
        <w:rPr>
          <w:b/>
        </w:rPr>
      </w:pPr>
      <w:r>
        <w:rPr>
          <w:b/>
        </w:rPr>
        <w:lastRenderedPageBreak/>
        <w:t>References</w:t>
      </w:r>
    </w:p>
    <w:p w14:paraId="57A2C1E7" w14:textId="77777777" w:rsidR="00E96DD0" w:rsidRPr="007668CD" w:rsidRDefault="00E96DD0">
      <w:pPr>
        <w:jc w:val="both"/>
        <w:rPr>
          <w:b/>
        </w:rPr>
      </w:pPr>
    </w:p>
    <w:p w14:paraId="12ED1553" w14:textId="7731EFFB" w:rsidR="00B160BE" w:rsidRPr="004A7FAB" w:rsidRDefault="00B160BE">
      <w:pPr>
        <w:spacing w:after="240" w:line="240" w:lineRule="auto"/>
        <w:ind w:left="505" w:hanging="505"/>
        <w:jc w:val="both"/>
      </w:pPr>
      <w:r w:rsidRPr="00D8589B">
        <w:rPr>
          <w:lang w:val="en-US"/>
        </w:rPr>
        <w:t xml:space="preserve">1. </w:t>
      </w:r>
      <w:r w:rsidRPr="00D8589B">
        <w:rPr>
          <w:lang w:val="en-US"/>
        </w:rPr>
        <w:tab/>
        <w:t>Caro JJ, Möller J, Karnon J</w:t>
      </w:r>
      <w:r w:rsidR="00C416DE" w:rsidRPr="00D8589B">
        <w:rPr>
          <w:lang w:val="en-US"/>
        </w:rPr>
        <w:t xml:space="preserve">, et al. </w:t>
      </w:r>
      <w:r w:rsidRPr="00B160BE">
        <w:rPr>
          <w:lang w:val="en-US"/>
        </w:rPr>
        <w:t xml:space="preserve">Discrete </w:t>
      </w:r>
      <w:r w:rsidR="00E96DD0" w:rsidRPr="00B160BE">
        <w:rPr>
          <w:lang w:val="en-US"/>
        </w:rPr>
        <w:t>event simulation for health technology assessm</w:t>
      </w:r>
      <w:r w:rsidRPr="00B160BE">
        <w:rPr>
          <w:lang w:val="en-US"/>
        </w:rPr>
        <w:t xml:space="preserve">ent. </w:t>
      </w:r>
      <w:r w:rsidR="00E96DD0">
        <w:rPr>
          <w:lang w:val="en-US"/>
        </w:rPr>
        <w:t>1</w:t>
      </w:r>
      <w:r w:rsidR="00E96DD0" w:rsidRPr="00E96DD0">
        <w:rPr>
          <w:lang w:val="en-US"/>
        </w:rPr>
        <w:t>st</w:t>
      </w:r>
      <w:r w:rsidR="00E96DD0">
        <w:rPr>
          <w:lang w:val="en-US"/>
        </w:rPr>
        <w:t xml:space="preserve"> ed</w:t>
      </w:r>
      <w:r w:rsidRPr="00B160BE">
        <w:rPr>
          <w:lang w:val="en-US"/>
        </w:rPr>
        <w:t>. Boca Raton</w:t>
      </w:r>
      <w:r w:rsidR="00E96DD0">
        <w:rPr>
          <w:lang w:val="en-US"/>
        </w:rPr>
        <w:t>,</w:t>
      </w:r>
      <w:r w:rsidRPr="00B160BE">
        <w:rPr>
          <w:lang w:val="en-US"/>
        </w:rPr>
        <w:t xml:space="preserve"> London</w:t>
      </w:r>
      <w:r w:rsidR="00E96DD0">
        <w:rPr>
          <w:lang w:val="en-US"/>
        </w:rPr>
        <w:t>,</w:t>
      </w:r>
      <w:r w:rsidRPr="00B160BE">
        <w:rPr>
          <w:lang w:val="en-US"/>
        </w:rPr>
        <w:t xml:space="preserve"> New York: Chapman and Hall/CRC; 2015. </w:t>
      </w:r>
      <w:r w:rsidRPr="004A7FAB">
        <w:t xml:space="preserve">374 p. </w:t>
      </w:r>
    </w:p>
    <w:p w14:paraId="2C57D7D0" w14:textId="24A343CB" w:rsidR="00B160BE" w:rsidRDefault="00B160BE">
      <w:pPr>
        <w:spacing w:after="240" w:line="240" w:lineRule="auto"/>
        <w:ind w:left="505" w:hanging="505"/>
        <w:jc w:val="both"/>
      </w:pPr>
      <w:r w:rsidRPr="004A7FAB">
        <w:t xml:space="preserve">2. </w:t>
      </w:r>
      <w:r w:rsidRPr="004A7FAB">
        <w:tab/>
      </w:r>
      <w:r>
        <w:t>López Bastida J, Oliva J, Antoñanzas F</w:t>
      </w:r>
      <w:r w:rsidR="00C416DE" w:rsidRPr="00C416DE">
        <w:t xml:space="preserve">, et al. </w:t>
      </w:r>
      <w:r>
        <w:t>Propuesta de guía para la evaluación económica aplicada a las tecnologías sanitarias. Gac Sanit. 2010;24:154</w:t>
      </w:r>
      <w:r w:rsidR="00E96DD0">
        <w:t>-</w:t>
      </w:r>
      <w:r>
        <w:t xml:space="preserve">70. </w:t>
      </w:r>
    </w:p>
    <w:p w14:paraId="40FF050E" w14:textId="266C79F8" w:rsidR="00B160BE" w:rsidRPr="00B160BE" w:rsidRDefault="00B160BE">
      <w:pPr>
        <w:spacing w:after="240" w:line="240" w:lineRule="auto"/>
        <w:ind w:left="505" w:hanging="505"/>
        <w:jc w:val="both"/>
        <w:rPr>
          <w:lang w:val="en-US"/>
        </w:rPr>
      </w:pPr>
      <w:r>
        <w:t xml:space="preserve">3. </w:t>
      </w:r>
      <w:r>
        <w:tab/>
        <w:t xml:space="preserve">Martínez del Prado P, </w:t>
      </w:r>
      <w:r w:rsidR="00E96DD0">
        <w:t>Á</w:t>
      </w:r>
      <w:r>
        <w:t>lvarez-López I, Domínguez-Fernández S</w:t>
      </w:r>
      <w:r w:rsidR="00C416DE" w:rsidRPr="00C416DE">
        <w:t xml:space="preserve">, et al. </w:t>
      </w:r>
      <w:r w:rsidRPr="00B160BE">
        <w:rPr>
          <w:lang w:val="en-US"/>
        </w:rPr>
        <w:t xml:space="preserve">Clinical and economic impact of the 21-gene recurrence score assay in adjuvant therapy decision making in patients with early-stage breast cancer: pooled analysis in 4 Basque Country university hospitals. Breast Cancer (Dove Med Press). 2018;10:189-99. </w:t>
      </w:r>
    </w:p>
    <w:p w14:paraId="1271B04C" w14:textId="5F52A0F3" w:rsidR="00B160BE" w:rsidRPr="00B160BE" w:rsidRDefault="00B160BE">
      <w:pPr>
        <w:spacing w:after="240" w:line="240" w:lineRule="auto"/>
        <w:ind w:left="505" w:hanging="505"/>
        <w:jc w:val="both"/>
        <w:rPr>
          <w:lang w:val="en-US"/>
        </w:rPr>
      </w:pPr>
      <w:r w:rsidRPr="00B160BE">
        <w:rPr>
          <w:lang w:val="en-US"/>
        </w:rPr>
        <w:t xml:space="preserve">4. </w:t>
      </w:r>
      <w:r w:rsidRPr="00B160BE">
        <w:rPr>
          <w:lang w:val="en-US"/>
        </w:rPr>
        <w:tab/>
        <w:t>Paik S, Tang G, Shak S</w:t>
      </w:r>
      <w:r w:rsidR="00C416DE">
        <w:rPr>
          <w:lang w:val="en-US"/>
        </w:rPr>
        <w:t xml:space="preserve">, et al. </w:t>
      </w:r>
      <w:r w:rsidRPr="00B160BE">
        <w:rPr>
          <w:lang w:val="en-US"/>
        </w:rPr>
        <w:t xml:space="preserve">Gene expression and benefit of chemotherapy in women with node-negative, estrogen receptor-positive breast cancer. J Clin Oncol. 2006;24:3726-34. </w:t>
      </w:r>
    </w:p>
    <w:p w14:paraId="2E850EA7" w14:textId="30B2F369" w:rsidR="00B160BE" w:rsidRPr="00B160BE" w:rsidRDefault="00B160BE">
      <w:pPr>
        <w:spacing w:after="240" w:line="240" w:lineRule="auto"/>
        <w:ind w:left="505" w:hanging="505"/>
        <w:jc w:val="both"/>
        <w:rPr>
          <w:lang w:val="en-US"/>
        </w:rPr>
      </w:pPr>
      <w:r w:rsidRPr="00B160BE">
        <w:rPr>
          <w:lang w:val="en-US"/>
        </w:rPr>
        <w:t xml:space="preserve">5. </w:t>
      </w:r>
      <w:r w:rsidRPr="00B160BE">
        <w:rPr>
          <w:lang w:val="en-US"/>
        </w:rPr>
        <w:tab/>
        <w:t>Stout NK, Rosenberg MA, Trentham-Dietz A</w:t>
      </w:r>
      <w:r w:rsidR="00C416DE">
        <w:rPr>
          <w:lang w:val="en-US"/>
        </w:rPr>
        <w:t xml:space="preserve">, et al. </w:t>
      </w:r>
      <w:r w:rsidRPr="00B160BE">
        <w:rPr>
          <w:lang w:val="en-US"/>
        </w:rPr>
        <w:t xml:space="preserve">Retrospective cost-effectiveness analysis of screening mammography. J Natl Cancer Inst. 2006;98:774-82. </w:t>
      </w:r>
    </w:p>
    <w:p w14:paraId="418FFB9A" w14:textId="6D8DF711" w:rsidR="00B160BE" w:rsidRPr="00B160BE" w:rsidRDefault="00B160BE">
      <w:pPr>
        <w:spacing w:after="240" w:line="240" w:lineRule="auto"/>
        <w:ind w:left="505" w:hanging="505"/>
        <w:jc w:val="both"/>
        <w:rPr>
          <w:lang w:val="en-US"/>
        </w:rPr>
      </w:pPr>
      <w:r w:rsidRPr="00D963C5">
        <w:rPr>
          <w:lang w:val="en-US"/>
        </w:rPr>
        <w:t xml:space="preserve">6. </w:t>
      </w:r>
      <w:r w:rsidRPr="00D963C5">
        <w:rPr>
          <w:lang w:val="en-US"/>
        </w:rPr>
        <w:tab/>
      </w:r>
      <w:r w:rsidRPr="00D963C5">
        <w:rPr>
          <w:lang w:val="fr-FR"/>
        </w:rPr>
        <w:t>Ramos-Goñi JM, Craig BM, Oppe M</w:t>
      </w:r>
      <w:r w:rsidR="00C416DE" w:rsidRPr="00D963C5">
        <w:rPr>
          <w:lang w:val="fr-FR"/>
        </w:rPr>
        <w:t xml:space="preserve">, et al. </w:t>
      </w:r>
      <w:r w:rsidRPr="00B160BE">
        <w:rPr>
          <w:lang w:val="en-US"/>
        </w:rPr>
        <w:t xml:space="preserve">Handling </w:t>
      </w:r>
      <w:r w:rsidR="00E96DD0" w:rsidRPr="00B160BE">
        <w:rPr>
          <w:lang w:val="en-US"/>
        </w:rPr>
        <w:t xml:space="preserve">data quality issues to estimate </w:t>
      </w:r>
      <w:r w:rsidRPr="00B160BE">
        <w:rPr>
          <w:lang w:val="en-US"/>
        </w:rPr>
        <w:t xml:space="preserve">the Spanish EQ-5D-5L </w:t>
      </w:r>
      <w:r w:rsidR="00E96DD0" w:rsidRPr="00B160BE">
        <w:rPr>
          <w:lang w:val="en-US"/>
        </w:rPr>
        <w:t>value set using a hybrid interval regression approach</w:t>
      </w:r>
      <w:r w:rsidRPr="00B160BE">
        <w:rPr>
          <w:lang w:val="en-US"/>
        </w:rPr>
        <w:t xml:space="preserve">. Value in Health. 2018;21:596-604. </w:t>
      </w:r>
    </w:p>
    <w:p w14:paraId="4BB4221B" w14:textId="0E5414D7" w:rsidR="00B160BE" w:rsidRPr="00633447" w:rsidRDefault="00B160BE">
      <w:pPr>
        <w:spacing w:after="240" w:line="240" w:lineRule="auto"/>
        <w:ind w:left="505" w:hanging="505"/>
        <w:jc w:val="both"/>
        <w:rPr>
          <w:lang w:val="en-US"/>
        </w:rPr>
      </w:pPr>
      <w:r w:rsidRPr="00B160BE">
        <w:rPr>
          <w:lang w:val="en-US"/>
        </w:rPr>
        <w:t xml:space="preserve">7. </w:t>
      </w:r>
      <w:r w:rsidRPr="00B160BE">
        <w:rPr>
          <w:lang w:val="en-US"/>
        </w:rPr>
        <w:tab/>
        <w:t>Spanisht National Health S</w:t>
      </w:r>
      <w:r w:rsidR="00243330">
        <w:rPr>
          <w:lang w:val="en-US"/>
        </w:rPr>
        <w:t>t</w:t>
      </w:r>
      <w:r w:rsidRPr="00B160BE">
        <w:rPr>
          <w:lang w:val="en-US"/>
        </w:rPr>
        <w:t xml:space="preserve">atistics. Spanish National Health Survey 2011-2012. </w:t>
      </w:r>
      <w:r w:rsidR="00243330">
        <w:rPr>
          <w:rFonts w:ascii="Calibri" w:hAnsi="Calibri"/>
          <w:lang w:val="en-US"/>
        </w:rPr>
        <w:t>(</w:t>
      </w:r>
      <w:r w:rsidR="00633447" w:rsidRPr="00856851">
        <w:rPr>
          <w:rFonts w:ascii="Calibri" w:hAnsi="Calibri"/>
          <w:lang w:val="en-US"/>
        </w:rPr>
        <w:t>Accessed 2</w:t>
      </w:r>
      <w:r w:rsidR="00243330">
        <w:rPr>
          <w:rFonts w:ascii="Calibri" w:hAnsi="Calibri"/>
          <w:lang w:val="en-US"/>
        </w:rPr>
        <w:t>/3/2</w:t>
      </w:r>
      <w:r w:rsidR="00633447" w:rsidRPr="00856851">
        <w:rPr>
          <w:rFonts w:ascii="Calibri" w:hAnsi="Calibri"/>
          <w:lang w:val="en-US"/>
        </w:rPr>
        <w:t>017</w:t>
      </w:r>
      <w:r w:rsidR="00243330">
        <w:rPr>
          <w:rFonts w:ascii="Calibri" w:hAnsi="Calibri"/>
          <w:lang w:val="en-US"/>
        </w:rPr>
        <w:t>.)</w:t>
      </w:r>
      <w:r w:rsidR="00633447" w:rsidRPr="00856851">
        <w:rPr>
          <w:rFonts w:ascii="Calibri" w:hAnsi="Calibri"/>
          <w:lang w:val="en-US"/>
        </w:rPr>
        <w:t xml:space="preserve"> </w:t>
      </w:r>
      <w:r w:rsidR="00633447" w:rsidRPr="00633447">
        <w:rPr>
          <w:rFonts w:ascii="Calibri" w:hAnsi="Calibri"/>
          <w:lang w:val="en-US"/>
        </w:rPr>
        <w:t xml:space="preserve">Available </w:t>
      </w:r>
      <w:r w:rsidR="00243330">
        <w:rPr>
          <w:rFonts w:ascii="Calibri" w:hAnsi="Calibri"/>
          <w:lang w:val="en-US"/>
        </w:rPr>
        <w:t>at</w:t>
      </w:r>
      <w:r w:rsidR="00633447" w:rsidRPr="00633447">
        <w:rPr>
          <w:rFonts w:ascii="Calibri" w:hAnsi="Calibri"/>
          <w:lang w:val="en-US"/>
        </w:rPr>
        <w:t>: http://www.ine.es/dyngs/INEbase/en/operacion.htm?c=Estadistica_C&amp;cid=1254736176783&amp;menu=resultados&amp;secc=1254736195295&amp;idp=1254735573175</w:t>
      </w:r>
      <w:r w:rsidRPr="00633447">
        <w:rPr>
          <w:lang w:val="en-US"/>
        </w:rPr>
        <w:t xml:space="preserve"> </w:t>
      </w:r>
    </w:p>
    <w:p w14:paraId="588D3382" w14:textId="0DC287FA" w:rsidR="00B160BE" w:rsidRPr="004A7FAB" w:rsidRDefault="00B160BE">
      <w:pPr>
        <w:spacing w:after="240" w:line="240" w:lineRule="auto"/>
        <w:ind w:left="505" w:hanging="505"/>
        <w:jc w:val="both"/>
      </w:pPr>
      <w:r w:rsidRPr="00D8589B">
        <w:t xml:space="preserve">8. </w:t>
      </w:r>
      <w:r w:rsidRPr="00D8589B">
        <w:tab/>
        <w:t>Vilaprinyo E, Rué M, Marcos-Gragera R</w:t>
      </w:r>
      <w:r w:rsidR="00C416DE" w:rsidRPr="00D8589B">
        <w:t xml:space="preserve">, et al. </w:t>
      </w:r>
      <w:r w:rsidRPr="00B160BE">
        <w:rPr>
          <w:lang w:val="en-US"/>
        </w:rPr>
        <w:t xml:space="preserve">Estimation of age- and stage-specific Catalan breast cancer survival functions using US and Catalan survival data. </w:t>
      </w:r>
      <w:r w:rsidRPr="004A7FAB">
        <w:t xml:space="preserve">BMC Cancer. 2009;9:98. </w:t>
      </w:r>
    </w:p>
    <w:p w14:paraId="3BFDE9EE" w14:textId="59335C17" w:rsidR="00B160BE" w:rsidRDefault="00B160BE">
      <w:pPr>
        <w:spacing w:after="240" w:line="240" w:lineRule="auto"/>
        <w:ind w:left="505" w:hanging="505"/>
        <w:jc w:val="both"/>
      </w:pPr>
      <w:r w:rsidRPr="004A7FAB">
        <w:t xml:space="preserve">9. </w:t>
      </w:r>
      <w:r w:rsidRPr="004A7FAB">
        <w:tab/>
      </w:r>
      <w:r>
        <w:t>Arrospide A, Soto-Gordoa M, Acaiturri T</w:t>
      </w:r>
      <w:r w:rsidR="00C416DE" w:rsidRPr="00C416DE">
        <w:t xml:space="preserve">, et al. </w:t>
      </w:r>
      <w:r>
        <w:t>Coste del tratamiento del cáncer de mama por estad</w:t>
      </w:r>
      <w:r w:rsidR="00243330">
        <w:t>i</w:t>
      </w:r>
      <w:r>
        <w:t>o clínico en el País Vasco. Rev Esp Salud P</w:t>
      </w:r>
      <w:r w:rsidR="00243330">
        <w:t>u</w:t>
      </w:r>
      <w:r>
        <w:t xml:space="preserve">blica. 2015;89:93-7. </w:t>
      </w:r>
    </w:p>
    <w:p w14:paraId="170411ED" w14:textId="20D16117" w:rsidR="00B160BE" w:rsidRPr="00B160BE" w:rsidRDefault="00B160BE">
      <w:pPr>
        <w:spacing w:after="240" w:line="240" w:lineRule="auto"/>
        <w:ind w:left="505" w:hanging="505"/>
        <w:jc w:val="both"/>
        <w:rPr>
          <w:lang w:val="en-US"/>
        </w:rPr>
      </w:pPr>
      <w:r>
        <w:t xml:space="preserve">10. </w:t>
      </w:r>
      <w:r>
        <w:tab/>
        <w:t>Arrospide A, Rue M, van Ravesteyn NT</w:t>
      </w:r>
      <w:r w:rsidR="00C416DE" w:rsidRPr="00C416DE">
        <w:t xml:space="preserve">, et al. </w:t>
      </w:r>
      <w:r w:rsidRPr="00B160BE">
        <w:rPr>
          <w:lang w:val="en-US"/>
        </w:rPr>
        <w:t xml:space="preserve">Evaluation of health benefits and harms of the breast cancer screening programme in the Basque Country using discrete event simulation. BMC Cancer. 2015;15:671. </w:t>
      </w:r>
    </w:p>
    <w:p w14:paraId="123068FF" w14:textId="020DF2B0" w:rsidR="00B160BE" w:rsidRPr="00B160BE" w:rsidRDefault="00B160BE">
      <w:pPr>
        <w:spacing w:after="240" w:line="240" w:lineRule="auto"/>
        <w:ind w:left="505" w:hanging="505"/>
        <w:jc w:val="both"/>
        <w:rPr>
          <w:lang w:val="en-US"/>
        </w:rPr>
      </w:pPr>
      <w:r w:rsidRPr="00B160BE">
        <w:rPr>
          <w:lang w:val="en-US"/>
        </w:rPr>
        <w:t xml:space="preserve">11. </w:t>
      </w:r>
      <w:r w:rsidRPr="00B160BE">
        <w:rPr>
          <w:lang w:val="en-US"/>
        </w:rPr>
        <w:tab/>
        <w:t xml:space="preserve">Briggs AH, Claxton K, Sculpher MJ. Decision </w:t>
      </w:r>
      <w:r w:rsidR="00243330" w:rsidRPr="00B160BE">
        <w:rPr>
          <w:lang w:val="en-US"/>
        </w:rPr>
        <w:t>modelling for health economic evaluation</w:t>
      </w:r>
      <w:r w:rsidRPr="00B160BE">
        <w:rPr>
          <w:lang w:val="en-US"/>
        </w:rPr>
        <w:t xml:space="preserve">. Oxford University Press; 2006. 250 p. </w:t>
      </w:r>
    </w:p>
    <w:p w14:paraId="6638C571" w14:textId="75981009" w:rsidR="00B160BE" w:rsidRDefault="00B160BE">
      <w:pPr>
        <w:spacing w:after="240" w:line="240" w:lineRule="auto"/>
        <w:ind w:left="505" w:hanging="505"/>
        <w:jc w:val="both"/>
      </w:pPr>
      <w:r w:rsidRPr="00B160BE">
        <w:rPr>
          <w:lang w:val="en-US"/>
        </w:rPr>
        <w:t xml:space="preserve">12. </w:t>
      </w:r>
      <w:r w:rsidRPr="00B160BE">
        <w:rPr>
          <w:lang w:val="en-US"/>
        </w:rPr>
        <w:tab/>
        <w:t>Drummond MF, Sculpher MJ, Torrance GW</w:t>
      </w:r>
      <w:r w:rsidR="00C416DE">
        <w:rPr>
          <w:lang w:val="en-US"/>
        </w:rPr>
        <w:t xml:space="preserve">, et al. </w:t>
      </w:r>
      <w:r w:rsidRPr="00B160BE">
        <w:rPr>
          <w:lang w:val="en-US"/>
        </w:rPr>
        <w:t xml:space="preserve">Methods for the </w:t>
      </w:r>
      <w:r w:rsidR="00243330" w:rsidRPr="00B160BE">
        <w:rPr>
          <w:lang w:val="en-US"/>
        </w:rPr>
        <w:t>economic evaluation of health care program</w:t>
      </w:r>
      <w:r w:rsidRPr="00B160BE">
        <w:rPr>
          <w:lang w:val="en-US"/>
        </w:rPr>
        <w:t xml:space="preserve">mes. </w:t>
      </w:r>
      <w:r w:rsidR="00243330" w:rsidRPr="004A7FAB">
        <w:t>3rd ed</w:t>
      </w:r>
      <w:r w:rsidRPr="004A7FAB">
        <w:t xml:space="preserve">. </w:t>
      </w:r>
      <w:r>
        <w:t xml:space="preserve">Oxford: OUP Oxford; 2005. 400 p. </w:t>
      </w:r>
    </w:p>
    <w:p w14:paraId="2AFB72D8" w14:textId="2E447949" w:rsidR="00B160BE" w:rsidRPr="004A7FAB" w:rsidRDefault="00B160BE">
      <w:pPr>
        <w:spacing w:after="240" w:line="240" w:lineRule="auto"/>
        <w:ind w:left="505" w:hanging="505"/>
        <w:jc w:val="both"/>
        <w:rPr>
          <w:lang w:val="en-US"/>
        </w:rPr>
      </w:pPr>
      <w:r>
        <w:t xml:space="preserve">13. </w:t>
      </w:r>
      <w:r>
        <w:tab/>
        <w:t xml:space="preserve">Mar J, Gutiérrez-Moreno S, Chilcott J. Análisis coste-efectividad de tipo probabilístico del tratamiento de la apnea del sueño. </w:t>
      </w:r>
      <w:r w:rsidRPr="004A7FAB">
        <w:rPr>
          <w:lang w:val="en-US"/>
        </w:rPr>
        <w:t>Gac Sanit. 2006;20:47</w:t>
      </w:r>
      <w:r w:rsidR="00243330" w:rsidRPr="004A7FAB">
        <w:rPr>
          <w:lang w:val="en-US"/>
        </w:rPr>
        <w:t>-</w:t>
      </w:r>
      <w:r w:rsidRPr="004A7FAB">
        <w:rPr>
          <w:lang w:val="en-US"/>
        </w:rPr>
        <w:t xml:space="preserve">53. </w:t>
      </w:r>
    </w:p>
    <w:p w14:paraId="0B718670" w14:textId="7521C0C2" w:rsidR="00B160BE" w:rsidRPr="00B160BE" w:rsidRDefault="00B160BE">
      <w:pPr>
        <w:spacing w:after="240" w:line="240" w:lineRule="auto"/>
        <w:ind w:left="505" w:hanging="505"/>
        <w:jc w:val="both"/>
        <w:rPr>
          <w:lang w:val="en-US"/>
        </w:rPr>
      </w:pPr>
      <w:r w:rsidRPr="004A7FAB">
        <w:rPr>
          <w:lang w:val="en-US"/>
        </w:rPr>
        <w:lastRenderedPageBreak/>
        <w:t xml:space="preserve">14. </w:t>
      </w:r>
      <w:r w:rsidRPr="004A7FAB">
        <w:rPr>
          <w:lang w:val="en-US"/>
        </w:rPr>
        <w:tab/>
      </w:r>
      <w:r w:rsidRPr="00B160BE">
        <w:rPr>
          <w:lang w:val="en-US"/>
        </w:rPr>
        <w:t>Coates AS, Winer EP, Goldhirsch A</w:t>
      </w:r>
      <w:r w:rsidR="00C416DE">
        <w:rPr>
          <w:lang w:val="en-US"/>
        </w:rPr>
        <w:t xml:space="preserve">, et al. </w:t>
      </w:r>
      <w:r w:rsidRPr="00B160BE">
        <w:rPr>
          <w:lang w:val="en-US"/>
        </w:rPr>
        <w:t>Tailoring therapies</w:t>
      </w:r>
      <w:r w:rsidR="00243330">
        <w:rPr>
          <w:lang w:val="en-US"/>
        </w:rPr>
        <w:t xml:space="preserve"> </w:t>
      </w:r>
      <w:r w:rsidRPr="00B160BE">
        <w:rPr>
          <w:lang w:val="en-US"/>
        </w:rPr>
        <w:t>—</w:t>
      </w:r>
      <w:r w:rsidR="00243330">
        <w:rPr>
          <w:lang w:val="en-US"/>
        </w:rPr>
        <w:t xml:space="preserve"> </w:t>
      </w:r>
      <w:r w:rsidRPr="00B160BE">
        <w:rPr>
          <w:lang w:val="en-US"/>
        </w:rPr>
        <w:t xml:space="preserve">improving the management of early breast cancer: St Gallen International Expert Consensus on the Primary Therapy of Early Breast Cancer 2015. Ann Oncol. 2015;26:1533-46. </w:t>
      </w:r>
    </w:p>
    <w:p w14:paraId="1D3F327C" w14:textId="41303D63" w:rsidR="00B160BE" w:rsidRPr="00856851" w:rsidRDefault="00B160BE">
      <w:pPr>
        <w:spacing w:after="240" w:line="240" w:lineRule="auto"/>
        <w:ind w:left="505" w:hanging="505"/>
        <w:jc w:val="both"/>
        <w:rPr>
          <w:lang w:val="en-US"/>
        </w:rPr>
      </w:pPr>
      <w:r w:rsidRPr="00B160BE">
        <w:rPr>
          <w:lang w:val="en-US"/>
        </w:rPr>
        <w:t xml:space="preserve">15. </w:t>
      </w:r>
      <w:r w:rsidRPr="00B160BE">
        <w:rPr>
          <w:lang w:val="en-US"/>
        </w:rPr>
        <w:tab/>
      </w:r>
      <w:r w:rsidRPr="00EA01AC">
        <w:rPr>
          <w:lang w:val="en-US"/>
        </w:rPr>
        <w:t>Goldhirsch A, Winer EP, Coates AS</w:t>
      </w:r>
      <w:r w:rsidR="00C416DE">
        <w:rPr>
          <w:lang w:val="en-US"/>
        </w:rPr>
        <w:t xml:space="preserve">, et al. </w:t>
      </w:r>
      <w:r w:rsidRPr="00B160BE">
        <w:rPr>
          <w:lang w:val="en-US"/>
        </w:rPr>
        <w:t xml:space="preserve">Personalizing the treatment of women with early breast cancer: highlights of the St Gallen International Expert Consensus on the Primary Therapy of Early Breast Cancer 2013. </w:t>
      </w:r>
      <w:r w:rsidRPr="00856851">
        <w:rPr>
          <w:lang w:val="en-US"/>
        </w:rPr>
        <w:t xml:space="preserve">Ann Oncol. 2013;24:2206-23. </w:t>
      </w:r>
    </w:p>
    <w:p w14:paraId="41B50184" w14:textId="77777777" w:rsidR="007668CD" w:rsidRPr="00856851" w:rsidRDefault="007668CD" w:rsidP="00D8589B">
      <w:pPr>
        <w:jc w:val="both"/>
        <w:rPr>
          <w:lang w:val="en-US"/>
        </w:rPr>
      </w:pPr>
    </w:p>
    <w:p w14:paraId="130169A0" w14:textId="77777777" w:rsidR="00B763AF" w:rsidRPr="00856851" w:rsidRDefault="00B763AF" w:rsidP="00D8589B">
      <w:pPr>
        <w:jc w:val="both"/>
        <w:rPr>
          <w:lang w:val="en-US"/>
        </w:rPr>
      </w:pPr>
    </w:p>
    <w:p w14:paraId="383DD719" w14:textId="77777777" w:rsidR="00B763AF" w:rsidRPr="00856851" w:rsidRDefault="00B763AF" w:rsidP="00D8589B">
      <w:pPr>
        <w:jc w:val="both"/>
        <w:rPr>
          <w:lang w:val="en-US"/>
        </w:rPr>
        <w:sectPr w:rsidR="00B763AF" w:rsidRPr="00856851">
          <w:pgSz w:w="11906" w:h="16838"/>
          <w:pgMar w:top="1417" w:right="1701" w:bottom="1417" w:left="1701" w:header="708" w:footer="708" w:gutter="0"/>
          <w:cols w:space="708"/>
          <w:docGrid w:linePitch="360"/>
        </w:sectPr>
      </w:pPr>
    </w:p>
    <w:p w14:paraId="77E86577" w14:textId="13EDB3F9" w:rsidR="00243330" w:rsidRPr="00D8589B" w:rsidRDefault="00B763AF" w:rsidP="00E96DD0">
      <w:pPr>
        <w:jc w:val="both"/>
        <w:rPr>
          <w:b/>
          <w:lang w:val="en-US"/>
        </w:rPr>
      </w:pPr>
      <w:r w:rsidRPr="00D8589B">
        <w:rPr>
          <w:b/>
          <w:lang w:val="en-US"/>
        </w:rPr>
        <w:lastRenderedPageBreak/>
        <w:t xml:space="preserve">Table </w:t>
      </w:r>
      <w:r w:rsidR="00243330" w:rsidRPr="00D8589B">
        <w:rPr>
          <w:b/>
          <w:lang w:val="en-US"/>
        </w:rPr>
        <w:t>I</w:t>
      </w:r>
    </w:p>
    <w:p w14:paraId="3771A7DC" w14:textId="211E11C1" w:rsidR="00B763AF" w:rsidRPr="006A5F1D" w:rsidRDefault="00B763AF" w:rsidP="00D8589B">
      <w:pPr>
        <w:jc w:val="both"/>
        <w:rPr>
          <w:lang w:val="en-US"/>
        </w:rPr>
      </w:pPr>
      <w:r w:rsidRPr="006A5F1D">
        <w:rPr>
          <w:lang w:val="en-US"/>
        </w:rPr>
        <w:t xml:space="preserve">Parameter groups and distributions used for the calculation </w:t>
      </w:r>
      <w:r>
        <w:rPr>
          <w:lang w:val="en-US"/>
        </w:rPr>
        <w:t xml:space="preserve">of the partial </w:t>
      </w:r>
      <w:r w:rsidRPr="006A5F1D">
        <w:rPr>
          <w:lang w:val="en-US"/>
        </w:rPr>
        <w:t>expected value of perfect information.</w:t>
      </w:r>
    </w:p>
    <w:tbl>
      <w:tblPr>
        <w:tblW w:w="0" w:type="auto"/>
        <w:jc w:val="center"/>
        <w:tblLook w:val="04A0" w:firstRow="1" w:lastRow="0" w:firstColumn="1" w:lastColumn="0" w:noHBand="0" w:noVBand="1"/>
      </w:tblPr>
      <w:tblGrid>
        <w:gridCol w:w="2489"/>
        <w:gridCol w:w="1771"/>
        <w:gridCol w:w="277"/>
        <w:gridCol w:w="2084"/>
        <w:gridCol w:w="1134"/>
      </w:tblGrid>
      <w:tr w:rsidR="009F0B03" w:rsidRPr="00D12C05" w14:paraId="0BE4B3F7" w14:textId="7AA1EEB6" w:rsidTr="009F0B03">
        <w:trPr>
          <w:trHeight w:val="397"/>
          <w:jc w:val="center"/>
        </w:trPr>
        <w:tc>
          <w:tcPr>
            <w:tcW w:w="2489" w:type="dxa"/>
            <w:tcBorders>
              <w:top w:val="single" w:sz="4" w:space="0" w:color="auto"/>
              <w:bottom w:val="single" w:sz="4" w:space="0" w:color="auto"/>
            </w:tcBorders>
            <w:vAlign w:val="center"/>
          </w:tcPr>
          <w:p w14:paraId="1E416B3B" w14:textId="77777777" w:rsidR="009F0B03" w:rsidRPr="00D12C05" w:rsidRDefault="009F0B03" w:rsidP="00D8589B">
            <w:pPr>
              <w:spacing w:after="0" w:line="240" w:lineRule="auto"/>
              <w:jc w:val="both"/>
              <w:rPr>
                <w:rFonts w:cstheme="minorHAnsi"/>
                <w:b/>
                <w:szCs w:val="20"/>
                <w:lang w:val="en-GB"/>
              </w:rPr>
            </w:pPr>
            <w:r w:rsidRPr="00D12C05">
              <w:rPr>
                <w:rFonts w:cstheme="minorHAnsi"/>
                <w:b/>
                <w:szCs w:val="20"/>
                <w:lang w:val="en-GB"/>
              </w:rPr>
              <w:t>Gr</w:t>
            </w:r>
            <w:r>
              <w:rPr>
                <w:rFonts w:cstheme="minorHAnsi"/>
                <w:b/>
                <w:szCs w:val="20"/>
                <w:lang w:val="en-GB"/>
              </w:rPr>
              <w:t>o</w:t>
            </w:r>
            <w:r w:rsidRPr="00D12C05">
              <w:rPr>
                <w:rFonts w:cstheme="minorHAnsi"/>
                <w:b/>
                <w:szCs w:val="20"/>
                <w:lang w:val="en-GB"/>
              </w:rPr>
              <w:t>up</w:t>
            </w:r>
          </w:p>
        </w:tc>
        <w:tc>
          <w:tcPr>
            <w:tcW w:w="1771" w:type="dxa"/>
            <w:tcBorders>
              <w:top w:val="single" w:sz="4" w:space="0" w:color="auto"/>
              <w:bottom w:val="single" w:sz="4" w:space="0" w:color="auto"/>
            </w:tcBorders>
            <w:vAlign w:val="center"/>
          </w:tcPr>
          <w:p w14:paraId="4EBB74C6" w14:textId="77777777" w:rsidR="009F0B03" w:rsidRPr="00D12C05" w:rsidRDefault="009F0B03" w:rsidP="00D8589B">
            <w:pPr>
              <w:spacing w:after="0" w:line="240" w:lineRule="auto"/>
              <w:jc w:val="both"/>
              <w:rPr>
                <w:rFonts w:cstheme="minorHAnsi"/>
                <w:b/>
                <w:szCs w:val="20"/>
                <w:lang w:val="en-GB"/>
              </w:rPr>
            </w:pPr>
            <w:r w:rsidRPr="00D12C05">
              <w:rPr>
                <w:rFonts w:cstheme="minorHAnsi"/>
                <w:b/>
                <w:szCs w:val="20"/>
                <w:lang w:val="en-GB"/>
              </w:rPr>
              <w:t>Variable</w:t>
            </w:r>
          </w:p>
        </w:tc>
        <w:tc>
          <w:tcPr>
            <w:tcW w:w="2361" w:type="dxa"/>
            <w:gridSpan w:val="2"/>
            <w:tcBorders>
              <w:top w:val="single" w:sz="4" w:space="0" w:color="auto"/>
              <w:bottom w:val="single" w:sz="4" w:space="0" w:color="auto"/>
            </w:tcBorders>
            <w:vAlign w:val="center"/>
          </w:tcPr>
          <w:p w14:paraId="087BAE91" w14:textId="77777777" w:rsidR="009F0B03" w:rsidRPr="00D12C05" w:rsidRDefault="009F0B03" w:rsidP="00D8589B">
            <w:pPr>
              <w:spacing w:after="0" w:line="240" w:lineRule="auto"/>
              <w:jc w:val="both"/>
              <w:rPr>
                <w:rFonts w:cstheme="minorHAnsi"/>
                <w:b/>
                <w:szCs w:val="20"/>
                <w:lang w:val="en-GB"/>
              </w:rPr>
            </w:pPr>
            <w:r w:rsidRPr="00D12C05">
              <w:rPr>
                <w:rFonts w:cstheme="minorHAnsi"/>
                <w:b/>
                <w:szCs w:val="20"/>
                <w:lang w:val="en-GB"/>
              </w:rPr>
              <w:t>Distribu</w:t>
            </w:r>
            <w:r>
              <w:rPr>
                <w:rFonts w:cstheme="minorHAnsi"/>
                <w:b/>
                <w:szCs w:val="20"/>
                <w:lang w:val="en-GB"/>
              </w:rPr>
              <w:t>tio</w:t>
            </w:r>
            <w:r w:rsidRPr="00D12C05">
              <w:rPr>
                <w:rFonts w:cstheme="minorHAnsi"/>
                <w:b/>
                <w:szCs w:val="20"/>
                <w:lang w:val="en-GB"/>
              </w:rPr>
              <w:t>n</w:t>
            </w:r>
          </w:p>
        </w:tc>
        <w:tc>
          <w:tcPr>
            <w:tcW w:w="1134" w:type="dxa"/>
            <w:tcBorders>
              <w:top w:val="single" w:sz="4" w:space="0" w:color="auto"/>
              <w:bottom w:val="single" w:sz="4" w:space="0" w:color="auto"/>
            </w:tcBorders>
            <w:vAlign w:val="center"/>
          </w:tcPr>
          <w:p w14:paraId="314FADC9" w14:textId="089F8EDF" w:rsidR="009F0B03" w:rsidRPr="00D12C05" w:rsidRDefault="009F0B03" w:rsidP="00D8589B">
            <w:pPr>
              <w:spacing w:after="0" w:line="240" w:lineRule="auto"/>
              <w:jc w:val="both"/>
              <w:rPr>
                <w:rFonts w:cstheme="minorHAnsi"/>
                <w:b/>
                <w:szCs w:val="20"/>
                <w:lang w:val="en-GB"/>
              </w:rPr>
            </w:pPr>
            <w:r>
              <w:rPr>
                <w:rFonts w:cstheme="minorHAnsi"/>
                <w:b/>
                <w:szCs w:val="20"/>
                <w:lang w:val="en-GB"/>
              </w:rPr>
              <w:t>Source</w:t>
            </w:r>
          </w:p>
        </w:tc>
      </w:tr>
      <w:tr w:rsidR="009F0B03" w:rsidRPr="00D12C05" w14:paraId="4D15DC7D" w14:textId="0D5A8850" w:rsidTr="009F0B03">
        <w:trPr>
          <w:trHeight w:val="340"/>
          <w:jc w:val="center"/>
        </w:trPr>
        <w:tc>
          <w:tcPr>
            <w:tcW w:w="2489" w:type="dxa"/>
            <w:tcBorders>
              <w:top w:val="single" w:sz="4" w:space="0" w:color="auto"/>
            </w:tcBorders>
            <w:vAlign w:val="center"/>
          </w:tcPr>
          <w:p w14:paraId="26502C08" w14:textId="77777777" w:rsidR="009F0B03" w:rsidRPr="00D12C05" w:rsidRDefault="009F0B03" w:rsidP="00D8589B">
            <w:pPr>
              <w:spacing w:after="0" w:line="240" w:lineRule="auto"/>
              <w:jc w:val="both"/>
              <w:rPr>
                <w:rFonts w:cstheme="minorHAnsi"/>
                <w:szCs w:val="20"/>
                <w:lang w:val="en-GB"/>
              </w:rPr>
            </w:pPr>
            <w:r>
              <w:rPr>
                <w:rFonts w:cstheme="minorHAnsi"/>
                <w:szCs w:val="20"/>
                <w:lang w:val="en-GB"/>
              </w:rPr>
              <w:t>Treatment d</w:t>
            </w:r>
            <w:r w:rsidRPr="00D12C05">
              <w:rPr>
                <w:rFonts w:cstheme="minorHAnsi"/>
                <w:szCs w:val="20"/>
                <w:lang w:val="en-GB"/>
              </w:rPr>
              <w:t>ecisi</w:t>
            </w:r>
            <w:r>
              <w:rPr>
                <w:rFonts w:cstheme="minorHAnsi"/>
                <w:szCs w:val="20"/>
                <w:lang w:val="en-GB"/>
              </w:rPr>
              <w:t>on</w:t>
            </w:r>
          </w:p>
        </w:tc>
        <w:tc>
          <w:tcPr>
            <w:tcW w:w="1771" w:type="dxa"/>
            <w:tcBorders>
              <w:top w:val="single" w:sz="4" w:space="0" w:color="auto"/>
            </w:tcBorders>
            <w:vAlign w:val="center"/>
          </w:tcPr>
          <w:p w14:paraId="6CB60020" w14:textId="77777777" w:rsidR="009F0B03" w:rsidRPr="00D12C05" w:rsidRDefault="009F0B03" w:rsidP="00D8589B">
            <w:pPr>
              <w:spacing w:after="0" w:line="240" w:lineRule="auto"/>
              <w:jc w:val="both"/>
              <w:rPr>
                <w:rFonts w:cstheme="minorHAnsi"/>
                <w:szCs w:val="20"/>
                <w:lang w:val="en-GB"/>
              </w:rPr>
            </w:pPr>
            <w:r>
              <w:rPr>
                <w:rFonts w:cstheme="minorHAnsi"/>
                <w:szCs w:val="20"/>
                <w:lang w:val="en-GB"/>
              </w:rPr>
              <w:t xml:space="preserve">Risk </w:t>
            </w:r>
            <w:r w:rsidRPr="00D12C05">
              <w:rPr>
                <w:rFonts w:cstheme="minorHAnsi"/>
                <w:szCs w:val="20"/>
                <w:lang w:val="en-GB"/>
              </w:rPr>
              <w:t>Score</w:t>
            </w:r>
          </w:p>
        </w:tc>
        <w:tc>
          <w:tcPr>
            <w:tcW w:w="2361" w:type="dxa"/>
            <w:gridSpan w:val="2"/>
            <w:tcBorders>
              <w:top w:val="single" w:sz="4" w:space="0" w:color="auto"/>
            </w:tcBorders>
            <w:vAlign w:val="center"/>
          </w:tcPr>
          <w:p w14:paraId="1D2FC7EF" w14:textId="77777777" w:rsidR="009F0B03" w:rsidRPr="00D12C05" w:rsidRDefault="009F0B03" w:rsidP="00D8589B">
            <w:pPr>
              <w:spacing w:after="0" w:line="240" w:lineRule="auto"/>
              <w:jc w:val="both"/>
              <w:rPr>
                <w:rFonts w:cstheme="minorHAnsi"/>
                <w:szCs w:val="20"/>
                <w:lang w:val="en-GB"/>
              </w:rPr>
            </w:pPr>
            <w:r w:rsidRPr="00D12C05">
              <w:rPr>
                <w:rFonts w:cstheme="minorHAnsi"/>
                <w:szCs w:val="20"/>
                <w:lang w:val="en-GB"/>
              </w:rPr>
              <w:t>Dirichlet comp</w:t>
            </w:r>
            <w:r>
              <w:rPr>
                <w:rFonts w:cstheme="minorHAnsi"/>
                <w:szCs w:val="20"/>
                <w:lang w:val="en-GB"/>
              </w:rPr>
              <w:t>ound by</w:t>
            </w:r>
            <w:r w:rsidRPr="00D12C05">
              <w:rPr>
                <w:rFonts w:cstheme="minorHAnsi"/>
                <w:szCs w:val="20"/>
                <w:lang w:val="en-GB"/>
              </w:rPr>
              <w:t>:</w:t>
            </w:r>
          </w:p>
        </w:tc>
        <w:tc>
          <w:tcPr>
            <w:tcW w:w="1134" w:type="dxa"/>
            <w:tcBorders>
              <w:top w:val="single" w:sz="4" w:space="0" w:color="auto"/>
            </w:tcBorders>
            <w:vAlign w:val="center"/>
          </w:tcPr>
          <w:p w14:paraId="652C1B15" w14:textId="77777777" w:rsidR="009F0B03" w:rsidRPr="009F0B03" w:rsidRDefault="009F0B03" w:rsidP="00D8589B">
            <w:pPr>
              <w:spacing w:after="0" w:line="240" w:lineRule="auto"/>
              <w:jc w:val="both"/>
              <w:rPr>
                <w:rFonts w:cstheme="minorHAnsi"/>
                <w:szCs w:val="20"/>
                <w:vertAlign w:val="superscript"/>
                <w:lang w:val="en-GB"/>
              </w:rPr>
            </w:pPr>
          </w:p>
        </w:tc>
      </w:tr>
      <w:tr w:rsidR="009F0B03" w:rsidRPr="00D12C05" w14:paraId="786D6AD2" w14:textId="6817F368" w:rsidTr="009F0B03">
        <w:trPr>
          <w:trHeight w:val="340"/>
          <w:jc w:val="center"/>
        </w:trPr>
        <w:tc>
          <w:tcPr>
            <w:tcW w:w="2489" w:type="dxa"/>
            <w:vAlign w:val="center"/>
          </w:tcPr>
          <w:p w14:paraId="5AB877E2" w14:textId="77777777" w:rsidR="009F0B03" w:rsidRPr="00D12C05" w:rsidRDefault="009F0B03" w:rsidP="00D8589B">
            <w:pPr>
              <w:spacing w:after="0" w:line="240" w:lineRule="auto"/>
              <w:jc w:val="both"/>
              <w:rPr>
                <w:rFonts w:cstheme="minorHAnsi"/>
                <w:szCs w:val="20"/>
                <w:lang w:val="en-GB"/>
              </w:rPr>
            </w:pPr>
          </w:p>
        </w:tc>
        <w:tc>
          <w:tcPr>
            <w:tcW w:w="1771" w:type="dxa"/>
            <w:vAlign w:val="center"/>
          </w:tcPr>
          <w:p w14:paraId="71DBF616" w14:textId="77777777" w:rsidR="009F0B03" w:rsidRPr="00D12C05" w:rsidRDefault="009F0B03" w:rsidP="00D8589B">
            <w:pPr>
              <w:spacing w:after="0" w:line="240" w:lineRule="auto"/>
              <w:jc w:val="both"/>
              <w:rPr>
                <w:rFonts w:cstheme="minorHAnsi"/>
                <w:szCs w:val="20"/>
                <w:lang w:val="en-GB"/>
              </w:rPr>
            </w:pPr>
          </w:p>
        </w:tc>
        <w:tc>
          <w:tcPr>
            <w:tcW w:w="277" w:type="dxa"/>
            <w:vAlign w:val="center"/>
          </w:tcPr>
          <w:p w14:paraId="1E7C93CB" w14:textId="77777777" w:rsidR="009F0B03" w:rsidRPr="00D12C05" w:rsidRDefault="009F0B03" w:rsidP="00D8589B">
            <w:pPr>
              <w:spacing w:after="0" w:line="240" w:lineRule="auto"/>
              <w:jc w:val="both"/>
              <w:rPr>
                <w:rFonts w:cstheme="minorHAnsi"/>
                <w:szCs w:val="20"/>
                <w:lang w:val="en-GB"/>
              </w:rPr>
            </w:pPr>
          </w:p>
        </w:tc>
        <w:tc>
          <w:tcPr>
            <w:tcW w:w="2084" w:type="dxa"/>
            <w:vAlign w:val="center"/>
          </w:tcPr>
          <w:p w14:paraId="2C3E9882" w14:textId="77777777" w:rsidR="009F0B03" w:rsidRPr="00D12C05" w:rsidRDefault="009F0B03" w:rsidP="00D8589B">
            <w:pPr>
              <w:spacing w:after="0" w:line="240" w:lineRule="auto"/>
              <w:jc w:val="both"/>
              <w:rPr>
                <w:rFonts w:cstheme="minorHAnsi"/>
                <w:szCs w:val="20"/>
                <w:lang w:val="en-GB"/>
              </w:rPr>
            </w:pPr>
            <w:r w:rsidRPr="00D12C05">
              <w:rPr>
                <w:rFonts w:cstheme="minorHAnsi"/>
                <w:szCs w:val="20"/>
                <w:lang w:val="en-GB"/>
              </w:rPr>
              <w:t>Gamma (222,1)</w:t>
            </w:r>
          </w:p>
        </w:tc>
        <w:tc>
          <w:tcPr>
            <w:tcW w:w="1134" w:type="dxa"/>
            <w:vAlign w:val="center"/>
          </w:tcPr>
          <w:p w14:paraId="79E1C381" w14:textId="287C6364" w:rsidR="009F0B03" w:rsidRPr="009F0B03" w:rsidRDefault="009F0B03" w:rsidP="00D8589B">
            <w:pPr>
              <w:spacing w:after="0" w:line="240" w:lineRule="auto"/>
              <w:jc w:val="both"/>
              <w:rPr>
                <w:rFonts w:cstheme="minorHAnsi"/>
                <w:szCs w:val="20"/>
                <w:vertAlign w:val="superscript"/>
                <w:lang w:val="en-GB"/>
              </w:rPr>
            </w:pPr>
            <w:r w:rsidRPr="009F0B03">
              <w:rPr>
                <w:rFonts w:cstheme="minorHAnsi"/>
                <w:szCs w:val="20"/>
                <w:vertAlign w:val="superscript"/>
                <w:lang w:val="en-GB"/>
              </w:rPr>
              <w:t>10</w:t>
            </w:r>
          </w:p>
        </w:tc>
      </w:tr>
      <w:tr w:rsidR="009F0B03" w:rsidRPr="00D12C05" w14:paraId="45ACE9C7" w14:textId="65162D30" w:rsidTr="009F0B03">
        <w:trPr>
          <w:trHeight w:val="340"/>
          <w:jc w:val="center"/>
        </w:trPr>
        <w:tc>
          <w:tcPr>
            <w:tcW w:w="2489" w:type="dxa"/>
            <w:vAlign w:val="center"/>
          </w:tcPr>
          <w:p w14:paraId="18A7F1F4" w14:textId="77777777" w:rsidR="009F0B03" w:rsidRPr="00D12C05" w:rsidRDefault="009F0B03" w:rsidP="00D8589B">
            <w:pPr>
              <w:spacing w:after="0" w:line="240" w:lineRule="auto"/>
              <w:jc w:val="both"/>
              <w:rPr>
                <w:rFonts w:cstheme="minorHAnsi"/>
                <w:szCs w:val="20"/>
                <w:lang w:val="en-GB"/>
              </w:rPr>
            </w:pPr>
          </w:p>
        </w:tc>
        <w:tc>
          <w:tcPr>
            <w:tcW w:w="1771" w:type="dxa"/>
            <w:vAlign w:val="center"/>
          </w:tcPr>
          <w:p w14:paraId="7DF9D443" w14:textId="77777777" w:rsidR="009F0B03" w:rsidRPr="00D12C05" w:rsidRDefault="009F0B03" w:rsidP="00D8589B">
            <w:pPr>
              <w:spacing w:after="0" w:line="240" w:lineRule="auto"/>
              <w:jc w:val="both"/>
              <w:rPr>
                <w:rFonts w:cstheme="minorHAnsi"/>
                <w:szCs w:val="20"/>
                <w:lang w:val="en-GB"/>
              </w:rPr>
            </w:pPr>
          </w:p>
        </w:tc>
        <w:tc>
          <w:tcPr>
            <w:tcW w:w="277" w:type="dxa"/>
            <w:vAlign w:val="center"/>
          </w:tcPr>
          <w:p w14:paraId="7450F823" w14:textId="77777777" w:rsidR="009F0B03" w:rsidRPr="00D12C05" w:rsidRDefault="009F0B03" w:rsidP="00D8589B">
            <w:pPr>
              <w:spacing w:after="0" w:line="240" w:lineRule="auto"/>
              <w:jc w:val="both"/>
              <w:rPr>
                <w:rFonts w:cstheme="minorHAnsi"/>
                <w:szCs w:val="20"/>
                <w:lang w:val="en-GB"/>
              </w:rPr>
            </w:pPr>
          </w:p>
        </w:tc>
        <w:tc>
          <w:tcPr>
            <w:tcW w:w="2084" w:type="dxa"/>
            <w:vAlign w:val="center"/>
          </w:tcPr>
          <w:p w14:paraId="614C42D6" w14:textId="77777777" w:rsidR="009F0B03" w:rsidRPr="00D12C05" w:rsidRDefault="009F0B03" w:rsidP="00D8589B">
            <w:pPr>
              <w:spacing w:after="0" w:line="240" w:lineRule="auto"/>
              <w:jc w:val="both"/>
              <w:rPr>
                <w:rFonts w:cstheme="minorHAnsi"/>
                <w:szCs w:val="20"/>
                <w:lang w:val="en-GB"/>
              </w:rPr>
            </w:pPr>
            <w:r w:rsidRPr="00D12C05">
              <w:rPr>
                <w:rFonts w:cstheme="minorHAnsi"/>
                <w:szCs w:val="20"/>
                <w:lang w:val="en-GB"/>
              </w:rPr>
              <w:t>Gamma (153,1)</w:t>
            </w:r>
          </w:p>
        </w:tc>
        <w:tc>
          <w:tcPr>
            <w:tcW w:w="1134" w:type="dxa"/>
            <w:vAlign w:val="center"/>
          </w:tcPr>
          <w:p w14:paraId="1ED077E9" w14:textId="46FDA8AD" w:rsidR="009F0B03" w:rsidRPr="009F0B03" w:rsidRDefault="009F0B03" w:rsidP="00D8589B">
            <w:pPr>
              <w:spacing w:after="0" w:line="240" w:lineRule="auto"/>
              <w:jc w:val="both"/>
              <w:rPr>
                <w:rFonts w:cstheme="minorHAnsi"/>
                <w:szCs w:val="20"/>
                <w:vertAlign w:val="superscript"/>
                <w:lang w:val="en-GB"/>
              </w:rPr>
            </w:pPr>
            <w:r w:rsidRPr="009F0B03">
              <w:rPr>
                <w:rFonts w:cstheme="minorHAnsi"/>
                <w:szCs w:val="20"/>
                <w:vertAlign w:val="superscript"/>
                <w:lang w:val="en-GB"/>
              </w:rPr>
              <w:t>10</w:t>
            </w:r>
          </w:p>
        </w:tc>
      </w:tr>
      <w:tr w:rsidR="009F0B03" w:rsidRPr="00D12C05" w14:paraId="0DAAA5B7" w14:textId="3E94E795" w:rsidTr="009F0B03">
        <w:trPr>
          <w:trHeight w:val="340"/>
          <w:jc w:val="center"/>
        </w:trPr>
        <w:tc>
          <w:tcPr>
            <w:tcW w:w="2489" w:type="dxa"/>
            <w:vAlign w:val="center"/>
          </w:tcPr>
          <w:p w14:paraId="15914F90" w14:textId="77777777" w:rsidR="009F0B03" w:rsidRPr="00D12C05" w:rsidRDefault="009F0B03" w:rsidP="00D8589B">
            <w:pPr>
              <w:spacing w:after="0" w:line="240" w:lineRule="auto"/>
              <w:jc w:val="both"/>
              <w:rPr>
                <w:rFonts w:cstheme="minorHAnsi"/>
                <w:szCs w:val="20"/>
                <w:lang w:val="en-GB"/>
              </w:rPr>
            </w:pPr>
          </w:p>
        </w:tc>
        <w:tc>
          <w:tcPr>
            <w:tcW w:w="1771" w:type="dxa"/>
            <w:vAlign w:val="center"/>
          </w:tcPr>
          <w:p w14:paraId="02A5F9BE" w14:textId="77777777" w:rsidR="009F0B03" w:rsidRPr="00D12C05" w:rsidRDefault="009F0B03" w:rsidP="00D8589B">
            <w:pPr>
              <w:spacing w:after="0" w:line="240" w:lineRule="auto"/>
              <w:jc w:val="both"/>
              <w:rPr>
                <w:rFonts w:cstheme="minorHAnsi"/>
                <w:szCs w:val="20"/>
                <w:lang w:val="en-GB"/>
              </w:rPr>
            </w:pPr>
          </w:p>
        </w:tc>
        <w:tc>
          <w:tcPr>
            <w:tcW w:w="277" w:type="dxa"/>
            <w:vAlign w:val="center"/>
          </w:tcPr>
          <w:p w14:paraId="346AAADE" w14:textId="77777777" w:rsidR="009F0B03" w:rsidRPr="00D12C05" w:rsidRDefault="009F0B03" w:rsidP="00D8589B">
            <w:pPr>
              <w:spacing w:after="0" w:line="240" w:lineRule="auto"/>
              <w:jc w:val="both"/>
              <w:rPr>
                <w:rFonts w:cstheme="minorHAnsi"/>
                <w:szCs w:val="20"/>
                <w:lang w:val="en-GB"/>
              </w:rPr>
            </w:pPr>
          </w:p>
        </w:tc>
        <w:tc>
          <w:tcPr>
            <w:tcW w:w="2084" w:type="dxa"/>
            <w:vAlign w:val="center"/>
          </w:tcPr>
          <w:p w14:paraId="7B29CD01" w14:textId="77777777" w:rsidR="009F0B03" w:rsidRPr="00D12C05" w:rsidRDefault="009F0B03" w:rsidP="00D8589B">
            <w:pPr>
              <w:spacing w:after="0" w:line="240" w:lineRule="auto"/>
              <w:jc w:val="both"/>
              <w:rPr>
                <w:rFonts w:cstheme="minorHAnsi"/>
                <w:szCs w:val="20"/>
                <w:lang w:val="en-GB"/>
              </w:rPr>
            </w:pPr>
            <w:r w:rsidRPr="00D12C05">
              <w:rPr>
                <w:rFonts w:cstheme="minorHAnsi"/>
                <w:szCs w:val="20"/>
                <w:lang w:val="en-GB"/>
              </w:rPr>
              <w:t>Gamma (26,1)</w:t>
            </w:r>
          </w:p>
        </w:tc>
        <w:tc>
          <w:tcPr>
            <w:tcW w:w="1134" w:type="dxa"/>
            <w:vAlign w:val="center"/>
          </w:tcPr>
          <w:p w14:paraId="718512F9" w14:textId="0C3CDB47" w:rsidR="009F0B03" w:rsidRPr="009F0B03" w:rsidRDefault="009F0B03" w:rsidP="00D8589B">
            <w:pPr>
              <w:spacing w:after="0" w:line="240" w:lineRule="auto"/>
              <w:jc w:val="both"/>
              <w:rPr>
                <w:rFonts w:cstheme="minorHAnsi"/>
                <w:szCs w:val="20"/>
                <w:vertAlign w:val="superscript"/>
                <w:lang w:val="en-GB"/>
              </w:rPr>
            </w:pPr>
            <w:r w:rsidRPr="009F0B03">
              <w:rPr>
                <w:rFonts w:cstheme="minorHAnsi"/>
                <w:szCs w:val="20"/>
                <w:vertAlign w:val="superscript"/>
                <w:lang w:val="en-GB"/>
              </w:rPr>
              <w:t>10</w:t>
            </w:r>
          </w:p>
        </w:tc>
      </w:tr>
      <w:tr w:rsidR="009F0B03" w:rsidRPr="00D12C05" w14:paraId="64453789" w14:textId="1935BE1D" w:rsidTr="009F0B03">
        <w:trPr>
          <w:trHeight w:val="340"/>
          <w:jc w:val="center"/>
        </w:trPr>
        <w:tc>
          <w:tcPr>
            <w:tcW w:w="2489" w:type="dxa"/>
            <w:vAlign w:val="center"/>
          </w:tcPr>
          <w:p w14:paraId="66A404D1" w14:textId="77777777" w:rsidR="009F0B03" w:rsidRPr="00D12C05" w:rsidRDefault="009F0B03" w:rsidP="00D8589B">
            <w:pPr>
              <w:spacing w:after="0" w:line="240" w:lineRule="auto"/>
              <w:jc w:val="both"/>
              <w:rPr>
                <w:rFonts w:cstheme="minorHAnsi"/>
                <w:szCs w:val="20"/>
                <w:lang w:val="en-GB"/>
              </w:rPr>
            </w:pPr>
          </w:p>
        </w:tc>
        <w:tc>
          <w:tcPr>
            <w:tcW w:w="1771" w:type="dxa"/>
            <w:vAlign w:val="center"/>
          </w:tcPr>
          <w:p w14:paraId="3D59ADA1" w14:textId="77777777" w:rsidR="009F0B03" w:rsidRPr="00D12C05" w:rsidRDefault="009F0B03" w:rsidP="00D8589B">
            <w:pPr>
              <w:spacing w:after="0" w:line="240" w:lineRule="auto"/>
              <w:jc w:val="both"/>
              <w:rPr>
                <w:rFonts w:cstheme="minorHAnsi"/>
                <w:szCs w:val="20"/>
                <w:lang w:val="en-GB"/>
              </w:rPr>
            </w:pPr>
            <w:r>
              <w:rPr>
                <w:rFonts w:cstheme="minorHAnsi"/>
                <w:szCs w:val="20"/>
                <w:lang w:val="en-GB"/>
              </w:rPr>
              <w:t>Chemotherapy</w:t>
            </w:r>
          </w:p>
        </w:tc>
        <w:tc>
          <w:tcPr>
            <w:tcW w:w="2361" w:type="dxa"/>
            <w:gridSpan w:val="2"/>
            <w:vAlign w:val="center"/>
          </w:tcPr>
          <w:p w14:paraId="3466BBF3" w14:textId="77777777" w:rsidR="009F0B03" w:rsidRPr="00D12C05" w:rsidRDefault="009F0B03" w:rsidP="00D8589B">
            <w:pPr>
              <w:spacing w:after="0" w:line="240" w:lineRule="auto"/>
              <w:jc w:val="both"/>
              <w:rPr>
                <w:rFonts w:cstheme="minorHAnsi"/>
                <w:szCs w:val="20"/>
                <w:lang w:val="en-GB"/>
              </w:rPr>
            </w:pPr>
            <w:r w:rsidRPr="00D12C05">
              <w:rPr>
                <w:rFonts w:cstheme="minorHAnsi"/>
                <w:szCs w:val="20"/>
                <w:lang w:val="en-GB"/>
              </w:rPr>
              <w:t xml:space="preserve">Dirichlet </w:t>
            </w:r>
            <w:r>
              <w:rPr>
                <w:rFonts w:cstheme="minorHAnsi"/>
                <w:szCs w:val="20"/>
                <w:lang w:val="en-GB"/>
              </w:rPr>
              <w:t>compound by</w:t>
            </w:r>
            <w:r w:rsidRPr="00D12C05">
              <w:rPr>
                <w:rFonts w:cstheme="minorHAnsi"/>
                <w:szCs w:val="20"/>
                <w:lang w:val="en-GB"/>
              </w:rPr>
              <w:t>:</w:t>
            </w:r>
          </w:p>
        </w:tc>
        <w:tc>
          <w:tcPr>
            <w:tcW w:w="1134" w:type="dxa"/>
            <w:vAlign w:val="center"/>
          </w:tcPr>
          <w:p w14:paraId="3DCB2857" w14:textId="77777777" w:rsidR="009F0B03" w:rsidRPr="009F0B03" w:rsidRDefault="009F0B03" w:rsidP="00D8589B">
            <w:pPr>
              <w:spacing w:after="0" w:line="240" w:lineRule="auto"/>
              <w:jc w:val="both"/>
              <w:rPr>
                <w:rFonts w:cstheme="minorHAnsi"/>
                <w:szCs w:val="20"/>
                <w:vertAlign w:val="superscript"/>
                <w:lang w:val="en-GB"/>
              </w:rPr>
            </w:pPr>
          </w:p>
        </w:tc>
      </w:tr>
      <w:tr w:rsidR="009F0B03" w:rsidRPr="00D12C05" w14:paraId="0EEBBB43" w14:textId="35D76839" w:rsidTr="009F0B03">
        <w:trPr>
          <w:trHeight w:val="340"/>
          <w:jc w:val="center"/>
        </w:trPr>
        <w:tc>
          <w:tcPr>
            <w:tcW w:w="2489" w:type="dxa"/>
            <w:vAlign w:val="center"/>
          </w:tcPr>
          <w:p w14:paraId="4E706FF1" w14:textId="77777777" w:rsidR="009F0B03" w:rsidRPr="00D12C05" w:rsidRDefault="009F0B03" w:rsidP="00D8589B">
            <w:pPr>
              <w:spacing w:after="0" w:line="240" w:lineRule="auto"/>
              <w:jc w:val="both"/>
              <w:rPr>
                <w:rFonts w:cstheme="minorHAnsi"/>
                <w:szCs w:val="20"/>
                <w:lang w:val="en-GB"/>
              </w:rPr>
            </w:pPr>
          </w:p>
        </w:tc>
        <w:tc>
          <w:tcPr>
            <w:tcW w:w="1771" w:type="dxa"/>
            <w:vAlign w:val="center"/>
          </w:tcPr>
          <w:p w14:paraId="4A833CFA" w14:textId="77777777" w:rsidR="009F0B03" w:rsidRPr="00D12C05" w:rsidRDefault="009F0B03" w:rsidP="00D8589B">
            <w:pPr>
              <w:spacing w:after="0" w:line="240" w:lineRule="auto"/>
              <w:jc w:val="both"/>
              <w:rPr>
                <w:rFonts w:cstheme="minorHAnsi"/>
                <w:szCs w:val="20"/>
                <w:lang w:val="en-GB"/>
              </w:rPr>
            </w:pPr>
          </w:p>
        </w:tc>
        <w:tc>
          <w:tcPr>
            <w:tcW w:w="277" w:type="dxa"/>
            <w:vAlign w:val="center"/>
          </w:tcPr>
          <w:p w14:paraId="27C72727" w14:textId="77777777" w:rsidR="009F0B03" w:rsidRPr="00D12C05" w:rsidRDefault="009F0B03" w:rsidP="00D8589B">
            <w:pPr>
              <w:spacing w:after="0" w:line="240" w:lineRule="auto"/>
              <w:jc w:val="both"/>
              <w:rPr>
                <w:rFonts w:cstheme="minorHAnsi"/>
                <w:szCs w:val="20"/>
                <w:lang w:val="en-GB"/>
              </w:rPr>
            </w:pPr>
          </w:p>
        </w:tc>
        <w:tc>
          <w:tcPr>
            <w:tcW w:w="2084" w:type="dxa"/>
            <w:vAlign w:val="center"/>
          </w:tcPr>
          <w:p w14:paraId="1E35BEF7" w14:textId="77777777" w:rsidR="009F0B03" w:rsidRPr="00D12C05" w:rsidRDefault="009F0B03" w:rsidP="00D8589B">
            <w:pPr>
              <w:spacing w:after="0" w:line="240" w:lineRule="auto"/>
              <w:jc w:val="both"/>
              <w:rPr>
                <w:rFonts w:cstheme="minorHAnsi"/>
                <w:szCs w:val="20"/>
                <w:lang w:val="en-GB"/>
              </w:rPr>
            </w:pPr>
            <w:r w:rsidRPr="00D12C05">
              <w:rPr>
                <w:rFonts w:cstheme="minorHAnsi"/>
                <w:szCs w:val="20"/>
                <w:lang w:val="en-GB"/>
              </w:rPr>
              <w:t>Gamma (28,1)</w:t>
            </w:r>
          </w:p>
        </w:tc>
        <w:tc>
          <w:tcPr>
            <w:tcW w:w="1134" w:type="dxa"/>
            <w:vAlign w:val="center"/>
          </w:tcPr>
          <w:p w14:paraId="23C62BA6" w14:textId="15B4F1E3" w:rsidR="009F0B03" w:rsidRPr="009F0B03" w:rsidRDefault="009F0B03" w:rsidP="00D8589B">
            <w:pPr>
              <w:spacing w:after="0" w:line="240" w:lineRule="auto"/>
              <w:jc w:val="both"/>
              <w:rPr>
                <w:rFonts w:cstheme="minorHAnsi"/>
                <w:szCs w:val="20"/>
                <w:vertAlign w:val="superscript"/>
                <w:lang w:val="en-GB"/>
              </w:rPr>
            </w:pPr>
            <w:r w:rsidRPr="009F0B03">
              <w:rPr>
                <w:rFonts w:cstheme="minorHAnsi"/>
                <w:szCs w:val="20"/>
                <w:vertAlign w:val="superscript"/>
                <w:lang w:val="en-GB"/>
              </w:rPr>
              <w:t>10</w:t>
            </w:r>
          </w:p>
        </w:tc>
      </w:tr>
      <w:tr w:rsidR="009F0B03" w:rsidRPr="00D12C05" w14:paraId="01303F82" w14:textId="04854A16" w:rsidTr="009F0B03">
        <w:trPr>
          <w:trHeight w:val="340"/>
          <w:jc w:val="center"/>
        </w:trPr>
        <w:tc>
          <w:tcPr>
            <w:tcW w:w="2489" w:type="dxa"/>
            <w:vAlign w:val="center"/>
          </w:tcPr>
          <w:p w14:paraId="047BAF4B" w14:textId="77777777" w:rsidR="009F0B03" w:rsidRPr="00D12C05" w:rsidRDefault="009F0B03" w:rsidP="00D8589B">
            <w:pPr>
              <w:spacing w:after="0" w:line="240" w:lineRule="auto"/>
              <w:jc w:val="both"/>
              <w:rPr>
                <w:rFonts w:cstheme="minorHAnsi"/>
                <w:szCs w:val="20"/>
                <w:lang w:val="en-GB"/>
              </w:rPr>
            </w:pPr>
          </w:p>
        </w:tc>
        <w:tc>
          <w:tcPr>
            <w:tcW w:w="1771" w:type="dxa"/>
            <w:vAlign w:val="center"/>
          </w:tcPr>
          <w:p w14:paraId="18007B55" w14:textId="77777777" w:rsidR="009F0B03" w:rsidRPr="00D12C05" w:rsidRDefault="009F0B03" w:rsidP="00D8589B">
            <w:pPr>
              <w:spacing w:after="0" w:line="240" w:lineRule="auto"/>
              <w:jc w:val="both"/>
              <w:rPr>
                <w:rFonts w:cstheme="minorHAnsi"/>
                <w:szCs w:val="20"/>
                <w:lang w:val="en-GB"/>
              </w:rPr>
            </w:pPr>
          </w:p>
        </w:tc>
        <w:tc>
          <w:tcPr>
            <w:tcW w:w="277" w:type="dxa"/>
            <w:vAlign w:val="center"/>
          </w:tcPr>
          <w:p w14:paraId="6588305D" w14:textId="77777777" w:rsidR="009F0B03" w:rsidRPr="00D12C05" w:rsidRDefault="009F0B03" w:rsidP="00D8589B">
            <w:pPr>
              <w:spacing w:after="0" w:line="240" w:lineRule="auto"/>
              <w:jc w:val="both"/>
              <w:rPr>
                <w:rFonts w:cstheme="minorHAnsi"/>
                <w:szCs w:val="20"/>
                <w:lang w:val="en-GB"/>
              </w:rPr>
            </w:pPr>
          </w:p>
        </w:tc>
        <w:tc>
          <w:tcPr>
            <w:tcW w:w="2084" w:type="dxa"/>
            <w:vAlign w:val="center"/>
          </w:tcPr>
          <w:p w14:paraId="34B43A60" w14:textId="77777777" w:rsidR="009F0B03" w:rsidRPr="00D12C05" w:rsidRDefault="009F0B03" w:rsidP="00D8589B">
            <w:pPr>
              <w:spacing w:after="0" w:line="240" w:lineRule="auto"/>
              <w:jc w:val="both"/>
              <w:rPr>
                <w:rFonts w:cstheme="minorHAnsi"/>
                <w:szCs w:val="20"/>
                <w:lang w:val="en-GB"/>
              </w:rPr>
            </w:pPr>
            <w:r w:rsidRPr="00D12C05">
              <w:rPr>
                <w:rFonts w:cstheme="minorHAnsi"/>
                <w:szCs w:val="20"/>
                <w:lang w:val="en-GB"/>
              </w:rPr>
              <w:t>Gamma (21,1)</w:t>
            </w:r>
          </w:p>
        </w:tc>
        <w:tc>
          <w:tcPr>
            <w:tcW w:w="1134" w:type="dxa"/>
            <w:vAlign w:val="center"/>
          </w:tcPr>
          <w:p w14:paraId="0877EC1D" w14:textId="59B042B1" w:rsidR="009F0B03" w:rsidRPr="009F0B03" w:rsidRDefault="009F0B03" w:rsidP="00D8589B">
            <w:pPr>
              <w:spacing w:after="0" w:line="240" w:lineRule="auto"/>
              <w:jc w:val="both"/>
              <w:rPr>
                <w:rFonts w:cstheme="minorHAnsi"/>
                <w:szCs w:val="20"/>
                <w:vertAlign w:val="superscript"/>
                <w:lang w:val="en-GB"/>
              </w:rPr>
            </w:pPr>
            <w:r w:rsidRPr="009F0B03">
              <w:rPr>
                <w:rFonts w:cstheme="minorHAnsi"/>
                <w:szCs w:val="20"/>
                <w:vertAlign w:val="superscript"/>
                <w:lang w:val="en-GB"/>
              </w:rPr>
              <w:t>10</w:t>
            </w:r>
          </w:p>
        </w:tc>
      </w:tr>
      <w:tr w:rsidR="009F0B03" w:rsidRPr="00D12C05" w14:paraId="1E681892" w14:textId="7BA9B7E6" w:rsidTr="009F0B03">
        <w:trPr>
          <w:trHeight w:val="340"/>
          <w:jc w:val="center"/>
        </w:trPr>
        <w:tc>
          <w:tcPr>
            <w:tcW w:w="2489" w:type="dxa"/>
            <w:vAlign w:val="center"/>
          </w:tcPr>
          <w:p w14:paraId="33010E68" w14:textId="77777777" w:rsidR="009F0B03" w:rsidRPr="00D12C05" w:rsidRDefault="009F0B03" w:rsidP="00D8589B">
            <w:pPr>
              <w:spacing w:after="0" w:line="240" w:lineRule="auto"/>
              <w:jc w:val="both"/>
              <w:rPr>
                <w:rFonts w:cstheme="minorHAnsi"/>
                <w:szCs w:val="20"/>
                <w:lang w:val="en-GB"/>
              </w:rPr>
            </w:pPr>
          </w:p>
        </w:tc>
        <w:tc>
          <w:tcPr>
            <w:tcW w:w="1771" w:type="dxa"/>
            <w:vAlign w:val="center"/>
          </w:tcPr>
          <w:p w14:paraId="4A927DC1" w14:textId="77777777" w:rsidR="009F0B03" w:rsidRPr="00D12C05" w:rsidRDefault="009F0B03" w:rsidP="00D8589B">
            <w:pPr>
              <w:spacing w:after="0" w:line="240" w:lineRule="auto"/>
              <w:jc w:val="both"/>
              <w:rPr>
                <w:rFonts w:cstheme="minorHAnsi"/>
                <w:szCs w:val="20"/>
                <w:lang w:val="en-GB"/>
              </w:rPr>
            </w:pPr>
          </w:p>
        </w:tc>
        <w:tc>
          <w:tcPr>
            <w:tcW w:w="277" w:type="dxa"/>
            <w:vAlign w:val="center"/>
          </w:tcPr>
          <w:p w14:paraId="70EF2F83" w14:textId="77777777" w:rsidR="009F0B03" w:rsidRPr="00D12C05" w:rsidRDefault="009F0B03" w:rsidP="00D8589B">
            <w:pPr>
              <w:spacing w:after="0" w:line="240" w:lineRule="auto"/>
              <w:jc w:val="both"/>
              <w:rPr>
                <w:rFonts w:cstheme="minorHAnsi"/>
                <w:szCs w:val="20"/>
                <w:lang w:val="en-GB"/>
              </w:rPr>
            </w:pPr>
          </w:p>
        </w:tc>
        <w:tc>
          <w:tcPr>
            <w:tcW w:w="2084" w:type="dxa"/>
            <w:vAlign w:val="center"/>
          </w:tcPr>
          <w:p w14:paraId="22FEA762" w14:textId="77777777" w:rsidR="009F0B03" w:rsidRPr="00D12C05" w:rsidRDefault="009F0B03" w:rsidP="00D8589B">
            <w:pPr>
              <w:spacing w:after="0" w:line="240" w:lineRule="auto"/>
              <w:jc w:val="both"/>
              <w:rPr>
                <w:rFonts w:cstheme="minorHAnsi"/>
                <w:szCs w:val="20"/>
                <w:lang w:val="en-GB"/>
              </w:rPr>
            </w:pPr>
            <w:r w:rsidRPr="00D12C05">
              <w:rPr>
                <w:rFonts w:cstheme="minorHAnsi"/>
                <w:szCs w:val="20"/>
                <w:lang w:val="en-GB"/>
              </w:rPr>
              <w:t>Gamma (14,1)</w:t>
            </w:r>
          </w:p>
        </w:tc>
        <w:tc>
          <w:tcPr>
            <w:tcW w:w="1134" w:type="dxa"/>
            <w:vAlign w:val="center"/>
          </w:tcPr>
          <w:p w14:paraId="3900E891" w14:textId="59FB671A" w:rsidR="009F0B03" w:rsidRPr="009F0B03" w:rsidRDefault="009F0B03" w:rsidP="00D8589B">
            <w:pPr>
              <w:spacing w:after="0" w:line="240" w:lineRule="auto"/>
              <w:jc w:val="both"/>
              <w:rPr>
                <w:rFonts w:cstheme="minorHAnsi"/>
                <w:szCs w:val="20"/>
                <w:vertAlign w:val="superscript"/>
                <w:lang w:val="en-GB"/>
              </w:rPr>
            </w:pPr>
            <w:r w:rsidRPr="009F0B03">
              <w:rPr>
                <w:rFonts w:cstheme="minorHAnsi"/>
                <w:szCs w:val="20"/>
                <w:vertAlign w:val="superscript"/>
                <w:lang w:val="en-GB"/>
              </w:rPr>
              <w:t>10</w:t>
            </w:r>
          </w:p>
        </w:tc>
      </w:tr>
      <w:tr w:rsidR="009F0B03" w:rsidRPr="00D12C05" w14:paraId="2B8C446C" w14:textId="72E6DFCF" w:rsidTr="009F0B03">
        <w:trPr>
          <w:trHeight w:val="340"/>
          <w:jc w:val="center"/>
        </w:trPr>
        <w:tc>
          <w:tcPr>
            <w:tcW w:w="2489" w:type="dxa"/>
            <w:vAlign w:val="center"/>
          </w:tcPr>
          <w:p w14:paraId="1A8354D6" w14:textId="77777777" w:rsidR="009F0B03" w:rsidRPr="00D12C05" w:rsidRDefault="009F0B03" w:rsidP="00D8589B">
            <w:pPr>
              <w:spacing w:after="0" w:line="240" w:lineRule="auto"/>
              <w:jc w:val="both"/>
              <w:rPr>
                <w:rFonts w:cstheme="minorHAnsi"/>
                <w:szCs w:val="20"/>
                <w:lang w:val="en-GB"/>
              </w:rPr>
            </w:pPr>
          </w:p>
        </w:tc>
        <w:tc>
          <w:tcPr>
            <w:tcW w:w="1771" w:type="dxa"/>
            <w:vAlign w:val="center"/>
          </w:tcPr>
          <w:p w14:paraId="3B5A4745" w14:textId="77777777" w:rsidR="009F0B03" w:rsidRPr="00D12C05" w:rsidRDefault="009F0B03" w:rsidP="00D8589B">
            <w:pPr>
              <w:spacing w:after="0" w:line="240" w:lineRule="auto"/>
              <w:jc w:val="both"/>
              <w:rPr>
                <w:rFonts w:cstheme="minorHAnsi"/>
                <w:szCs w:val="20"/>
                <w:lang w:val="en-GB"/>
              </w:rPr>
            </w:pPr>
          </w:p>
        </w:tc>
        <w:tc>
          <w:tcPr>
            <w:tcW w:w="277" w:type="dxa"/>
            <w:vAlign w:val="center"/>
          </w:tcPr>
          <w:p w14:paraId="116CFE62" w14:textId="77777777" w:rsidR="009F0B03" w:rsidRPr="00D12C05" w:rsidRDefault="009F0B03" w:rsidP="00D8589B">
            <w:pPr>
              <w:spacing w:after="0" w:line="240" w:lineRule="auto"/>
              <w:jc w:val="both"/>
              <w:rPr>
                <w:rFonts w:cstheme="minorHAnsi"/>
                <w:szCs w:val="20"/>
                <w:lang w:val="en-GB"/>
              </w:rPr>
            </w:pPr>
          </w:p>
        </w:tc>
        <w:tc>
          <w:tcPr>
            <w:tcW w:w="2084" w:type="dxa"/>
            <w:vAlign w:val="center"/>
          </w:tcPr>
          <w:p w14:paraId="1D67A0B0" w14:textId="77777777" w:rsidR="009F0B03" w:rsidRPr="00D12C05" w:rsidRDefault="009F0B03" w:rsidP="00D8589B">
            <w:pPr>
              <w:spacing w:after="0" w:line="240" w:lineRule="auto"/>
              <w:jc w:val="both"/>
              <w:rPr>
                <w:rFonts w:cstheme="minorHAnsi"/>
                <w:szCs w:val="20"/>
                <w:lang w:val="en-GB"/>
              </w:rPr>
            </w:pPr>
            <w:r w:rsidRPr="00D12C05">
              <w:rPr>
                <w:rFonts w:cstheme="minorHAnsi"/>
                <w:szCs w:val="20"/>
                <w:lang w:val="en-GB"/>
              </w:rPr>
              <w:t>Gamma (3,1)</w:t>
            </w:r>
          </w:p>
        </w:tc>
        <w:tc>
          <w:tcPr>
            <w:tcW w:w="1134" w:type="dxa"/>
            <w:vAlign w:val="center"/>
          </w:tcPr>
          <w:p w14:paraId="1E24FFF0" w14:textId="1CAF3261" w:rsidR="009F0B03" w:rsidRPr="009F0B03" w:rsidRDefault="009F0B03" w:rsidP="00D8589B">
            <w:pPr>
              <w:spacing w:after="0" w:line="240" w:lineRule="auto"/>
              <w:jc w:val="both"/>
              <w:rPr>
                <w:rFonts w:cstheme="minorHAnsi"/>
                <w:szCs w:val="20"/>
                <w:vertAlign w:val="superscript"/>
                <w:lang w:val="en-GB"/>
              </w:rPr>
            </w:pPr>
            <w:r w:rsidRPr="009F0B03">
              <w:rPr>
                <w:rFonts w:cstheme="minorHAnsi"/>
                <w:szCs w:val="20"/>
                <w:vertAlign w:val="superscript"/>
                <w:lang w:val="en-GB"/>
              </w:rPr>
              <w:t>10</w:t>
            </w:r>
          </w:p>
        </w:tc>
      </w:tr>
      <w:tr w:rsidR="009F0B03" w:rsidRPr="00D12C05" w14:paraId="32A2BA0D" w14:textId="0C7B57B5" w:rsidTr="009F0B03">
        <w:trPr>
          <w:trHeight w:val="340"/>
          <w:jc w:val="center"/>
        </w:trPr>
        <w:tc>
          <w:tcPr>
            <w:tcW w:w="2489" w:type="dxa"/>
            <w:vAlign w:val="center"/>
          </w:tcPr>
          <w:p w14:paraId="3F29BDD3" w14:textId="77777777" w:rsidR="009F0B03" w:rsidRPr="00D12C05" w:rsidRDefault="009F0B03" w:rsidP="00D8589B">
            <w:pPr>
              <w:spacing w:after="0" w:line="240" w:lineRule="auto"/>
              <w:jc w:val="both"/>
              <w:rPr>
                <w:rFonts w:cstheme="minorHAnsi"/>
                <w:szCs w:val="20"/>
                <w:lang w:val="en-GB"/>
              </w:rPr>
            </w:pPr>
          </w:p>
        </w:tc>
        <w:tc>
          <w:tcPr>
            <w:tcW w:w="1771" w:type="dxa"/>
            <w:vAlign w:val="center"/>
          </w:tcPr>
          <w:p w14:paraId="3F641248" w14:textId="77777777" w:rsidR="009F0B03" w:rsidRPr="00D12C05" w:rsidRDefault="009F0B03" w:rsidP="00D8589B">
            <w:pPr>
              <w:spacing w:after="0" w:line="240" w:lineRule="auto"/>
              <w:jc w:val="both"/>
              <w:rPr>
                <w:rFonts w:cstheme="minorHAnsi"/>
                <w:szCs w:val="20"/>
                <w:lang w:val="en-GB"/>
              </w:rPr>
            </w:pPr>
          </w:p>
        </w:tc>
        <w:tc>
          <w:tcPr>
            <w:tcW w:w="277" w:type="dxa"/>
            <w:vAlign w:val="center"/>
          </w:tcPr>
          <w:p w14:paraId="7D1E2AB2" w14:textId="77777777" w:rsidR="009F0B03" w:rsidRPr="00D12C05" w:rsidRDefault="009F0B03" w:rsidP="00D8589B">
            <w:pPr>
              <w:spacing w:after="0" w:line="240" w:lineRule="auto"/>
              <w:jc w:val="both"/>
              <w:rPr>
                <w:rFonts w:cstheme="minorHAnsi"/>
                <w:szCs w:val="20"/>
                <w:lang w:val="en-GB"/>
              </w:rPr>
            </w:pPr>
          </w:p>
        </w:tc>
        <w:tc>
          <w:tcPr>
            <w:tcW w:w="2084" w:type="dxa"/>
            <w:vAlign w:val="center"/>
          </w:tcPr>
          <w:p w14:paraId="0958E701" w14:textId="77777777" w:rsidR="009F0B03" w:rsidRPr="00D12C05" w:rsidRDefault="009F0B03" w:rsidP="00D8589B">
            <w:pPr>
              <w:spacing w:after="0" w:line="240" w:lineRule="auto"/>
              <w:jc w:val="both"/>
              <w:rPr>
                <w:rFonts w:cstheme="minorHAnsi"/>
                <w:szCs w:val="20"/>
                <w:lang w:val="en-GB"/>
              </w:rPr>
            </w:pPr>
            <w:r w:rsidRPr="00D12C05">
              <w:rPr>
                <w:rFonts w:cstheme="minorHAnsi"/>
                <w:szCs w:val="20"/>
                <w:lang w:val="en-GB"/>
              </w:rPr>
              <w:t>Gamma (66,1)</w:t>
            </w:r>
          </w:p>
        </w:tc>
        <w:tc>
          <w:tcPr>
            <w:tcW w:w="1134" w:type="dxa"/>
            <w:vAlign w:val="center"/>
          </w:tcPr>
          <w:p w14:paraId="72E07319" w14:textId="082C763A" w:rsidR="009F0B03" w:rsidRPr="009F0B03" w:rsidRDefault="009F0B03" w:rsidP="00D8589B">
            <w:pPr>
              <w:spacing w:after="0" w:line="240" w:lineRule="auto"/>
              <w:jc w:val="both"/>
              <w:rPr>
                <w:rFonts w:cstheme="minorHAnsi"/>
                <w:szCs w:val="20"/>
                <w:vertAlign w:val="superscript"/>
                <w:lang w:val="en-GB"/>
              </w:rPr>
            </w:pPr>
            <w:r w:rsidRPr="009F0B03">
              <w:rPr>
                <w:rFonts w:cstheme="minorHAnsi"/>
                <w:szCs w:val="20"/>
                <w:vertAlign w:val="superscript"/>
                <w:lang w:val="en-GB"/>
              </w:rPr>
              <w:t>10</w:t>
            </w:r>
          </w:p>
        </w:tc>
      </w:tr>
      <w:tr w:rsidR="009F0B03" w:rsidRPr="00D12C05" w14:paraId="6E367198" w14:textId="27AC76B3" w:rsidTr="009F0B03">
        <w:trPr>
          <w:trHeight w:val="340"/>
          <w:jc w:val="center"/>
        </w:trPr>
        <w:tc>
          <w:tcPr>
            <w:tcW w:w="2489" w:type="dxa"/>
            <w:vAlign w:val="center"/>
          </w:tcPr>
          <w:p w14:paraId="27C85067" w14:textId="77777777" w:rsidR="009F0B03" w:rsidRPr="00D12C05" w:rsidRDefault="009F0B03" w:rsidP="00D8589B">
            <w:pPr>
              <w:spacing w:after="0" w:line="240" w:lineRule="auto"/>
              <w:jc w:val="both"/>
              <w:rPr>
                <w:rFonts w:cstheme="minorHAnsi"/>
                <w:szCs w:val="20"/>
                <w:lang w:val="en-GB"/>
              </w:rPr>
            </w:pPr>
          </w:p>
        </w:tc>
        <w:tc>
          <w:tcPr>
            <w:tcW w:w="1771" w:type="dxa"/>
            <w:vAlign w:val="center"/>
          </w:tcPr>
          <w:p w14:paraId="4AC1446D" w14:textId="77777777" w:rsidR="009F0B03" w:rsidRPr="00D12C05" w:rsidRDefault="009F0B03" w:rsidP="00D8589B">
            <w:pPr>
              <w:spacing w:after="0" w:line="240" w:lineRule="auto"/>
              <w:jc w:val="both"/>
              <w:rPr>
                <w:rFonts w:cstheme="minorHAnsi"/>
                <w:szCs w:val="20"/>
                <w:lang w:val="en-GB"/>
              </w:rPr>
            </w:pPr>
          </w:p>
        </w:tc>
        <w:tc>
          <w:tcPr>
            <w:tcW w:w="277" w:type="dxa"/>
            <w:vAlign w:val="center"/>
          </w:tcPr>
          <w:p w14:paraId="736AEE99" w14:textId="77777777" w:rsidR="009F0B03" w:rsidRPr="00D12C05" w:rsidRDefault="009F0B03" w:rsidP="00D8589B">
            <w:pPr>
              <w:spacing w:after="0" w:line="240" w:lineRule="auto"/>
              <w:jc w:val="both"/>
              <w:rPr>
                <w:rFonts w:cstheme="minorHAnsi"/>
                <w:szCs w:val="20"/>
                <w:lang w:val="en-GB"/>
              </w:rPr>
            </w:pPr>
          </w:p>
        </w:tc>
        <w:tc>
          <w:tcPr>
            <w:tcW w:w="2084" w:type="dxa"/>
            <w:vAlign w:val="center"/>
          </w:tcPr>
          <w:p w14:paraId="68505E16" w14:textId="77777777" w:rsidR="009F0B03" w:rsidRPr="00D12C05" w:rsidRDefault="009F0B03" w:rsidP="00D8589B">
            <w:pPr>
              <w:spacing w:after="0" w:line="240" w:lineRule="auto"/>
              <w:jc w:val="both"/>
              <w:rPr>
                <w:rFonts w:cstheme="minorHAnsi"/>
                <w:szCs w:val="20"/>
                <w:lang w:val="en-GB"/>
              </w:rPr>
            </w:pPr>
            <w:r w:rsidRPr="00D12C05">
              <w:rPr>
                <w:rFonts w:cstheme="minorHAnsi"/>
                <w:szCs w:val="20"/>
                <w:lang w:val="en-GB"/>
              </w:rPr>
              <w:t>Gamma (17,1)</w:t>
            </w:r>
          </w:p>
        </w:tc>
        <w:tc>
          <w:tcPr>
            <w:tcW w:w="1134" w:type="dxa"/>
            <w:vAlign w:val="center"/>
          </w:tcPr>
          <w:p w14:paraId="1E528B2B" w14:textId="2CC05162" w:rsidR="009F0B03" w:rsidRPr="009F0B03" w:rsidRDefault="009F0B03" w:rsidP="00D8589B">
            <w:pPr>
              <w:spacing w:after="0" w:line="240" w:lineRule="auto"/>
              <w:jc w:val="both"/>
              <w:rPr>
                <w:rFonts w:cstheme="minorHAnsi"/>
                <w:szCs w:val="20"/>
                <w:vertAlign w:val="superscript"/>
                <w:lang w:val="en-GB"/>
              </w:rPr>
            </w:pPr>
            <w:r w:rsidRPr="009F0B03">
              <w:rPr>
                <w:rFonts w:cstheme="minorHAnsi"/>
                <w:szCs w:val="20"/>
                <w:vertAlign w:val="superscript"/>
                <w:lang w:val="en-GB"/>
              </w:rPr>
              <w:t>10</w:t>
            </w:r>
          </w:p>
        </w:tc>
      </w:tr>
      <w:tr w:rsidR="009F0B03" w:rsidRPr="00D12C05" w14:paraId="7502EE72" w14:textId="5FB1B7CD" w:rsidTr="009F0B03">
        <w:trPr>
          <w:trHeight w:val="340"/>
          <w:jc w:val="center"/>
        </w:trPr>
        <w:tc>
          <w:tcPr>
            <w:tcW w:w="2489" w:type="dxa"/>
            <w:vAlign w:val="center"/>
          </w:tcPr>
          <w:p w14:paraId="39B0BADF" w14:textId="77777777" w:rsidR="009F0B03" w:rsidRPr="00D12C05" w:rsidRDefault="009F0B03" w:rsidP="00D8589B">
            <w:pPr>
              <w:spacing w:after="0" w:line="240" w:lineRule="auto"/>
              <w:jc w:val="both"/>
              <w:rPr>
                <w:rFonts w:cstheme="minorHAnsi"/>
                <w:szCs w:val="20"/>
                <w:lang w:val="en-GB"/>
              </w:rPr>
            </w:pPr>
          </w:p>
        </w:tc>
        <w:tc>
          <w:tcPr>
            <w:tcW w:w="1771" w:type="dxa"/>
            <w:vAlign w:val="center"/>
          </w:tcPr>
          <w:p w14:paraId="4BFDD128" w14:textId="77777777" w:rsidR="009F0B03" w:rsidRPr="00D12C05" w:rsidRDefault="009F0B03" w:rsidP="00D8589B">
            <w:pPr>
              <w:spacing w:after="0" w:line="240" w:lineRule="auto"/>
              <w:jc w:val="both"/>
              <w:rPr>
                <w:rFonts w:cstheme="minorHAnsi"/>
                <w:szCs w:val="20"/>
                <w:lang w:val="en-GB"/>
              </w:rPr>
            </w:pPr>
          </w:p>
        </w:tc>
        <w:tc>
          <w:tcPr>
            <w:tcW w:w="277" w:type="dxa"/>
            <w:vAlign w:val="center"/>
          </w:tcPr>
          <w:p w14:paraId="634DC4B2" w14:textId="77777777" w:rsidR="009F0B03" w:rsidRPr="00D12C05" w:rsidRDefault="009F0B03" w:rsidP="00D8589B">
            <w:pPr>
              <w:spacing w:after="0" w:line="240" w:lineRule="auto"/>
              <w:jc w:val="both"/>
              <w:rPr>
                <w:rFonts w:cstheme="minorHAnsi"/>
                <w:szCs w:val="20"/>
                <w:lang w:val="en-GB"/>
              </w:rPr>
            </w:pPr>
          </w:p>
        </w:tc>
        <w:tc>
          <w:tcPr>
            <w:tcW w:w="2084" w:type="dxa"/>
            <w:vAlign w:val="center"/>
          </w:tcPr>
          <w:p w14:paraId="397FC059" w14:textId="77777777" w:rsidR="009F0B03" w:rsidRPr="00D12C05" w:rsidRDefault="009F0B03" w:rsidP="00D8589B">
            <w:pPr>
              <w:spacing w:after="0" w:line="240" w:lineRule="auto"/>
              <w:jc w:val="both"/>
              <w:rPr>
                <w:rFonts w:cstheme="minorHAnsi"/>
                <w:szCs w:val="20"/>
                <w:lang w:val="en-GB"/>
              </w:rPr>
            </w:pPr>
            <w:r w:rsidRPr="00D12C05">
              <w:rPr>
                <w:rFonts w:cstheme="minorHAnsi"/>
                <w:szCs w:val="20"/>
                <w:lang w:val="en-GB"/>
              </w:rPr>
              <w:t>Gamma (74,1)</w:t>
            </w:r>
          </w:p>
        </w:tc>
        <w:tc>
          <w:tcPr>
            <w:tcW w:w="1134" w:type="dxa"/>
            <w:vAlign w:val="center"/>
          </w:tcPr>
          <w:p w14:paraId="3FE522BE" w14:textId="68FEECEC" w:rsidR="009F0B03" w:rsidRPr="009F0B03" w:rsidRDefault="009F0B03" w:rsidP="00D8589B">
            <w:pPr>
              <w:spacing w:after="0" w:line="240" w:lineRule="auto"/>
              <w:jc w:val="both"/>
              <w:rPr>
                <w:rFonts w:cstheme="minorHAnsi"/>
                <w:szCs w:val="20"/>
                <w:vertAlign w:val="superscript"/>
                <w:lang w:val="en-GB"/>
              </w:rPr>
            </w:pPr>
            <w:r w:rsidRPr="009F0B03">
              <w:rPr>
                <w:rFonts w:cstheme="minorHAnsi"/>
                <w:szCs w:val="20"/>
                <w:vertAlign w:val="superscript"/>
                <w:lang w:val="en-GB"/>
              </w:rPr>
              <w:t>10</w:t>
            </w:r>
          </w:p>
        </w:tc>
      </w:tr>
      <w:tr w:rsidR="009F0B03" w:rsidRPr="00D12C05" w14:paraId="4578EB18" w14:textId="5472A2BF" w:rsidTr="009F0B03">
        <w:trPr>
          <w:trHeight w:val="340"/>
          <w:jc w:val="center"/>
        </w:trPr>
        <w:tc>
          <w:tcPr>
            <w:tcW w:w="2489" w:type="dxa"/>
            <w:tcBorders>
              <w:bottom w:val="single" w:sz="4" w:space="0" w:color="auto"/>
            </w:tcBorders>
            <w:vAlign w:val="center"/>
          </w:tcPr>
          <w:p w14:paraId="0C827CA2" w14:textId="77777777" w:rsidR="009F0B03" w:rsidRPr="00D12C05" w:rsidRDefault="009F0B03" w:rsidP="00D8589B">
            <w:pPr>
              <w:spacing w:after="0" w:line="240" w:lineRule="auto"/>
              <w:jc w:val="both"/>
              <w:rPr>
                <w:rFonts w:cstheme="minorHAnsi"/>
                <w:szCs w:val="20"/>
                <w:lang w:val="en-GB"/>
              </w:rPr>
            </w:pPr>
          </w:p>
        </w:tc>
        <w:tc>
          <w:tcPr>
            <w:tcW w:w="1771" w:type="dxa"/>
            <w:tcBorders>
              <w:bottom w:val="single" w:sz="4" w:space="0" w:color="auto"/>
            </w:tcBorders>
            <w:vAlign w:val="center"/>
          </w:tcPr>
          <w:p w14:paraId="04F41804" w14:textId="77777777" w:rsidR="009F0B03" w:rsidRPr="00D12C05" w:rsidRDefault="009F0B03" w:rsidP="00D8589B">
            <w:pPr>
              <w:spacing w:after="0" w:line="240" w:lineRule="auto"/>
              <w:jc w:val="both"/>
              <w:rPr>
                <w:rFonts w:cstheme="minorHAnsi"/>
                <w:szCs w:val="20"/>
                <w:lang w:val="en-GB"/>
              </w:rPr>
            </w:pPr>
          </w:p>
        </w:tc>
        <w:tc>
          <w:tcPr>
            <w:tcW w:w="277" w:type="dxa"/>
            <w:tcBorders>
              <w:bottom w:val="single" w:sz="4" w:space="0" w:color="auto"/>
            </w:tcBorders>
            <w:vAlign w:val="center"/>
          </w:tcPr>
          <w:p w14:paraId="2349F7AB" w14:textId="77777777" w:rsidR="009F0B03" w:rsidRPr="00D12C05" w:rsidRDefault="009F0B03" w:rsidP="00D8589B">
            <w:pPr>
              <w:spacing w:after="0" w:line="240" w:lineRule="auto"/>
              <w:jc w:val="both"/>
              <w:rPr>
                <w:rFonts w:cstheme="minorHAnsi"/>
                <w:szCs w:val="20"/>
                <w:lang w:val="en-GB"/>
              </w:rPr>
            </w:pPr>
          </w:p>
        </w:tc>
        <w:tc>
          <w:tcPr>
            <w:tcW w:w="2084" w:type="dxa"/>
            <w:tcBorders>
              <w:bottom w:val="single" w:sz="4" w:space="0" w:color="auto"/>
            </w:tcBorders>
            <w:vAlign w:val="center"/>
          </w:tcPr>
          <w:p w14:paraId="67AF2705" w14:textId="77777777" w:rsidR="009F0B03" w:rsidRPr="00D12C05" w:rsidRDefault="009F0B03" w:rsidP="00D8589B">
            <w:pPr>
              <w:spacing w:after="0" w:line="240" w:lineRule="auto"/>
              <w:jc w:val="both"/>
              <w:rPr>
                <w:rFonts w:cstheme="minorHAnsi"/>
                <w:szCs w:val="20"/>
                <w:lang w:val="en-GB"/>
              </w:rPr>
            </w:pPr>
            <w:r w:rsidRPr="00D12C05">
              <w:rPr>
                <w:rFonts w:cstheme="minorHAnsi"/>
                <w:szCs w:val="20"/>
                <w:lang w:val="en-GB"/>
              </w:rPr>
              <w:t>Gamma (4,1)</w:t>
            </w:r>
          </w:p>
        </w:tc>
        <w:tc>
          <w:tcPr>
            <w:tcW w:w="1134" w:type="dxa"/>
            <w:tcBorders>
              <w:bottom w:val="single" w:sz="4" w:space="0" w:color="auto"/>
            </w:tcBorders>
            <w:vAlign w:val="center"/>
          </w:tcPr>
          <w:p w14:paraId="4CDA5D6A" w14:textId="16D40F26" w:rsidR="009F0B03" w:rsidRPr="009F0B03" w:rsidRDefault="009F0B03" w:rsidP="00D8589B">
            <w:pPr>
              <w:spacing w:after="0" w:line="240" w:lineRule="auto"/>
              <w:jc w:val="both"/>
              <w:rPr>
                <w:rFonts w:cstheme="minorHAnsi"/>
                <w:szCs w:val="20"/>
                <w:vertAlign w:val="superscript"/>
                <w:lang w:val="en-GB"/>
              </w:rPr>
            </w:pPr>
            <w:r w:rsidRPr="009F0B03">
              <w:rPr>
                <w:rFonts w:cstheme="minorHAnsi"/>
                <w:szCs w:val="20"/>
                <w:vertAlign w:val="superscript"/>
                <w:lang w:val="en-GB"/>
              </w:rPr>
              <w:t>10</w:t>
            </w:r>
          </w:p>
        </w:tc>
      </w:tr>
      <w:tr w:rsidR="009F0B03" w:rsidRPr="00D12C05" w14:paraId="605C0826" w14:textId="703E9827" w:rsidTr="009F0B03">
        <w:trPr>
          <w:trHeight w:val="340"/>
          <w:jc w:val="center"/>
        </w:trPr>
        <w:tc>
          <w:tcPr>
            <w:tcW w:w="2489" w:type="dxa"/>
            <w:tcBorders>
              <w:top w:val="single" w:sz="4" w:space="0" w:color="auto"/>
            </w:tcBorders>
            <w:vAlign w:val="center"/>
          </w:tcPr>
          <w:p w14:paraId="4ADFD05C" w14:textId="77777777" w:rsidR="009F0B03" w:rsidRPr="00D12C05" w:rsidRDefault="009F0B03" w:rsidP="00D8589B">
            <w:pPr>
              <w:spacing w:after="0" w:line="240" w:lineRule="auto"/>
              <w:jc w:val="both"/>
              <w:rPr>
                <w:rFonts w:cstheme="minorHAnsi"/>
                <w:szCs w:val="20"/>
                <w:lang w:val="en-GB"/>
              </w:rPr>
            </w:pPr>
            <w:r>
              <w:rPr>
                <w:rFonts w:cstheme="minorHAnsi"/>
                <w:szCs w:val="20"/>
                <w:lang w:val="en-GB"/>
              </w:rPr>
              <w:t>A</w:t>
            </w:r>
            <w:r w:rsidRPr="00D12C05">
              <w:rPr>
                <w:rFonts w:cstheme="minorHAnsi"/>
                <w:szCs w:val="20"/>
                <w:lang w:val="en-GB"/>
              </w:rPr>
              <w:t>dvers</w:t>
            </w:r>
            <w:r>
              <w:rPr>
                <w:rFonts w:cstheme="minorHAnsi"/>
                <w:szCs w:val="20"/>
                <w:lang w:val="en-GB"/>
              </w:rPr>
              <w:t xml:space="preserve">e effects </w:t>
            </w:r>
          </w:p>
        </w:tc>
        <w:tc>
          <w:tcPr>
            <w:tcW w:w="1771" w:type="dxa"/>
            <w:tcBorders>
              <w:top w:val="single" w:sz="4" w:space="0" w:color="auto"/>
            </w:tcBorders>
            <w:vAlign w:val="center"/>
          </w:tcPr>
          <w:p w14:paraId="07492EB2" w14:textId="77777777" w:rsidR="009F0B03" w:rsidRPr="00D12C05" w:rsidRDefault="009F0B03" w:rsidP="00D8589B">
            <w:pPr>
              <w:spacing w:after="0" w:line="240" w:lineRule="auto"/>
              <w:jc w:val="both"/>
              <w:rPr>
                <w:rFonts w:cstheme="minorHAnsi"/>
                <w:szCs w:val="20"/>
                <w:lang w:val="en-GB"/>
              </w:rPr>
            </w:pPr>
            <w:r>
              <w:rPr>
                <w:rFonts w:cstheme="minorHAnsi"/>
                <w:szCs w:val="20"/>
                <w:lang w:val="en-GB"/>
              </w:rPr>
              <w:t>Toxicity</w:t>
            </w:r>
          </w:p>
        </w:tc>
        <w:tc>
          <w:tcPr>
            <w:tcW w:w="2361" w:type="dxa"/>
            <w:gridSpan w:val="2"/>
            <w:tcBorders>
              <w:top w:val="single" w:sz="4" w:space="0" w:color="auto"/>
            </w:tcBorders>
            <w:vAlign w:val="center"/>
          </w:tcPr>
          <w:p w14:paraId="1D910AE7" w14:textId="77777777" w:rsidR="009F0B03" w:rsidRPr="00D12C05" w:rsidRDefault="009F0B03" w:rsidP="00D8589B">
            <w:pPr>
              <w:spacing w:after="0" w:line="240" w:lineRule="auto"/>
              <w:jc w:val="both"/>
              <w:rPr>
                <w:rFonts w:cstheme="minorHAnsi"/>
                <w:szCs w:val="20"/>
                <w:lang w:val="en-GB"/>
              </w:rPr>
            </w:pPr>
            <w:r w:rsidRPr="00D12C05">
              <w:rPr>
                <w:rFonts w:cstheme="minorHAnsi"/>
                <w:szCs w:val="20"/>
                <w:lang w:val="en-GB"/>
              </w:rPr>
              <w:t>Beta (15,84)</w:t>
            </w:r>
          </w:p>
        </w:tc>
        <w:tc>
          <w:tcPr>
            <w:tcW w:w="1134" w:type="dxa"/>
            <w:tcBorders>
              <w:top w:val="single" w:sz="4" w:space="0" w:color="auto"/>
            </w:tcBorders>
            <w:vAlign w:val="center"/>
          </w:tcPr>
          <w:p w14:paraId="2C5FF88B" w14:textId="6055F07B" w:rsidR="009F0B03" w:rsidRPr="009F0B03" w:rsidRDefault="009F0B03" w:rsidP="00D8589B">
            <w:pPr>
              <w:spacing w:after="0" w:line="240" w:lineRule="auto"/>
              <w:jc w:val="both"/>
              <w:rPr>
                <w:rFonts w:cstheme="minorHAnsi"/>
                <w:szCs w:val="20"/>
                <w:vertAlign w:val="superscript"/>
                <w:lang w:val="en-GB"/>
              </w:rPr>
            </w:pPr>
            <w:r w:rsidRPr="009F0B03">
              <w:rPr>
                <w:rFonts w:cstheme="minorHAnsi"/>
                <w:szCs w:val="20"/>
                <w:vertAlign w:val="superscript"/>
                <w:lang w:val="en-GB"/>
              </w:rPr>
              <w:t>10</w:t>
            </w:r>
          </w:p>
        </w:tc>
      </w:tr>
      <w:tr w:rsidR="009F0B03" w:rsidRPr="00D12C05" w14:paraId="0D7CB05F" w14:textId="78CEC762" w:rsidTr="009F0B03">
        <w:trPr>
          <w:trHeight w:val="340"/>
          <w:jc w:val="center"/>
        </w:trPr>
        <w:tc>
          <w:tcPr>
            <w:tcW w:w="2489" w:type="dxa"/>
            <w:tcBorders>
              <w:bottom w:val="single" w:sz="4" w:space="0" w:color="auto"/>
            </w:tcBorders>
            <w:vAlign w:val="center"/>
          </w:tcPr>
          <w:p w14:paraId="45B1778A" w14:textId="77777777" w:rsidR="009F0B03" w:rsidRPr="00D12C05" w:rsidRDefault="009F0B03" w:rsidP="00D8589B">
            <w:pPr>
              <w:spacing w:after="0" w:line="240" w:lineRule="auto"/>
              <w:jc w:val="both"/>
              <w:rPr>
                <w:rFonts w:cstheme="minorHAnsi"/>
                <w:szCs w:val="20"/>
                <w:lang w:val="en-GB"/>
              </w:rPr>
            </w:pPr>
          </w:p>
        </w:tc>
        <w:tc>
          <w:tcPr>
            <w:tcW w:w="1771" w:type="dxa"/>
            <w:tcBorders>
              <w:bottom w:val="single" w:sz="4" w:space="0" w:color="auto"/>
            </w:tcBorders>
            <w:vAlign w:val="center"/>
          </w:tcPr>
          <w:p w14:paraId="4443CBE3" w14:textId="77777777" w:rsidR="009F0B03" w:rsidRPr="00D12C05" w:rsidRDefault="009F0B03" w:rsidP="00D8589B">
            <w:pPr>
              <w:spacing w:after="0" w:line="240" w:lineRule="auto"/>
              <w:jc w:val="both"/>
              <w:rPr>
                <w:rFonts w:cstheme="minorHAnsi"/>
                <w:szCs w:val="20"/>
                <w:lang w:val="en-GB"/>
              </w:rPr>
            </w:pPr>
            <w:r w:rsidRPr="00D12C05">
              <w:rPr>
                <w:rFonts w:cstheme="minorHAnsi"/>
                <w:szCs w:val="20"/>
                <w:lang w:val="en-GB"/>
              </w:rPr>
              <w:t>G-CSF</w:t>
            </w:r>
          </w:p>
        </w:tc>
        <w:tc>
          <w:tcPr>
            <w:tcW w:w="2361" w:type="dxa"/>
            <w:gridSpan w:val="2"/>
            <w:tcBorders>
              <w:bottom w:val="single" w:sz="4" w:space="0" w:color="auto"/>
            </w:tcBorders>
            <w:vAlign w:val="center"/>
          </w:tcPr>
          <w:p w14:paraId="77F1ACBC" w14:textId="77777777" w:rsidR="009F0B03" w:rsidRPr="00D12C05" w:rsidRDefault="009F0B03" w:rsidP="00D8589B">
            <w:pPr>
              <w:spacing w:after="0" w:line="240" w:lineRule="auto"/>
              <w:jc w:val="both"/>
              <w:rPr>
                <w:rFonts w:cstheme="minorHAnsi"/>
                <w:szCs w:val="20"/>
                <w:lang w:val="en-GB"/>
              </w:rPr>
            </w:pPr>
            <w:r w:rsidRPr="00D12C05">
              <w:rPr>
                <w:rFonts w:cstheme="minorHAnsi"/>
                <w:szCs w:val="20"/>
                <w:lang w:val="en-GB"/>
              </w:rPr>
              <w:t>Beta (31,68)</w:t>
            </w:r>
          </w:p>
        </w:tc>
        <w:tc>
          <w:tcPr>
            <w:tcW w:w="1134" w:type="dxa"/>
            <w:tcBorders>
              <w:bottom w:val="single" w:sz="4" w:space="0" w:color="auto"/>
            </w:tcBorders>
            <w:vAlign w:val="center"/>
          </w:tcPr>
          <w:p w14:paraId="2FC3E11B" w14:textId="5BF78A0E" w:rsidR="009F0B03" w:rsidRPr="009F0B03" w:rsidRDefault="009F0B03" w:rsidP="00D8589B">
            <w:pPr>
              <w:spacing w:after="0" w:line="240" w:lineRule="auto"/>
              <w:jc w:val="both"/>
              <w:rPr>
                <w:rFonts w:cstheme="minorHAnsi"/>
                <w:szCs w:val="20"/>
                <w:vertAlign w:val="superscript"/>
                <w:lang w:val="en-GB"/>
              </w:rPr>
            </w:pPr>
            <w:r w:rsidRPr="009F0B03">
              <w:rPr>
                <w:rFonts w:cstheme="minorHAnsi"/>
                <w:szCs w:val="20"/>
                <w:vertAlign w:val="superscript"/>
                <w:lang w:val="en-GB"/>
              </w:rPr>
              <w:t>10</w:t>
            </w:r>
          </w:p>
        </w:tc>
      </w:tr>
    </w:tbl>
    <w:p w14:paraId="0386DA99" w14:textId="77777777" w:rsidR="00B763AF" w:rsidRPr="00D12C05" w:rsidRDefault="00B763AF" w:rsidP="00D8589B">
      <w:pPr>
        <w:jc w:val="both"/>
        <w:rPr>
          <w:lang w:val="en-GB"/>
        </w:rPr>
      </w:pPr>
    </w:p>
    <w:p w14:paraId="677CC7E4" w14:textId="77777777" w:rsidR="00B763AF" w:rsidRDefault="00B763AF" w:rsidP="00D8589B">
      <w:pPr>
        <w:jc w:val="both"/>
        <w:rPr>
          <w:lang w:val="en-GB"/>
        </w:rPr>
      </w:pPr>
    </w:p>
    <w:p w14:paraId="33CD9CBE" w14:textId="77777777" w:rsidR="005D7865" w:rsidRDefault="005D7865" w:rsidP="00D8589B">
      <w:pPr>
        <w:jc w:val="both"/>
        <w:rPr>
          <w:lang w:val="en-GB"/>
        </w:rPr>
        <w:sectPr w:rsidR="005D7865">
          <w:footerReference w:type="default" r:id="rId9"/>
          <w:pgSz w:w="11906" w:h="16838"/>
          <w:pgMar w:top="1417" w:right="1701" w:bottom="1417" w:left="1701" w:header="708" w:footer="708" w:gutter="0"/>
          <w:cols w:space="708"/>
          <w:docGrid w:linePitch="360"/>
        </w:sectPr>
      </w:pPr>
    </w:p>
    <w:p w14:paraId="697732F5" w14:textId="0AD63995" w:rsidR="00243330" w:rsidRDefault="005D7865" w:rsidP="00E96DD0">
      <w:pPr>
        <w:jc w:val="both"/>
        <w:rPr>
          <w:lang w:val="en-GB"/>
        </w:rPr>
      </w:pPr>
      <w:r w:rsidRPr="00D12C05">
        <w:rPr>
          <w:lang w:val="en-GB"/>
        </w:rPr>
        <w:lastRenderedPageBreak/>
        <w:t>Tabl</w:t>
      </w:r>
      <w:r>
        <w:rPr>
          <w:lang w:val="en-GB"/>
        </w:rPr>
        <w:t>e</w:t>
      </w:r>
      <w:r w:rsidRPr="00D12C05">
        <w:rPr>
          <w:lang w:val="en-GB"/>
        </w:rPr>
        <w:t xml:space="preserve"> </w:t>
      </w:r>
      <w:r w:rsidR="00243330">
        <w:rPr>
          <w:lang w:val="en-GB"/>
        </w:rPr>
        <w:t>II</w:t>
      </w:r>
    </w:p>
    <w:p w14:paraId="42833169" w14:textId="576BACB8" w:rsidR="005D7865" w:rsidRPr="00A06682" w:rsidRDefault="005D7865" w:rsidP="00D8589B">
      <w:pPr>
        <w:jc w:val="both"/>
        <w:rPr>
          <w:lang w:val="en-US"/>
        </w:rPr>
      </w:pPr>
      <w:r w:rsidRPr="00A06682">
        <w:rPr>
          <w:lang w:val="en-US"/>
        </w:rPr>
        <w:t>Utilities of different phases of early stage breast cancer patients by age groups.</w:t>
      </w:r>
    </w:p>
    <w:tbl>
      <w:tblPr>
        <w:tblW w:w="8633" w:type="dxa"/>
        <w:jc w:val="center"/>
        <w:tblLayout w:type="fixed"/>
        <w:tblLook w:val="04A0" w:firstRow="1" w:lastRow="0" w:firstColumn="1" w:lastColumn="0" w:noHBand="0" w:noVBand="1"/>
      </w:tblPr>
      <w:tblGrid>
        <w:gridCol w:w="1856"/>
        <w:gridCol w:w="1058"/>
        <w:gridCol w:w="1417"/>
        <w:gridCol w:w="1559"/>
        <w:gridCol w:w="1560"/>
        <w:gridCol w:w="1183"/>
      </w:tblGrid>
      <w:tr w:rsidR="005D7865" w:rsidRPr="00D12C05" w14:paraId="3C8E9A9B" w14:textId="77777777" w:rsidTr="00334C91">
        <w:trPr>
          <w:trHeight w:val="680"/>
          <w:jc w:val="center"/>
        </w:trPr>
        <w:tc>
          <w:tcPr>
            <w:tcW w:w="1856" w:type="dxa"/>
            <w:tcBorders>
              <w:top w:val="single" w:sz="4" w:space="0" w:color="auto"/>
              <w:bottom w:val="single" w:sz="4" w:space="0" w:color="auto"/>
            </w:tcBorders>
            <w:vAlign w:val="center"/>
          </w:tcPr>
          <w:p w14:paraId="3E0B5738" w14:textId="77777777" w:rsidR="005D7865" w:rsidRPr="00A06682" w:rsidRDefault="005D7865" w:rsidP="00D8589B">
            <w:pPr>
              <w:jc w:val="both"/>
              <w:rPr>
                <w:rFonts w:cstheme="minorHAnsi"/>
                <w:sz w:val="18"/>
                <w:szCs w:val="18"/>
                <w:lang w:val="en-US"/>
              </w:rPr>
            </w:pPr>
          </w:p>
        </w:tc>
        <w:tc>
          <w:tcPr>
            <w:tcW w:w="1058" w:type="dxa"/>
            <w:tcBorders>
              <w:top w:val="single" w:sz="4" w:space="0" w:color="auto"/>
              <w:bottom w:val="single" w:sz="4" w:space="0" w:color="auto"/>
            </w:tcBorders>
            <w:vAlign w:val="center"/>
          </w:tcPr>
          <w:p w14:paraId="541DE386" w14:textId="77777777" w:rsidR="005D7865" w:rsidRPr="00D12C05" w:rsidRDefault="005D7865" w:rsidP="00D8589B">
            <w:pPr>
              <w:jc w:val="both"/>
              <w:rPr>
                <w:rFonts w:cstheme="minorHAnsi"/>
                <w:b/>
                <w:sz w:val="18"/>
                <w:szCs w:val="18"/>
                <w:lang w:val="en-GB"/>
              </w:rPr>
            </w:pPr>
            <w:r w:rsidRPr="00D12C05">
              <w:rPr>
                <w:rFonts w:cstheme="minorHAnsi"/>
                <w:b/>
                <w:sz w:val="18"/>
                <w:szCs w:val="18"/>
                <w:lang w:val="en-GB"/>
              </w:rPr>
              <w:t>General population</w:t>
            </w:r>
          </w:p>
        </w:tc>
        <w:tc>
          <w:tcPr>
            <w:tcW w:w="1417" w:type="dxa"/>
            <w:tcBorders>
              <w:top w:val="single" w:sz="4" w:space="0" w:color="auto"/>
              <w:bottom w:val="single" w:sz="4" w:space="0" w:color="auto"/>
            </w:tcBorders>
            <w:vAlign w:val="center"/>
          </w:tcPr>
          <w:p w14:paraId="19AE5FE7" w14:textId="77777777" w:rsidR="005D7865" w:rsidRPr="00D12C05" w:rsidRDefault="005D7865" w:rsidP="00D8589B">
            <w:pPr>
              <w:jc w:val="both"/>
              <w:rPr>
                <w:rFonts w:cstheme="minorHAnsi"/>
                <w:b/>
                <w:sz w:val="18"/>
                <w:szCs w:val="18"/>
                <w:lang w:val="en-GB"/>
              </w:rPr>
            </w:pPr>
            <w:r w:rsidRPr="00D12C05">
              <w:rPr>
                <w:rFonts w:cstheme="minorHAnsi"/>
                <w:b/>
                <w:sz w:val="18"/>
                <w:szCs w:val="18"/>
                <w:lang w:val="en-GB"/>
              </w:rPr>
              <w:t>Chemotherapy</w:t>
            </w:r>
          </w:p>
        </w:tc>
        <w:tc>
          <w:tcPr>
            <w:tcW w:w="1559" w:type="dxa"/>
            <w:tcBorders>
              <w:top w:val="single" w:sz="4" w:space="0" w:color="auto"/>
              <w:bottom w:val="single" w:sz="4" w:space="0" w:color="auto"/>
            </w:tcBorders>
            <w:vAlign w:val="center"/>
          </w:tcPr>
          <w:p w14:paraId="51A1DAB0" w14:textId="77777777" w:rsidR="005D7865" w:rsidRPr="00D12C05" w:rsidRDefault="005D7865" w:rsidP="00D8589B">
            <w:pPr>
              <w:jc w:val="both"/>
              <w:rPr>
                <w:rFonts w:cstheme="minorHAnsi"/>
                <w:b/>
                <w:sz w:val="18"/>
                <w:szCs w:val="18"/>
                <w:lang w:val="en-GB"/>
              </w:rPr>
            </w:pPr>
            <w:r w:rsidRPr="00D12C05">
              <w:rPr>
                <w:rFonts w:cstheme="minorHAnsi"/>
                <w:b/>
                <w:sz w:val="18"/>
                <w:szCs w:val="18"/>
                <w:lang w:val="en-GB"/>
              </w:rPr>
              <w:t>Chemotherapy toxicity</w:t>
            </w:r>
          </w:p>
        </w:tc>
        <w:tc>
          <w:tcPr>
            <w:tcW w:w="1560" w:type="dxa"/>
            <w:tcBorders>
              <w:top w:val="single" w:sz="4" w:space="0" w:color="auto"/>
              <w:bottom w:val="single" w:sz="4" w:space="0" w:color="auto"/>
            </w:tcBorders>
            <w:vAlign w:val="center"/>
          </w:tcPr>
          <w:p w14:paraId="494F6D80" w14:textId="77777777" w:rsidR="005D7865" w:rsidRPr="00D12C05" w:rsidRDefault="005D7865" w:rsidP="00D8589B">
            <w:pPr>
              <w:jc w:val="both"/>
              <w:rPr>
                <w:rFonts w:cstheme="minorHAnsi"/>
                <w:b/>
                <w:sz w:val="18"/>
                <w:szCs w:val="18"/>
                <w:lang w:val="en-GB"/>
              </w:rPr>
            </w:pPr>
            <w:r w:rsidRPr="00D12C05">
              <w:rPr>
                <w:rFonts w:cstheme="minorHAnsi"/>
                <w:b/>
                <w:sz w:val="18"/>
                <w:szCs w:val="18"/>
                <w:lang w:val="en-GB"/>
              </w:rPr>
              <w:t>Hormonotherapy</w:t>
            </w:r>
          </w:p>
        </w:tc>
        <w:tc>
          <w:tcPr>
            <w:tcW w:w="1183" w:type="dxa"/>
            <w:tcBorders>
              <w:top w:val="single" w:sz="4" w:space="0" w:color="auto"/>
              <w:bottom w:val="single" w:sz="4" w:space="0" w:color="auto"/>
            </w:tcBorders>
            <w:vAlign w:val="center"/>
          </w:tcPr>
          <w:p w14:paraId="07289FFE" w14:textId="77777777" w:rsidR="005D7865" w:rsidRPr="00D12C05" w:rsidRDefault="005D7865" w:rsidP="00D8589B">
            <w:pPr>
              <w:jc w:val="both"/>
              <w:rPr>
                <w:rFonts w:cstheme="minorHAnsi"/>
                <w:b/>
                <w:sz w:val="18"/>
                <w:szCs w:val="18"/>
                <w:lang w:val="en-GB"/>
              </w:rPr>
            </w:pPr>
            <w:r w:rsidRPr="00D12C05">
              <w:rPr>
                <w:rFonts w:cstheme="minorHAnsi"/>
                <w:b/>
                <w:sz w:val="18"/>
                <w:szCs w:val="18"/>
                <w:lang w:val="en-GB"/>
              </w:rPr>
              <w:t>Metastasis</w:t>
            </w:r>
          </w:p>
        </w:tc>
      </w:tr>
      <w:tr w:rsidR="005D7865" w:rsidRPr="00D12C05" w14:paraId="20735BA7" w14:textId="77777777" w:rsidTr="00423C45">
        <w:trPr>
          <w:trHeight w:val="397"/>
          <w:jc w:val="center"/>
        </w:trPr>
        <w:tc>
          <w:tcPr>
            <w:tcW w:w="1856" w:type="dxa"/>
            <w:tcBorders>
              <w:top w:val="single" w:sz="4" w:space="0" w:color="auto"/>
            </w:tcBorders>
            <w:vAlign w:val="center"/>
          </w:tcPr>
          <w:p w14:paraId="45CE0327" w14:textId="58CDF365" w:rsidR="005D7865" w:rsidRPr="00D12C05" w:rsidRDefault="005D7865" w:rsidP="00D8589B">
            <w:pPr>
              <w:spacing w:after="0" w:line="240" w:lineRule="auto"/>
              <w:jc w:val="both"/>
              <w:rPr>
                <w:rFonts w:cstheme="minorHAnsi"/>
                <w:color w:val="000000"/>
                <w:sz w:val="18"/>
                <w:szCs w:val="18"/>
                <w:lang w:val="en-GB"/>
              </w:rPr>
            </w:pPr>
            <w:r w:rsidRPr="00D12C05">
              <w:rPr>
                <w:rFonts w:cstheme="minorHAnsi"/>
                <w:color w:val="000000"/>
                <w:sz w:val="18"/>
                <w:szCs w:val="18"/>
                <w:lang w:val="en-GB"/>
              </w:rPr>
              <w:t xml:space="preserve">Utility respect </w:t>
            </w:r>
            <w:r>
              <w:rPr>
                <w:rFonts w:cstheme="minorHAnsi"/>
                <w:color w:val="000000"/>
                <w:sz w:val="18"/>
                <w:szCs w:val="18"/>
                <w:lang w:val="en-GB"/>
              </w:rPr>
              <w:t>to</w:t>
            </w:r>
            <w:r w:rsidRPr="00D12C05">
              <w:rPr>
                <w:rFonts w:cstheme="minorHAnsi"/>
                <w:color w:val="000000"/>
                <w:sz w:val="18"/>
                <w:szCs w:val="18"/>
                <w:lang w:val="en-GB"/>
              </w:rPr>
              <w:t xml:space="preserve"> </w:t>
            </w:r>
            <w:r w:rsidR="00243330" w:rsidRPr="00D8589B">
              <w:rPr>
                <w:rFonts w:cstheme="minorHAnsi"/>
                <w:color w:val="000000"/>
                <w:sz w:val="18"/>
                <w:szCs w:val="18"/>
                <w:lang w:val="en-US"/>
              </w:rPr>
              <w:t>general population</w:t>
            </w:r>
          </w:p>
        </w:tc>
        <w:tc>
          <w:tcPr>
            <w:tcW w:w="1058" w:type="dxa"/>
            <w:tcBorders>
              <w:top w:val="single" w:sz="4" w:space="0" w:color="auto"/>
            </w:tcBorders>
            <w:vAlign w:val="center"/>
          </w:tcPr>
          <w:p w14:paraId="0B5BB6A7" w14:textId="77777777" w:rsidR="005D7865" w:rsidRPr="00D12C05" w:rsidRDefault="005D7865" w:rsidP="00D8589B">
            <w:pPr>
              <w:spacing w:after="0" w:line="240" w:lineRule="auto"/>
              <w:jc w:val="both"/>
              <w:rPr>
                <w:rFonts w:cstheme="minorHAnsi"/>
                <w:color w:val="000000"/>
                <w:sz w:val="18"/>
                <w:szCs w:val="18"/>
                <w:lang w:val="en-GB"/>
              </w:rPr>
            </w:pPr>
            <w:r w:rsidRPr="00D12C05">
              <w:rPr>
                <w:rFonts w:cstheme="minorHAnsi"/>
                <w:color w:val="000000"/>
                <w:sz w:val="18"/>
                <w:szCs w:val="18"/>
                <w:lang w:val="en-GB"/>
              </w:rPr>
              <w:t>100%</w:t>
            </w:r>
          </w:p>
        </w:tc>
        <w:tc>
          <w:tcPr>
            <w:tcW w:w="1417" w:type="dxa"/>
            <w:tcBorders>
              <w:top w:val="single" w:sz="4" w:space="0" w:color="auto"/>
            </w:tcBorders>
            <w:vAlign w:val="center"/>
          </w:tcPr>
          <w:p w14:paraId="587AE315" w14:textId="77777777" w:rsidR="005D7865" w:rsidRPr="00D12C05" w:rsidRDefault="005D7865" w:rsidP="00D8589B">
            <w:pPr>
              <w:spacing w:after="0" w:line="240" w:lineRule="auto"/>
              <w:jc w:val="both"/>
              <w:rPr>
                <w:rFonts w:cstheme="minorHAnsi"/>
                <w:color w:val="000000"/>
                <w:sz w:val="18"/>
                <w:szCs w:val="18"/>
                <w:lang w:val="en-GB"/>
              </w:rPr>
            </w:pPr>
            <w:r w:rsidRPr="00D12C05">
              <w:rPr>
                <w:rFonts w:cstheme="minorHAnsi"/>
                <w:color w:val="000000"/>
                <w:sz w:val="18"/>
                <w:szCs w:val="18"/>
                <w:lang w:val="en-GB"/>
              </w:rPr>
              <w:t>90%</w:t>
            </w:r>
          </w:p>
        </w:tc>
        <w:tc>
          <w:tcPr>
            <w:tcW w:w="1559" w:type="dxa"/>
            <w:tcBorders>
              <w:top w:val="single" w:sz="4" w:space="0" w:color="auto"/>
            </w:tcBorders>
            <w:vAlign w:val="center"/>
          </w:tcPr>
          <w:p w14:paraId="7D66823A" w14:textId="77777777" w:rsidR="005D7865" w:rsidRPr="00D12C05" w:rsidRDefault="005D7865" w:rsidP="00D8589B">
            <w:pPr>
              <w:spacing w:after="0" w:line="240" w:lineRule="auto"/>
              <w:jc w:val="both"/>
              <w:rPr>
                <w:rFonts w:cstheme="minorHAnsi"/>
                <w:color w:val="000000"/>
                <w:sz w:val="18"/>
                <w:szCs w:val="18"/>
                <w:lang w:val="en-GB"/>
              </w:rPr>
            </w:pPr>
            <w:r w:rsidRPr="00D12C05">
              <w:rPr>
                <w:rFonts w:cstheme="minorHAnsi"/>
                <w:color w:val="000000"/>
                <w:sz w:val="18"/>
                <w:szCs w:val="18"/>
                <w:lang w:val="en-GB"/>
              </w:rPr>
              <w:t>85%</w:t>
            </w:r>
          </w:p>
        </w:tc>
        <w:tc>
          <w:tcPr>
            <w:tcW w:w="1560" w:type="dxa"/>
            <w:tcBorders>
              <w:top w:val="single" w:sz="4" w:space="0" w:color="auto"/>
            </w:tcBorders>
            <w:vAlign w:val="center"/>
          </w:tcPr>
          <w:p w14:paraId="609EF6F6" w14:textId="77777777" w:rsidR="005D7865" w:rsidRPr="00D12C05" w:rsidRDefault="005D7865" w:rsidP="00D8589B">
            <w:pPr>
              <w:spacing w:after="0" w:line="240" w:lineRule="auto"/>
              <w:jc w:val="both"/>
              <w:rPr>
                <w:rFonts w:cstheme="minorHAnsi"/>
                <w:color w:val="000000"/>
                <w:sz w:val="18"/>
                <w:szCs w:val="18"/>
                <w:lang w:val="en-GB"/>
              </w:rPr>
            </w:pPr>
            <w:r w:rsidRPr="00D12C05">
              <w:rPr>
                <w:rFonts w:cstheme="minorHAnsi"/>
                <w:color w:val="000000"/>
                <w:sz w:val="18"/>
                <w:szCs w:val="18"/>
                <w:lang w:val="en-GB"/>
              </w:rPr>
              <w:t>95%</w:t>
            </w:r>
          </w:p>
        </w:tc>
        <w:tc>
          <w:tcPr>
            <w:tcW w:w="1183" w:type="dxa"/>
            <w:tcBorders>
              <w:top w:val="single" w:sz="4" w:space="0" w:color="auto"/>
            </w:tcBorders>
            <w:vAlign w:val="center"/>
          </w:tcPr>
          <w:p w14:paraId="4D751A00" w14:textId="77777777" w:rsidR="005D7865" w:rsidRPr="00D12C05" w:rsidRDefault="005D7865" w:rsidP="00D8589B">
            <w:pPr>
              <w:spacing w:after="0" w:line="240" w:lineRule="auto"/>
              <w:jc w:val="both"/>
              <w:rPr>
                <w:rFonts w:cstheme="minorHAnsi"/>
                <w:color w:val="000000"/>
                <w:sz w:val="18"/>
                <w:szCs w:val="18"/>
                <w:lang w:val="en-GB"/>
              </w:rPr>
            </w:pPr>
            <w:r w:rsidRPr="00D12C05">
              <w:rPr>
                <w:rFonts w:cstheme="minorHAnsi"/>
                <w:color w:val="000000"/>
                <w:sz w:val="18"/>
                <w:szCs w:val="18"/>
                <w:lang w:val="en-GB"/>
              </w:rPr>
              <w:t>70%</w:t>
            </w:r>
          </w:p>
        </w:tc>
      </w:tr>
      <w:tr w:rsidR="00D44BB8" w:rsidRPr="00D12C05" w14:paraId="503845D1" w14:textId="77777777" w:rsidTr="00D44BB8">
        <w:trPr>
          <w:trHeight w:val="397"/>
          <w:jc w:val="center"/>
        </w:trPr>
        <w:tc>
          <w:tcPr>
            <w:tcW w:w="1856" w:type="dxa"/>
            <w:vAlign w:val="center"/>
          </w:tcPr>
          <w:p w14:paraId="048FCD7E" w14:textId="77777777" w:rsidR="00D44BB8" w:rsidRPr="00D12C05" w:rsidRDefault="00D44BB8" w:rsidP="00D8589B">
            <w:pPr>
              <w:spacing w:after="0" w:line="240" w:lineRule="auto"/>
              <w:jc w:val="both"/>
              <w:rPr>
                <w:rFonts w:cstheme="minorHAnsi"/>
                <w:color w:val="000000"/>
                <w:sz w:val="18"/>
                <w:szCs w:val="18"/>
                <w:lang w:val="en-GB"/>
              </w:rPr>
            </w:pPr>
            <w:r w:rsidRPr="00D12C05">
              <w:rPr>
                <w:rFonts w:cstheme="minorHAnsi"/>
                <w:sz w:val="18"/>
                <w:szCs w:val="18"/>
                <w:lang w:val="en-GB"/>
              </w:rPr>
              <w:t>Age group</w:t>
            </w:r>
            <w:r w:rsidRPr="00D12C05">
              <w:rPr>
                <w:rFonts w:cstheme="minorHAnsi"/>
                <w:color w:val="000000"/>
                <w:sz w:val="18"/>
                <w:szCs w:val="18"/>
                <w:lang w:val="en-GB"/>
              </w:rPr>
              <w:t>: 16-44</w:t>
            </w:r>
          </w:p>
        </w:tc>
        <w:tc>
          <w:tcPr>
            <w:tcW w:w="1058" w:type="dxa"/>
            <w:vAlign w:val="center"/>
          </w:tcPr>
          <w:p w14:paraId="1BCB1A9D" w14:textId="55DCB9C7" w:rsidR="00D44BB8" w:rsidRPr="00D44BB8" w:rsidRDefault="00D44BB8" w:rsidP="00D8589B">
            <w:pPr>
              <w:spacing w:after="0" w:line="240" w:lineRule="auto"/>
              <w:jc w:val="both"/>
              <w:rPr>
                <w:rFonts w:cstheme="minorHAnsi"/>
                <w:color w:val="000000"/>
                <w:sz w:val="18"/>
                <w:szCs w:val="18"/>
                <w:lang w:val="en-GB"/>
              </w:rPr>
            </w:pPr>
            <w:r w:rsidRPr="00D44BB8">
              <w:rPr>
                <w:rFonts w:ascii="Calibri" w:hAnsi="Calibri" w:cs="Calibri"/>
                <w:color w:val="000000"/>
                <w:sz w:val="18"/>
              </w:rPr>
              <w:t>0</w:t>
            </w:r>
            <w:r>
              <w:rPr>
                <w:rFonts w:ascii="Calibri" w:hAnsi="Calibri" w:cs="Calibri"/>
                <w:color w:val="000000"/>
                <w:sz w:val="18"/>
              </w:rPr>
              <w:t>.</w:t>
            </w:r>
            <w:r w:rsidRPr="00D44BB8">
              <w:rPr>
                <w:rFonts w:ascii="Calibri" w:hAnsi="Calibri" w:cs="Calibri"/>
                <w:color w:val="000000"/>
                <w:sz w:val="18"/>
              </w:rPr>
              <w:t>9709</w:t>
            </w:r>
          </w:p>
        </w:tc>
        <w:tc>
          <w:tcPr>
            <w:tcW w:w="1417" w:type="dxa"/>
            <w:vAlign w:val="center"/>
          </w:tcPr>
          <w:p w14:paraId="59C8C995" w14:textId="33E5D392" w:rsidR="00D44BB8" w:rsidRPr="00D44BB8" w:rsidRDefault="00D44BB8" w:rsidP="00D8589B">
            <w:pPr>
              <w:spacing w:after="0" w:line="240" w:lineRule="auto"/>
              <w:jc w:val="both"/>
              <w:rPr>
                <w:rFonts w:cstheme="minorHAnsi"/>
                <w:color w:val="000000"/>
                <w:sz w:val="18"/>
                <w:szCs w:val="18"/>
                <w:lang w:val="en-GB"/>
              </w:rPr>
            </w:pPr>
            <w:r w:rsidRPr="00D44BB8">
              <w:rPr>
                <w:rFonts w:ascii="Calibri" w:hAnsi="Calibri" w:cs="Calibri"/>
                <w:color w:val="000000"/>
                <w:sz w:val="18"/>
              </w:rPr>
              <w:t>0</w:t>
            </w:r>
            <w:r>
              <w:rPr>
                <w:rFonts w:ascii="Calibri" w:hAnsi="Calibri" w:cs="Calibri"/>
                <w:color w:val="000000"/>
                <w:sz w:val="18"/>
              </w:rPr>
              <w:t>.</w:t>
            </w:r>
            <w:r w:rsidRPr="00D44BB8">
              <w:rPr>
                <w:rFonts w:ascii="Calibri" w:hAnsi="Calibri" w:cs="Calibri"/>
                <w:color w:val="000000"/>
                <w:sz w:val="18"/>
              </w:rPr>
              <w:t>8738</w:t>
            </w:r>
          </w:p>
        </w:tc>
        <w:tc>
          <w:tcPr>
            <w:tcW w:w="1559" w:type="dxa"/>
            <w:vAlign w:val="center"/>
          </w:tcPr>
          <w:p w14:paraId="06EA3D16" w14:textId="743ACD98" w:rsidR="00D44BB8" w:rsidRPr="00D44BB8" w:rsidRDefault="00D44BB8" w:rsidP="00D8589B">
            <w:pPr>
              <w:spacing w:after="0" w:line="240" w:lineRule="auto"/>
              <w:jc w:val="both"/>
              <w:rPr>
                <w:rFonts w:cstheme="minorHAnsi"/>
                <w:color w:val="000000"/>
                <w:sz w:val="18"/>
                <w:szCs w:val="18"/>
                <w:lang w:val="en-GB"/>
              </w:rPr>
            </w:pPr>
            <w:r w:rsidRPr="00D44BB8">
              <w:rPr>
                <w:rFonts w:ascii="Calibri" w:hAnsi="Calibri" w:cs="Calibri"/>
                <w:color w:val="000000"/>
                <w:sz w:val="18"/>
              </w:rPr>
              <w:t>0</w:t>
            </w:r>
            <w:r>
              <w:rPr>
                <w:rFonts w:ascii="Calibri" w:hAnsi="Calibri" w:cs="Calibri"/>
                <w:color w:val="000000"/>
                <w:sz w:val="18"/>
              </w:rPr>
              <w:t>.</w:t>
            </w:r>
            <w:r w:rsidRPr="00D44BB8">
              <w:rPr>
                <w:rFonts w:ascii="Calibri" w:hAnsi="Calibri" w:cs="Calibri"/>
                <w:color w:val="000000"/>
                <w:sz w:val="18"/>
              </w:rPr>
              <w:t>8253</w:t>
            </w:r>
          </w:p>
        </w:tc>
        <w:tc>
          <w:tcPr>
            <w:tcW w:w="1560" w:type="dxa"/>
            <w:vAlign w:val="center"/>
          </w:tcPr>
          <w:p w14:paraId="6336344E" w14:textId="6280FFB4" w:rsidR="00D44BB8" w:rsidRPr="00D44BB8" w:rsidRDefault="00D44BB8" w:rsidP="00D8589B">
            <w:pPr>
              <w:spacing w:after="0" w:line="240" w:lineRule="auto"/>
              <w:jc w:val="both"/>
              <w:rPr>
                <w:rFonts w:cstheme="minorHAnsi"/>
                <w:color w:val="000000"/>
                <w:sz w:val="18"/>
                <w:szCs w:val="18"/>
                <w:lang w:val="en-GB"/>
              </w:rPr>
            </w:pPr>
            <w:r w:rsidRPr="00D44BB8">
              <w:rPr>
                <w:rFonts w:ascii="Calibri" w:hAnsi="Calibri" w:cs="Calibri"/>
                <w:color w:val="000000"/>
                <w:sz w:val="18"/>
              </w:rPr>
              <w:t>0</w:t>
            </w:r>
            <w:r>
              <w:rPr>
                <w:rFonts w:ascii="Calibri" w:hAnsi="Calibri" w:cs="Calibri"/>
                <w:color w:val="000000"/>
                <w:sz w:val="18"/>
              </w:rPr>
              <w:t>.</w:t>
            </w:r>
            <w:r w:rsidRPr="00D44BB8">
              <w:rPr>
                <w:rFonts w:ascii="Calibri" w:hAnsi="Calibri" w:cs="Calibri"/>
                <w:color w:val="000000"/>
                <w:sz w:val="18"/>
              </w:rPr>
              <w:t>9224</w:t>
            </w:r>
          </w:p>
        </w:tc>
        <w:tc>
          <w:tcPr>
            <w:tcW w:w="1183" w:type="dxa"/>
            <w:vAlign w:val="center"/>
          </w:tcPr>
          <w:p w14:paraId="318180D5" w14:textId="3B137170" w:rsidR="00D44BB8" w:rsidRPr="00D44BB8" w:rsidRDefault="00D44BB8" w:rsidP="00D8589B">
            <w:pPr>
              <w:spacing w:after="0" w:line="240" w:lineRule="auto"/>
              <w:jc w:val="both"/>
              <w:rPr>
                <w:rFonts w:cstheme="minorHAnsi"/>
                <w:color w:val="000000"/>
                <w:sz w:val="18"/>
                <w:szCs w:val="18"/>
                <w:lang w:val="en-GB"/>
              </w:rPr>
            </w:pPr>
            <w:r w:rsidRPr="00D44BB8">
              <w:rPr>
                <w:rFonts w:ascii="Calibri" w:hAnsi="Calibri" w:cs="Calibri"/>
                <w:color w:val="000000"/>
                <w:sz w:val="18"/>
              </w:rPr>
              <w:t>0</w:t>
            </w:r>
            <w:r>
              <w:rPr>
                <w:rFonts w:ascii="Calibri" w:hAnsi="Calibri" w:cs="Calibri"/>
                <w:color w:val="000000"/>
                <w:sz w:val="18"/>
              </w:rPr>
              <w:t>.</w:t>
            </w:r>
            <w:r w:rsidRPr="00D44BB8">
              <w:rPr>
                <w:rFonts w:ascii="Calibri" w:hAnsi="Calibri" w:cs="Calibri"/>
                <w:color w:val="000000"/>
                <w:sz w:val="18"/>
              </w:rPr>
              <w:t>6796</w:t>
            </w:r>
          </w:p>
        </w:tc>
      </w:tr>
      <w:tr w:rsidR="00D44BB8" w:rsidRPr="00D12C05" w14:paraId="38678A76" w14:textId="77777777" w:rsidTr="00D44BB8">
        <w:trPr>
          <w:trHeight w:val="397"/>
          <w:jc w:val="center"/>
        </w:trPr>
        <w:tc>
          <w:tcPr>
            <w:tcW w:w="1856" w:type="dxa"/>
            <w:vAlign w:val="center"/>
          </w:tcPr>
          <w:p w14:paraId="19DB45FC" w14:textId="77777777" w:rsidR="00D44BB8" w:rsidRPr="00D12C05" w:rsidRDefault="00D44BB8" w:rsidP="00D8589B">
            <w:pPr>
              <w:spacing w:after="0" w:line="240" w:lineRule="auto"/>
              <w:jc w:val="both"/>
              <w:rPr>
                <w:rFonts w:cstheme="minorHAnsi"/>
                <w:color w:val="000000"/>
                <w:sz w:val="18"/>
                <w:szCs w:val="18"/>
                <w:lang w:val="en-GB"/>
              </w:rPr>
            </w:pPr>
            <w:r w:rsidRPr="00D12C05">
              <w:rPr>
                <w:rFonts w:cstheme="minorHAnsi"/>
                <w:sz w:val="18"/>
                <w:szCs w:val="18"/>
                <w:lang w:val="en-GB"/>
              </w:rPr>
              <w:t>Age group</w:t>
            </w:r>
            <w:r w:rsidRPr="00D12C05">
              <w:rPr>
                <w:rFonts w:cstheme="minorHAnsi"/>
                <w:color w:val="000000"/>
                <w:sz w:val="18"/>
                <w:szCs w:val="18"/>
                <w:lang w:val="en-GB"/>
              </w:rPr>
              <w:t>: 45-64</w:t>
            </w:r>
          </w:p>
        </w:tc>
        <w:tc>
          <w:tcPr>
            <w:tcW w:w="1058" w:type="dxa"/>
            <w:vAlign w:val="center"/>
          </w:tcPr>
          <w:p w14:paraId="0C188CF9" w14:textId="633AA6E6" w:rsidR="00D44BB8" w:rsidRPr="00D44BB8" w:rsidRDefault="00D44BB8" w:rsidP="00D8589B">
            <w:pPr>
              <w:spacing w:after="0" w:line="240" w:lineRule="auto"/>
              <w:jc w:val="both"/>
              <w:rPr>
                <w:rFonts w:cstheme="minorHAnsi"/>
                <w:color w:val="000000"/>
                <w:sz w:val="18"/>
                <w:szCs w:val="18"/>
                <w:lang w:val="en-GB"/>
              </w:rPr>
            </w:pPr>
            <w:r w:rsidRPr="00D44BB8">
              <w:rPr>
                <w:rFonts w:ascii="Calibri" w:hAnsi="Calibri" w:cs="Calibri"/>
                <w:color w:val="000000"/>
                <w:sz w:val="18"/>
              </w:rPr>
              <w:t>0</w:t>
            </w:r>
            <w:r>
              <w:rPr>
                <w:rFonts w:ascii="Calibri" w:hAnsi="Calibri" w:cs="Calibri"/>
                <w:color w:val="000000"/>
                <w:sz w:val="18"/>
              </w:rPr>
              <w:t>.</w:t>
            </w:r>
            <w:r w:rsidRPr="00D44BB8">
              <w:rPr>
                <w:rFonts w:ascii="Calibri" w:hAnsi="Calibri" w:cs="Calibri"/>
                <w:color w:val="000000"/>
                <w:sz w:val="18"/>
              </w:rPr>
              <w:t>8989</w:t>
            </w:r>
          </w:p>
        </w:tc>
        <w:tc>
          <w:tcPr>
            <w:tcW w:w="1417" w:type="dxa"/>
            <w:vAlign w:val="center"/>
          </w:tcPr>
          <w:p w14:paraId="24E4D751" w14:textId="140613AC" w:rsidR="00D44BB8" w:rsidRPr="00D44BB8" w:rsidRDefault="00D44BB8" w:rsidP="00D8589B">
            <w:pPr>
              <w:spacing w:after="0" w:line="240" w:lineRule="auto"/>
              <w:jc w:val="both"/>
              <w:rPr>
                <w:rFonts w:cstheme="minorHAnsi"/>
                <w:color w:val="000000"/>
                <w:sz w:val="18"/>
                <w:szCs w:val="18"/>
                <w:lang w:val="en-GB"/>
              </w:rPr>
            </w:pPr>
            <w:r w:rsidRPr="00D44BB8">
              <w:rPr>
                <w:rFonts w:ascii="Calibri" w:hAnsi="Calibri" w:cs="Calibri"/>
                <w:color w:val="000000"/>
                <w:sz w:val="18"/>
              </w:rPr>
              <w:t>0</w:t>
            </w:r>
            <w:r>
              <w:rPr>
                <w:rFonts w:ascii="Calibri" w:hAnsi="Calibri" w:cs="Calibri"/>
                <w:color w:val="000000"/>
                <w:sz w:val="18"/>
              </w:rPr>
              <w:t>.</w:t>
            </w:r>
            <w:r w:rsidRPr="00D44BB8">
              <w:rPr>
                <w:rFonts w:ascii="Calibri" w:hAnsi="Calibri" w:cs="Calibri"/>
                <w:color w:val="000000"/>
                <w:sz w:val="18"/>
              </w:rPr>
              <w:t>8090</w:t>
            </w:r>
          </w:p>
        </w:tc>
        <w:tc>
          <w:tcPr>
            <w:tcW w:w="1559" w:type="dxa"/>
            <w:vAlign w:val="center"/>
          </w:tcPr>
          <w:p w14:paraId="7A25145E" w14:textId="11E1B88A" w:rsidR="00D44BB8" w:rsidRPr="00D44BB8" w:rsidRDefault="00D44BB8" w:rsidP="00D8589B">
            <w:pPr>
              <w:spacing w:after="0" w:line="240" w:lineRule="auto"/>
              <w:jc w:val="both"/>
              <w:rPr>
                <w:rFonts w:cstheme="minorHAnsi"/>
                <w:color w:val="000000"/>
                <w:sz w:val="18"/>
                <w:szCs w:val="18"/>
                <w:lang w:val="en-GB"/>
              </w:rPr>
            </w:pPr>
            <w:r w:rsidRPr="00D44BB8">
              <w:rPr>
                <w:rFonts w:ascii="Calibri" w:hAnsi="Calibri" w:cs="Calibri"/>
                <w:color w:val="000000"/>
                <w:sz w:val="18"/>
              </w:rPr>
              <w:t>0</w:t>
            </w:r>
            <w:r>
              <w:rPr>
                <w:rFonts w:ascii="Calibri" w:hAnsi="Calibri" w:cs="Calibri"/>
                <w:color w:val="000000"/>
                <w:sz w:val="18"/>
              </w:rPr>
              <w:t>.</w:t>
            </w:r>
            <w:r w:rsidRPr="00D44BB8">
              <w:rPr>
                <w:rFonts w:ascii="Calibri" w:hAnsi="Calibri" w:cs="Calibri"/>
                <w:color w:val="000000"/>
                <w:sz w:val="18"/>
              </w:rPr>
              <w:t>7641</w:t>
            </w:r>
          </w:p>
        </w:tc>
        <w:tc>
          <w:tcPr>
            <w:tcW w:w="1560" w:type="dxa"/>
            <w:vAlign w:val="center"/>
          </w:tcPr>
          <w:p w14:paraId="7B8B4119" w14:textId="6370D3AF" w:rsidR="00D44BB8" w:rsidRPr="00D44BB8" w:rsidRDefault="00D44BB8" w:rsidP="00D8589B">
            <w:pPr>
              <w:spacing w:after="0" w:line="240" w:lineRule="auto"/>
              <w:jc w:val="both"/>
              <w:rPr>
                <w:rFonts w:cstheme="minorHAnsi"/>
                <w:color w:val="000000"/>
                <w:sz w:val="18"/>
                <w:szCs w:val="18"/>
                <w:lang w:val="en-GB"/>
              </w:rPr>
            </w:pPr>
            <w:r w:rsidRPr="00D44BB8">
              <w:rPr>
                <w:rFonts w:ascii="Calibri" w:hAnsi="Calibri" w:cs="Calibri"/>
                <w:color w:val="000000"/>
                <w:sz w:val="18"/>
              </w:rPr>
              <w:t>0</w:t>
            </w:r>
            <w:r>
              <w:rPr>
                <w:rFonts w:ascii="Calibri" w:hAnsi="Calibri" w:cs="Calibri"/>
                <w:color w:val="000000"/>
                <w:sz w:val="18"/>
              </w:rPr>
              <w:t>.</w:t>
            </w:r>
            <w:r w:rsidRPr="00D44BB8">
              <w:rPr>
                <w:rFonts w:ascii="Calibri" w:hAnsi="Calibri" w:cs="Calibri"/>
                <w:color w:val="000000"/>
                <w:sz w:val="18"/>
              </w:rPr>
              <w:t>8540</w:t>
            </w:r>
          </w:p>
        </w:tc>
        <w:tc>
          <w:tcPr>
            <w:tcW w:w="1183" w:type="dxa"/>
            <w:vAlign w:val="center"/>
          </w:tcPr>
          <w:p w14:paraId="284D4BF4" w14:textId="1548DA78" w:rsidR="00D44BB8" w:rsidRPr="00D44BB8" w:rsidRDefault="00D44BB8" w:rsidP="00D8589B">
            <w:pPr>
              <w:spacing w:after="0" w:line="240" w:lineRule="auto"/>
              <w:jc w:val="both"/>
              <w:rPr>
                <w:rFonts w:cstheme="minorHAnsi"/>
                <w:color w:val="000000"/>
                <w:sz w:val="18"/>
                <w:szCs w:val="18"/>
                <w:lang w:val="en-GB"/>
              </w:rPr>
            </w:pPr>
            <w:r w:rsidRPr="00D44BB8">
              <w:rPr>
                <w:rFonts w:ascii="Calibri" w:hAnsi="Calibri" w:cs="Calibri"/>
                <w:color w:val="000000"/>
                <w:sz w:val="18"/>
              </w:rPr>
              <w:t>0</w:t>
            </w:r>
            <w:r>
              <w:rPr>
                <w:rFonts w:ascii="Calibri" w:hAnsi="Calibri" w:cs="Calibri"/>
                <w:color w:val="000000"/>
                <w:sz w:val="18"/>
              </w:rPr>
              <w:t>.</w:t>
            </w:r>
            <w:r w:rsidRPr="00D44BB8">
              <w:rPr>
                <w:rFonts w:ascii="Calibri" w:hAnsi="Calibri" w:cs="Calibri"/>
                <w:color w:val="000000"/>
                <w:sz w:val="18"/>
              </w:rPr>
              <w:t>6292</w:t>
            </w:r>
          </w:p>
        </w:tc>
      </w:tr>
      <w:tr w:rsidR="00D44BB8" w:rsidRPr="00D12C05" w14:paraId="0B853AB4" w14:textId="77777777" w:rsidTr="00D44BB8">
        <w:trPr>
          <w:trHeight w:val="397"/>
          <w:jc w:val="center"/>
        </w:trPr>
        <w:tc>
          <w:tcPr>
            <w:tcW w:w="1856" w:type="dxa"/>
            <w:vAlign w:val="center"/>
          </w:tcPr>
          <w:p w14:paraId="77379AE5" w14:textId="77777777" w:rsidR="00D44BB8" w:rsidRPr="00D12C05" w:rsidRDefault="00D44BB8" w:rsidP="00D8589B">
            <w:pPr>
              <w:spacing w:after="0" w:line="240" w:lineRule="auto"/>
              <w:jc w:val="both"/>
              <w:rPr>
                <w:rFonts w:cstheme="minorHAnsi"/>
                <w:color w:val="000000"/>
                <w:sz w:val="18"/>
                <w:szCs w:val="18"/>
                <w:lang w:val="en-GB"/>
              </w:rPr>
            </w:pPr>
            <w:r w:rsidRPr="00D12C05">
              <w:rPr>
                <w:rFonts w:cstheme="minorHAnsi"/>
                <w:sz w:val="18"/>
                <w:szCs w:val="18"/>
                <w:lang w:val="en-GB"/>
              </w:rPr>
              <w:t>Age group</w:t>
            </w:r>
            <w:r w:rsidRPr="00D12C05">
              <w:rPr>
                <w:rFonts w:cstheme="minorHAnsi"/>
                <w:color w:val="000000"/>
                <w:sz w:val="18"/>
                <w:szCs w:val="18"/>
                <w:lang w:val="en-GB"/>
              </w:rPr>
              <w:t>: 65-74</w:t>
            </w:r>
          </w:p>
        </w:tc>
        <w:tc>
          <w:tcPr>
            <w:tcW w:w="1058" w:type="dxa"/>
            <w:vAlign w:val="center"/>
          </w:tcPr>
          <w:p w14:paraId="2B3E2EB7" w14:textId="2C3C9435" w:rsidR="00D44BB8" w:rsidRPr="00D44BB8" w:rsidRDefault="00D44BB8" w:rsidP="00D8589B">
            <w:pPr>
              <w:spacing w:after="0" w:line="240" w:lineRule="auto"/>
              <w:jc w:val="both"/>
              <w:rPr>
                <w:rFonts w:cstheme="minorHAnsi"/>
                <w:color w:val="000000"/>
                <w:sz w:val="18"/>
                <w:szCs w:val="18"/>
                <w:lang w:val="en-GB"/>
              </w:rPr>
            </w:pPr>
            <w:r w:rsidRPr="00D44BB8">
              <w:rPr>
                <w:rFonts w:ascii="Calibri" w:hAnsi="Calibri" w:cs="Calibri"/>
                <w:color w:val="000000"/>
                <w:sz w:val="18"/>
              </w:rPr>
              <w:t>0</w:t>
            </w:r>
            <w:r>
              <w:rPr>
                <w:rFonts w:ascii="Calibri" w:hAnsi="Calibri" w:cs="Calibri"/>
                <w:color w:val="000000"/>
                <w:sz w:val="18"/>
              </w:rPr>
              <w:t>.</w:t>
            </w:r>
            <w:r w:rsidRPr="00D44BB8">
              <w:rPr>
                <w:rFonts w:ascii="Calibri" w:hAnsi="Calibri" w:cs="Calibri"/>
                <w:color w:val="000000"/>
                <w:sz w:val="18"/>
              </w:rPr>
              <w:t>8333</w:t>
            </w:r>
          </w:p>
        </w:tc>
        <w:tc>
          <w:tcPr>
            <w:tcW w:w="1417" w:type="dxa"/>
            <w:vAlign w:val="center"/>
          </w:tcPr>
          <w:p w14:paraId="0B92EF23" w14:textId="664FB783" w:rsidR="00D44BB8" w:rsidRPr="00D44BB8" w:rsidRDefault="00D44BB8" w:rsidP="00D8589B">
            <w:pPr>
              <w:spacing w:after="0" w:line="240" w:lineRule="auto"/>
              <w:jc w:val="both"/>
              <w:rPr>
                <w:rFonts w:cstheme="minorHAnsi"/>
                <w:color w:val="000000"/>
                <w:sz w:val="18"/>
                <w:szCs w:val="18"/>
                <w:lang w:val="en-GB"/>
              </w:rPr>
            </w:pPr>
            <w:r w:rsidRPr="00D44BB8">
              <w:rPr>
                <w:rFonts w:ascii="Calibri" w:hAnsi="Calibri" w:cs="Calibri"/>
                <w:color w:val="000000"/>
                <w:sz w:val="18"/>
              </w:rPr>
              <w:t>0</w:t>
            </w:r>
            <w:r>
              <w:rPr>
                <w:rFonts w:ascii="Calibri" w:hAnsi="Calibri" w:cs="Calibri"/>
                <w:color w:val="000000"/>
                <w:sz w:val="18"/>
              </w:rPr>
              <w:t>.</w:t>
            </w:r>
            <w:r w:rsidRPr="00D44BB8">
              <w:rPr>
                <w:rFonts w:ascii="Calibri" w:hAnsi="Calibri" w:cs="Calibri"/>
                <w:color w:val="000000"/>
                <w:sz w:val="18"/>
              </w:rPr>
              <w:t>7500</w:t>
            </w:r>
          </w:p>
        </w:tc>
        <w:tc>
          <w:tcPr>
            <w:tcW w:w="1559" w:type="dxa"/>
            <w:vAlign w:val="center"/>
          </w:tcPr>
          <w:p w14:paraId="1EECBE39" w14:textId="03D17E1D" w:rsidR="00D44BB8" w:rsidRPr="00D44BB8" w:rsidRDefault="00D44BB8" w:rsidP="00D8589B">
            <w:pPr>
              <w:spacing w:after="0" w:line="240" w:lineRule="auto"/>
              <w:jc w:val="both"/>
              <w:rPr>
                <w:rFonts w:cstheme="minorHAnsi"/>
                <w:color w:val="000000"/>
                <w:sz w:val="18"/>
                <w:szCs w:val="18"/>
                <w:lang w:val="en-GB"/>
              </w:rPr>
            </w:pPr>
            <w:r w:rsidRPr="00D44BB8">
              <w:rPr>
                <w:rFonts w:ascii="Calibri" w:hAnsi="Calibri" w:cs="Calibri"/>
                <w:color w:val="000000"/>
                <w:sz w:val="18"/>
              </w:rPr>
              <w:t>0</w:t>
            </w:r>
            <w:r>
              <w:rPr>
                <w:rFonts w:ascii="Calibri" w:hAnsi="Calibri" w:cs="Calibri"/>
                <w:color w:val="000000"/>
                <w:sz w:val="18"/>
              </w:rPr>
              <w:t>.</w:t>
            </w:r>
            <w:r w:rsidRPr="00D44BB8">
              <w:rPr>
                <w:rFonts w:ascii="Calibri" w:hAnsi="Calibri" w:cs="Calibri"/>
                <w:color w:val="000000"/>
                <w:sz w:val="18"/>
              </w:rPr>
              <w:t>7083</w:t>
            </w:r>
          </w:p>
        </w:tc>
        <w:tc>
          <w:tcPr>
            <w:tcW w:w="1560" w:type="dxa"/>
            <w:vAlign w:val="center"/>
          </w:tcPr>
          <w:p w14:paraId="7B4A667F" w14:textId="248B4320" w:rsidR="00D44BB8" w:rsidRPr="00D44BB8" w:rsidRDefault="00D44BB8" w:rsidP="00D8589B">
            <w:pPr>
              <w:spacing w:after="0" w:line="240" w:lineRule="auto"/>
              <w:jc w:val="both"/>
              <w:rPr>
                <w:rFonts w:cstheme="minorHAnsi"/>
                <w:color w:val="000000"/>
                <w:sz w:val="18"/>
                <w:szCs w:val="18"/>
                <w:lang w:val="en-GB"/>
              </w:rPr>
            </w:pPr>
            <w:r w:rsidRPr="00D44BB8">
              <w:rPr>
                <w:rFonts w:ascii="Calibri" w:hAnsi="Calibri" w:cs="Calibri"/>
                <w:color w:val="000000"/>
                <w:sz w:val="18"/>
              </w:rPr>
              <w:t>0</w:t>
            </w:r>
            <w:r>
              <w:rPr>
                <w:rFonts w:ascii="Calibri" w:hAnsi="Calibri" w:cs="Calibri"/>
                <w:color w:val="000000"/>
                <w:sz w:val="18"/>
              </w:rPr>
              <w:t>.</w:t>
            </w:r>
            <w:r w:rsidRPr="00D44BB8">
              <w:rPr>
                <w:rFonts w:ascii="Calibri" w:hAnsi="Calibri" w:cs="Calibri"/>
                <w:color w:val="000000"/>
                <w:sz w:val="18"/>
              </w:rPr>
              <w:t>7916</w:t>
            </w:r>
          </w:p>
        </w:tc>
        <w:tc>
          <w:tcPr>
            <w:tcW w:w="1183" w:type="dxa"/>
            <w:vAlign w:val="center"/>
          </w:tcPr>
          <w:p w14:paraId="704B1583" w14:textId="09EBDFE9" w:rsidR="00D44BB8" w:rsidRPr="00D44BB8" w:rsidRDefault="00D44BB8" w:rsidP="00D8589B">
            <w:pPr>
              <w:spacing w:after="0" w:line="240" w:lineRule="auto"/>
              <w:jc w:val="both"/>
              <w:rPr>
                <w:rFonts w:cstheme="minorHAnsi"/>
                <w:color w:val="000000"/>
                <w:sz w:val="18"/>
                <w:szCs w:val="18"/>
                <w:lang w:val="en-GB"/>
              </w:rPr>
            </w:pPr>
            <w:r w:rsidRPr="00D44BB8">
              <w:rPr>
                <w:rFonts w:ascii="Calibri" w:hAnsi="Calibri" w:cs="Calibri"/>
                <w:color w:val="000000"/>
                <w:sz w:val="18"/>
              </w:rPr>
              <w:t>0</w:t>
            </w:r>
            <w:r>
              <w:rPr>
                <w:rFonts w:ascii="Calibri" w:hAnsi="Calibri" w:cs="Calibri"/>
                <w:color w:val="000000"/>
                <w:sz w:val="18"/>
              </w:rPr>
              <w:t>.</w:t>
            </w:r>
            <w:r w:rsidRPr="00D44BB8">
              <w:rPr>
                <w:rFonts w:ascii="Calibri" w:hAnsi="Calibri" w:cs="Calibri"/>
                <w:color w:val="000000"/>
                <w:sz w:val="18"/>
              </w:rPr>
              <w:t>5833</w:t>
            </w:r>
          </w:p>
        </w:tc>
      </w:tr>
      <w:tr w:rsidR="00D44BB8" w:rsidRPr="00D12C05" w14:paraId="24731985" w14:textId="77777777" w:rsidTr="00D44BB8">
        <w:trPr>
          <w:trHeight w:val="397"/>
          <w:jc w:val="center"/>
        </w:trPr>
        <w:tc>
          <w:tcPr>
            <w:tcW w:w="1856" w:type="dxa"/>
            <w:vAlign w:val="center"/>
          </w:tcPr>
          <w:p w14:paraId="1129C577" w14:textId="77777777" w:rsidR="00D44BB8" w:rsidRPr="00D12C05" w:rsidRDefault="00D44BB8" w:rsidP="00D8589B">
            <w:pPr>
              <w:spacing w:after="0" w:line="240" w:lineRule="auto"/>
              <w:jc w:val="both"/>
              <w:rPr>
                <w:rFonts w:cstheme="minorHAnsi"/>
                <w:color w:val="000000"/>
                <w:sz w:val="18"/>
                <w:szCs w:val="18"/>
                <w:lang w:val="en-GB"/>
              </w:rPr>
            </w:pPr>
            <w:r w:rsidRPr="00D12C05">
              <w:rPr>
                <w:rFonts w:cstheme="minorHAnsi"/>
                <w:sz w:val="18"/>
                <w:szCs w:val="18"/>
                <w:lang w:val="en-GB"/>
              </w:rPr>
              <w:t>Age group</w:t>
            </w:r>
            <w:r w:rsidRPr="00D12C05">
              <w:rPr>
                <w:rFonts w:cstheme="minorHAnsi"/>
                <w:color w:val="000000"/>
                <w:sz w:val="18"/>
                <w:szCs w:val="18"/>
                <w:lang w:val="en-GB"/>
              </w:rPr>
              <w:t>: 75-84</w:t>
            </w:r>
          </w:p>
        </w:tc>
        <w:tc>
          <w:tcPr>
            <w:tcW w:w="1058" w:type="dxa"/>
            <w:vAlign w:val="center"/>
          </w:tcPr>
          <w:p w14:paraId="0A8910F1" w14:textId="5DC91B5C" w:rsidR="00D44BB8" w:rsidRPr="00D44BB8" w:rsidRDefault="00D44BB8" w:rsidP="00D8589B">
            <w:pPr>
              <w:spacing w:after="0" w:line="240" w:lineRule="auto"/>
              <w:jc w:val="both"/>
              <w:rPr>
                <w:rFonts w:cstheme="minorHAnsi"/>
                <w:color w:val="000000"/>
                <w:sz w:val="18"/>
                <w:szCs w:val="18"/>
                <w:lang w:val="en-GB"/>
              </w:rPr>
            </w:pPr>
            <w:r w:rsidRPr="00D44BB8">
              <w:rPr>
                <w:rFonts w:ascii="Calibri" w:hAnsi="Calibri" w:cs="Calibri"/>
                <w:color w:val="000000"/>
                <w:sz w:val="18"/>
              </w:rPr>
              <w:t>0</w:t>
            </w:r>
            <w:r>
              <w:rPr>
                <w:rFonts w:ascii="Calibri" w:hAnsi="Calibri" w:cs="Calibri"/>
                <w:color w:val="000000"/>
                <w:sz w:val="18"/>
              </w:rPr>
              <w:t>.</w:t>
            </w:r>
            <w:r w:rsidRPr="00D44BB8">
              <w:rPr>
                <w:rFonts w:ascii="Calibri" w:hAnsi="Calibri" w:cs="Calibri"/>
                <w:color w:val="000000"/>
                <w:sz w:val="18"/>
              </w:rPr>
              <w:t>7610</w:t>
            </w:r>
          </w:p>
        </w:tc>
        <w:tc>
          <w:tcPr>
            <w:tcW w:w="1417" w:type="dxa"/>
            <w:vAlign w:val="center"/>
          </w:tcPr>
          <w:p w14:paraId="475BB58F" w14:textId="2C1E1FBC" w:rsidR="00D44BB8" w:rsidRPr="00D44BB8" w:rsidRDefault="00D44BB8" w:rsidP="00D8589B">
            <w:pPr>
              <w:spacing w:after="0" w:line="240" w:lineRule="auto"/>
              <w:jc w:val="both"/>
              <w:rPr>
                <w:rFonts w:cstheme="minorHAnsi"/>
                <w:color w:val="000000"/>
                <w:sz w:val="18"/>
                <w:szCs w:val="18"/>
                <w:lang w:val="en-GB"/>
              </w:rPr>
            </w:pPr>
            <w:r w:rsidRPr="00D44BB8">
              <w:rPr>
                <w:rFonts w:ascii="Calibri" w:hAnsi="Calibri" w:cs="Calibri"/>
                <w:color w:val="000000"/>
                <w:sz w:val="18"/>
              </w:rPr>
              <w:t>0</w:t>
            </w:r>
            <w:r>
              <w:rPr>
                <w:rFonts w:ascii="Calibri" w:hAnsi="Calibri" w:cs="Calibri"/>
                <w:color w:val="000000"/>
                <w:sz w:val="18"/>
              </w:rPr>
              <w:t>.</w:t>
            </w:r>
            <w:r w:rsidRPr="00D44BB8">
              <w:rPr>
                <w:rFonts w:ascii="Calibri" w:hAnsi="Calibri" w:cs="Calibri"/>
                <w:color w:val="000000"/>
                <w:sz w:val="18"/>
              </w:rPr>
              <w:t>6849</w:t>
            </w:r>
          </w:p>
        </w:tc>
        <w:tc>
          <w:tcPr>
            <w:tcW w:w="1559" w:type="dxa"/>
            <w:vAlign w:val="center"/>
          </w:tcPr>
          <w:p w14:paraId="2450F7C8" w14:textId="0CC08AEE" w:rsidR="00D44BB8" w:rsidRPr="00D44BB8" w:rsidRDefault="00D44BB8" w:rsidP="00D8589B">
            <w:pPr>
              <w:spacing w:after="0" w:line="240" w:lineRule="auto"/>
              <w:jc w:val="both"/>
              <w:rPr>
                <w:rFonts w:cstheme="minorHAnsi"/>
                <w:color w:val="000000"/>
                <w:sz w:val="18"/>
                <w:szCs w:val="18"/>
                <w:lang w:val="en-GB"/>
              </w:rPr>
            </w:pPr>
            <w:r w:rsidRPr="00D44BB8">
              <w:rPr>
                <w:rFonts w:ascii="Calibri" w:hAnsi="Calibri" w:cs="Calibri"/>
                <w:color w:val="000000"/>
                <w:sz w:val="18"/>
              </w:rPr>
              <w:t>0</w:t>
            </w:r>
            <w:r>
              <w:rPr>
                <w:rFonts w:ascii="Calibri" w:hAnsi="Calibri" w:cs="Calibri"/>
                <w:color w:val="000000"/>
                <w:sz w:val="18"/>
              </w:rPr>
              <w:t>.</w:t>
            </w:r>
            <w:r w:rsidRPr="00D44BB8">
              <w:rPr>
                <w:rFonts w:ascii="Calibri" w:hAnsi="Calibri" w:cs="Calibri"/>
                <w:color w:val="000000"/>
                <w:sz w:val="18"/>
              </w:rPr>
              <w:t>6469</w:t>
            </w:r>
          </w:p>
        </w:tc>
        <w:tc>
          <w:tcPr>
            <w:tcW w:w="1560" w:type="dxa"/>
            <w:vAlign w:val="center"/>
          </w:tcPr>
          <w:p w14:paraId="513E7C69" w14:textId="4B454D57" w:rsidR="00D44BB8" w:rsidRPr="00D44BB8" w:rsidRDefault="00D44BB8" w:rsidP="00D8589B">
            <w:pPr>
              <w:spacing w:after="0" w:line="240" w:lineRule="auto"/>
              <w:jc w:val="both"/>
              <w:rPr>
                <w:rFonts w:cstheme="minorHAnsi"/>
                <w:color w:val="000000"/>
                <w:sz w:val="18"/>
                <w:szCs w:val="18"/>
                <w:lang w:val="en-GB"/>
              </w:rPr>
            </w:pPr>
            <w:r w:rsidRPr="00D44BB8">
              <w:rPr>
                <w:rFonts w:ascii="Calibri" w:hAnsi="Calibri" w:cs="Calibri"/>
                <w:color w:val="000000"/>
                <w:sz w:val="18"/>
              </w:rPr>
              <w:t>0</w:t>
            </w:r>
            <w:r>
              <w:rPr>
                <w:rFonts w:ascii="Calibri" w:hAnsi="Calibri" w:cs="Calibri"/>
                <w:color w:val="000000"/>
                <w:sz w:val="18"/>
              </w:rPr>
              <w:t>.</w:t>
            </w:r>
            <w:r w:rsidRPr="00D44BB8">
              <w:rPr>
                <w:rFonts w:ascii="Calibri" w:hAnsi="Calibri" w:cs="Calibri"/>
                <w:color w:val="000000"/>
                <w:sz w:val="18"/>
              </w:rPr>
              <w:t>7230</w:t>
            </w:r>
          </w:p>
        </w:tc>
        <w:tc>
          <w:tcPr>
            <w:tcW w:w="1183" w:type="dxa"/>
            <w:vAlign w:val="center"/>
          </w:tcPr>
          <w:p w14:paraId="6537B04B" w14:textId="7F632B23" w:rsidR="00D44BB8" w:rsidRPr="00D44BB8" w:rsidRDefault="00D44BB8" w:rsidP="00D8589B">
            <w:pPr>
              <w:spacing w:after="0" w:line="240" w:lineRule="auto"/>
              <w:jc w:val="both"/>
              <w:rPr>
                <w:rFonts w:cstheme="minorHAnsi"/>
                <w:color w:val="000000"/>
                <w:sz w:val="18"/>
                <w:szCs w:val="18"/>
                <w:lang w:val="en-GB"/>
              </w:rPr>
            </w:pPr>
            <w:r w:rsidRPr="00D44BB8">
              <w:rPr>
                <w:rFonts w:ascii="Calibri" w:hAnsi="Calibri" w:cs="Calibri"/>
                <w:color w:val="000000"/>
                <w:sz w:val="18"/>
              </w:rPr>
              <w:t>0</w:t>
            </w:r>
            <w:r>
              <w:rPr>
                <w:rFonts w:ascii="Calibri" w:hAnsi="Calibri" w:cs="Calibri"/>
                <w:color w:val="000000"/>
                <w:sz w:val="18"/>
              </w:rPr>
              <w:t>.</w:t>
            </w:r>
            <w:r w:rsidRPr="00D44BB8">
              <w:rPr>
                <w:rFonts w:ascii="Calibri" w:hAnsi="Calibri" w:cs="Calibri"/>
                <w:color w:val="000000"/>
                <w:sz w:val="18"/>
              </w:rPr>
              <w:t>5327</w:t>
            </w:r>
          </w:p>
        </w:tc>
      </w:tr>
      <w:tr w:rsidR="00D44BB8" w:rsidRPr="00D12C05" w14:paraId="0F408EAB" w14:textId="77777777" w:rsidTr="00D44BB8">
        <w:trPr>
          <w:trHeight w:val="397"/>
          <w:jc w:val="center"/>
        </w:trPr>
        <w:tc>
          <w:tcPr>
            <w:tcW w:w="1856" w:type="dxa"/>
            <w:tcBorders>
              <w:bottom w:val="single" w:sz="4" w:space="0" w:color="auto"/>
            </w:tcBorders>
            <w:vAlign w:val="center"/>
          </w:tcPr>
          <w:p w14:paraId="6EA6C8D9" w14:textId="6FFF60C0" w:rsidR="00D44BB8" w:rsidRPr="00D12C05" w:rsidRDefault="00D44BB8" w:rsidP="00D8589B">
            <w:pPr>
              <w:spacing w:after="0" w:line="240" w:lineRule="auto"/>
              <w:jc w:val="both"/>
              <w:rPr>
                <w:rFonts w:cstheme="minorHAnsi"/>
                <w:color w:val="000000"/>
                <w:sz w:val="18"/>
                <w:szCs w:val="18"/>
                <w:lang w:val="en-GB"/>
              </w:rPr>
            </w:pPr>
            <w:r w:rsidRPr="00D12C05">
              <w:rPr>
                <w:rFonts w:cstheme="minorHAnsi"/>
                <w:sz w:val="18"/>
                <w:szCs w:val="18"/>
                <w:lang w:val="en-GB"/>
              </w:rPr>
              <w:t>Age group</w:t>
            </w:r>
            <w:r w:rsidRPr="00D12C05">
              <w:rPr>
                <w:rFonts w:cstheme="minorHAnsi"/>
                <w:color w:val="000000"/>
                <w:sz w:val="18"/>
                <w:szCs w:val="18"/>
                <w:lang w:val="en-GB"/>
              </w:rPr>
              <w:t xml:space="preserve">: </w:t>
            </w:r>
            <w:r w:rsidR="00243330">
              <w:rPr>
                <w:rFonts w:cstheme="minorHAnsi"/>
                <w:color w:val="000000"/>
                <w:sz w:val="18"/>
                <w:szCs w:val="18"/>
                <w:lang w:val="en-GB"/>
              </w:rPr>
              <w:t>≥</w:t>
            </w:r>
            <w:r w:rsidRPr="00D12C05">
              <w:rPr>
                <w:rFonts w:cstheme="minorHAnsi"/>
                <w:color w:val="000000"/>
                <w:sz w:val="18"/>
                <w:szCs w:val="18"/>
                <w:lang w:val="en-GB"/>
              </w:rPr>
              <w:t>85</w:t>
            </w:r>
          </w:p>
        </w:tc>
        <w:tc>
          <w:tcPr>
            <w:tcW w:w="1058" w:type="dxa"/>
            <w:tcBorders>
              <w:bottom w:val="single" w:sz="4" w:space="0" w:color="auto"/>
            </w:tcBorders>
            <w:vAlign w:val="center"/>
          </w:tcPr>
          <w:p w14:paraId="0F741C41" w14:textId="7672542F" w:rsidR="00D44BB8" w:rsidRPr="00D44BB8" w:rsidRDefault="00D44BB8" w:rsidP="00D8589B">
            <w:pPr>
              <w:spacing w:after="0" w:line="240" w:lineRule="auto"/>
              <w:jc w:val="both"/>
              <w:rPr>
                <w:rFonts w:cstheme="minorHAnsi"/>
                <w:color w:val="000000"/>
                <w:sz w:val="18"/>
                <w:szCs w:val="18"/>
                <w:lang w:val="en-GB"/>
              </w:rPr>
            </w:pPr>
            <w:r w:rsidRPr="00D44BB8">
              <w:rPr>
                <w:rFonts w:ascii="Calibri" w:hAnsi="Calibri" w:cs="Calibri"/>
                <w:color w:val="000000"/>
                <w:sz w:val="18"/>
              </w:rPr>
              <w:t>0</w:t>
            </w:r>
            <w:r>
              <w:rPr>
                <w:rFonts w:ascii="Calibri" w:hAnsi="Calibri" w:cs="Calibri"/>
                <w:color w:val="000000"/>
                <w:sz w:val="18"/>
              </w:rPr>
              <w:t>.</w:t>
            </w:r>
            <w:r w:rsidRPr="00D44BB8">
              <w:rPr>
                <w:rFonts w:ascii="Calibri" w:hAnsi="Calibri" w:cs="Calibri"/>
                <w:color w:val="000000"/>
                <w:sz w:val="18"/>
              </w:rPr>
              <w:t>6048</w:t>
            </w:r>
          </w:p>
        </w:tc>
        <w:tc>
          <w:tcPr>
            <w:tcW w:w="1417" w:type="dxa"/>
            <w:tcBorders>
              <w:bottom w:val="single" w:sz="4" w:space="0" w:color="auto"/>
            </w:tcBorders>
            <w:vAlign w:val="center"/>
          </w:tcPr>
          <w:p w14:paraId="746CA0FB" w14:textId="7E258FFC" w:rsidR="00D44BB8" w:rsidRPr="00D44BB8" w:rsidRDefault="00D44BB8" w:rsidP="00D8589B">
            <w:pPr>
              <w:spacing w:after="0" w:line="240" w:lineRule="auto"/>
              <w:jc w:val="both"/>
              <w:rPr>
                <w:rFonts w:cstheme="minorHAnsi"/>
                <w:color w:val="000000"/>
                <w:sz w:val="18"/>
                <w:szCs w:val="18"/>
                <w:lang w:val="en-GB"/>
              </w:rPr>
            </w:pPr>
            <w:r w:rsidRPr="00D44BB8">
              <w:rPr>
                <w:rFonts w:ascii="Calibri" w:hAnsi="Calibri" w:cs="Calibri"/>
                <w:color w:val="000000"/>
                <w:sz w:val="18"/>
              </w:rPr>
              <w:t>0</w:t>
            </w:r>
            <w:r>
              <w:rPr>
                <w:rFonts w:ascii="Calibri" w:hAnsi="Calibri" w:cs="Calibri"/>
                <w:color w:val="000000"/>
                <w:sz w:val="18"/>
              </w:rPr>
              <w:t>.</w:t>
            </w:r>
            <w:r w:rsidRPr="00D44BB8">
              <w:rPr>
                <w:rFonts w:ascii="Calibri" w:hAnsi="Calibri" w:cs="Calibri"/>
                <w:color w:val="000000"/>
                <w:sz w:val="18"/>
              </w:rPr>
              <w:t>5443</w:t>
            </w:r>
          </w:p>
        </w:tc>
        <w:tc>
          <w:tcPr>
            <w:tcW w:w="1559" w:type="dxa"/>
            <w:tcBorders>
              <w:bottom w:val="single" w:sz="4" w:space="0" w:color="auto"/>
            </w:tcBorders>
            <w:vAlign w:val="center"/>
          </w:tcPr>
          <w:p w14:paraId="0668C64E" w14:textId="7997785B" w:rsidR="00D44BB8" w:rsidRPr="00D44BB8" w:rsidRDefault="00D44BB8" w:rsidP="00D8589B">
            <w:pPr>
              <w:spacing w:after="0" w:line="240" w:lineRule="auto"/>
              <w:jc w:val="both"/>
              <w:rPr>
                <w:rFonts w:cstheme="minorHAnsi"/>
                <w:color w:val="000000"/>
                <w:sz w:val="18"/>
                <w:szCs w:val="18"/>
                <w:lang w:val="en-GB"/>
              </w:rPr>
            </w:pPr>
            <w:r w:rsidRPr="00D44BB8">
              <w:rPr>
                <w:rFonts w:ascii="Calibri" w:hAnsi="Calibri" w:cs="Calibri"/>
                <w:color w:val="000000"/>
                <w:sz w:val="18"/>
              </w:rPr>
              <w:t>0</w:t>
            </w:r>
            <w:r>
              <w:rPr>
                <w:rFonts w:ascii="Calibri" w:hAnsi="Calibri" w:cs="Calibri"/>
                <w:color w:val="000000"/>
                <w:sz w:val="18"/>
              </w:rPr>
              <w:t>.</w:t>
            </w:r>
            <w:r w:rsidRPr="00D44BB8">
              <w:rPr>
                <w:rFonts w:ascii="Calibri" w:hAnsi="Calibri" w:cs="Calibri"/>
                <w:color w:val="000000"/>
                <w:sz w:val="18"/>
              </w:rPr>
              <w:t>5141</w:t>
            </w:r>
          </w:p>
        </w:tc>
        <w:tc>
          <w:tcPr>
            <w:tcW w:w="1560" w:type="dxa"/>
            <w:tcBorders>
              <w:bottom w:val="single" w:sz="4" w:space="0" w:color="auto"/>
            </w:tcBorders>
            <w:vAlign w:val="center"/>
          </w:tcPr>
          <w:p w14:paraId="7C8C613E" w14:textId="3CE871AA" w:rsidR="00D44BB8" w:rsidRPr="00D44BB8" w:rsidRDefault="00D44BB8" w:rsidP="00D8589B">
            <w:pPr>
              <w:spacing w:after="0" w:line="240" w:lineRule="auto"/>
              <w:jc w:val="both"/>
              <w:rPr>
                <w:rFonts w:cstheme="minorHAnsi"/>
                <w:color w:val="000000"/>
                <w:sz w:val="18"/>
                <w:szCs w:val="18"/>
                <w:lang w:val="en-GB"/>
              </w:rPr>
            </w:pPr>
            <w:r w:rsidRPr="00D44BB8">
              <w:rPr>
                <w:rFonts w:ascii="Calibri" w:hAnsi="Calibri" w:cs="Calibri"/>
                <w:color w:val="000000"/>
                <w:sz w:val="18"/>
              </w:rPr>
              <w:t>0</w:t>
            </w:r>
            <w:r>
              <w:rPr>
                <w:rFonts w:ascii="Calibri" w:hAnsi="Calibri" w:cs="Calibri"/>
                <w:color w:val="000000"/>
                <w:sz w:val="18"/>
              </w:rPr>
              <w:t>.</w:t>
            </w:r>
            <w:r w:rsidRPr="00D44BB8">
              <w:rPr>
                <w:rFonts w:ascii="Calibri" w:hAnsi="Calibri" w:cs="Calibri"/>
                <w:color w:val="000000"/>
                <w:sz w:val="18"/>
              </w:rPr>
              <w:t>5746</w:t>
            </w:r>
          </w:p>
        </w:tc>
        <w:tc>
          <w:tcPr>
            <w:tcW w:w="1183" w:type="dxa"/>
            <w:tcBorders>
              <w:bottom w:val="single" w:sz="4" w:space="0" w:color="auto"/>
            </w:tcBorders>
            <w:vAlign w:val="center"/>
          </w:tcPr>
          <w:p w14:paraId="307B8F98" w14:textId="66FBEBFB" w:rsidR="00D44BB8" w:rsidRPr="00D44BB8" w:rsidRDefault="00D44BB8" w:rsidP="00D8589B">
            <w:pPr>
              <w:spacing w:after="0" w:line="240" w:lineRule="auto"/>
              <w:jc w:val="both"/>
              <w:rPr>
                <w:rFonts w:cstheme="minorHAnsi"/>
                <w:color w:val="000000"/>
                <w:sz w:val="18"/>
                <w:szCs w:val="18"/>
                <w:lang w:val="en-GB"/>
              </w:rPr>
            </w:pPr>
            <w:r w:rsidRPr="00D44BB8">
              <w:rPr>
                <w:rFonts w:ascii="Calibri" w:hAnsi="Calibri" w:cs="Calibri"/>
                <w:color w:val="000000"/>
                <w:sz w:val="18"/>
              </w:rPr>
              <w:t>0</w:t>
            </w:r>
            <w:r>
              <w:rPr>
                <w:rFonts w:ascii="Calibri" w:hAnsi="Calibri" w:cs="Calibri"/>
                <w:color w:val="000000"/>
                <w:sz w:val="18"/>
              </w:rPr>
              <w:t>.</w:t>
            </w:r>
            <w:r w:rsidRPr="00D44BB8">
              <w:rPr>
                <w:rFonts w:ascii="Calibri" w:hAnsi="Calibri" w:cs="Calibri"/>
                <w:color w:val="000000"/>
                <w:sz w:val="18"/>
              </w:rPr>
              <w:t>4234</w:t>
            </w:r>
          </w:p>
        </w:tc>
      </w:tr>
    </w:tbl>
    <w:p w14:paraId="50831AED" w14:textId="142A3F5D" w:rsidR="005D7865" w:rsidRDefault="005D7865" w:rsidP="00D8589B">
      <w:pPr>
        <w:jc w:val="both"/>
        <w:rPr>
          <w:lang w:val="en-GB"/>
        </w:rPr>
      </w:pPr>
    </w:p>
    <w:p w14:paraId="50ACE717" w14:textId="2D496B92" w:rsidR="005D7865" w:rsidRDefault="005D7865" w:rsidP="00D8589B">
      <w:pPr>
        <w:jc w:val="both"/>
        <w:rPr>
          <w:lang w:val="en-GB"/>
        </w:rPr>
      </w:pPr>
    </w:p>
    <w:p w14:paraId="74B07ED3" w14:textId="31FE6D19" w:rsidR="00514E87" w:rsidRDefault="00514E87" w:rsidP="00D8589B">
      <w:pPr>
        <w:jc w:val="both"/>
        <w:rPr>
          <w:lang w:val="en-GB"/>
        </w:rPr>
      </w:pPr>
    </w:p>
    <w:p w14:paraId="5989CEBF" w14:textId="77777777" w:rsidR="00514E87" w:rsidRDefault="00514E87" w:rsidP="00D8589B">
      <w:pPr>
        <w:jc w:val="both"/>
        <w:rPr>
          <w:lang w:val="en-GB"/>
        </w:rPr>
        <w:sectPr w:rsidR="00514E87">
          <w:pgSz w:w="11906" w:h="16838"/>
          <w:pgMar w:top="1417" w:right="1701" w:bottom="1417" w:left="1701" w:header="708" w:footer="708" w:gutter="0"/>
          <w:cols w:space="708"/>
          <w:docGrid w:linePitch="360"/>
        </w:sectPr>
      </w:pPr>
    </w:p>
    <w:p w14:paraId="3C24655B" w14:textId="0245FC57" w:rsidR="00243330" w:rsidRDefault="00571169" w:rsidP="00E96DD0">
      <w:pPr>
        <w:jc w:val="both"/>
        <w:rPr>
          <w:lang w:val="en-GB"/>
        </w:rPr>
      </w:pPr>
      <w:r w:rsidRPr="00A06682">
        <w:rPr>
          <w:lang w:val="en-GB"/>
        </w:rPr>
        <w:lastRenderedPageBreak/>
        <w:t xml:space="preserve">Table </w:t>
      </w:r>
      <w:r w:rsidR="00243330">
        <w:rPr>
          <w:lang w:val="en-GB"/>
        </w:rPr>
        <w:t>III</w:t>
      </w:r>
    </w:p>
    <w:p w14:paraId="36AB7C81" w14:textId="51EE42A3" w:rsidR="00A5219E" w:rsidRDefault="00E73CE1" w:rsidP="00D8589B">
      <w:pPr>
        <w:jc w:val="both"/>
        <w:rPr>
          <w:lang w:val="en-GB"/>
        </w:rPr>
      </w:pPr>
      <w:r>
        <w:rPr>
          <w:lang w:val="en-GB"/>
        </w:rPr>
        <w:t xml:space="preserve">Mean, median </w:t>
      </w:r>
      <w:r w:rsidR="005D440E">
        <w:rPr>
          <w:lang w:val="en-GB"/>
        </w:rPr>
        <w:t>and 95</w:t>
      </w:r>
      <w:r>
        <w:rPr>
          <w:lang w:val="en-GB"/>
        </w:rPr>
        <w:t xml:space="preserve">% confidence intervals for </w:t>
      </w:r>
      <w:r w:rsidR="00F34B2A">
        <w:rPr>
          <w:lang w:val="en-GB"/>
        </w:rPr>
        <w:t>ICER</w:t>
      </w:r>
      <w:r>
        <w:rPr>
          <w:lang w:val="en-GB"/>
        </w:rPr>
        <w:t xml:space="preserve"> in the probabilistic approach</w:t>
      </w:r>
      <w:r w:rsidR="00571169" w:rsidRPr="00A06682">
        <w:rPr>
          <w:lang w:val="en-GB"/>
        </w:rPr>
        <w:t>.</w:t>
      </w:r>
    </w:p>
    <w:tbl>
      <w:tblPr>
        <w:tblW w:w="8224" w:type="dxa"/>
        <w:jc w:val="center"/>
        <w:tblCellMar>
          <w:left w:w="70" w:type="dxa"/>
          <w:right w:w="70" w:type="dxa"/>
        </w:tblCellMar>
        <w:tblLook w:val="04A0" w:firstRow="1" w:lastRow="0" w:firstColumn="1" w:lastColumn="0" w:noHBand="0" w:noVBand="1"/>
      </w:tblPr>
      <w:tblGrid>
        <w:gridCol w:w="2098"/>
        <w:gridCol w:w="2042"/>
        <w:gridCol w:w="2042"/>
        <w:gridCol w:w="2042"/>
      </w:tblGrid>
      <w:tr w:rsidR="00E73CE1" w:rsidRPr="00E73CE1" w14:paraId="73EF96B9" w14:textId="77777777" w:rsidTr="00172680">
        <w:trPr>
          <w:trHeight w:val="300"/>
          <w:jc w:val="center"/>
        </w:trPr>
        <w:tc>
          <w:tcPr>
            <w:tcW w:w="2098" w:type="dxa"/>
            <w:tcBorders>
              <w:bottom w:val="single" w:sz="4" w:space="0" w:color="auto"/>
            </w:tcBorders>
            <w:shd w:val="clear" w:color="auto" w:fill="auto"/>
            <w:noWrap/>
            <w:vAlign w:val="center"/>
            <w:hideMark/>
          </w:tcPr>
          <w:p w14:paraId="20CFB6C9" w14:textId="77777777" w:rsidR="00E73CE1" w:rsidRPr="00E73CE1" w:rsidRDefault="00E73CE1" w:rsidP="00D8589B">
            <w:pPr>
              <w:spacing w:after="0" w:line="240" w:lineRule="auto"/>
              <w:jc w:val="both"/>
              <w:rPr>
                <w:rFonts w:ascii="Calibri" w:eastAsia="Times New Roman" w:hAnsi="Calibri" w:cs="Calibri"/>
                <w:color w:val="000000"/>
                <w:sz w:val="18"/>
                <w:szCs w:val="18"/>
                <w:lang w:val="en-GB" w:eastAsia="es-ES"/>
              </w:rPr>
            </w:pPr>
          </w:p>
        </w:tc>
        <w:tc>
          <w:tcPr>
            <w:tcW w:w="2042" w:type="dxa"/>
            <w:tcBorders>
              <w:bottom w:val="single" w:sz="4" w:space="0" w:color="auto"/>
            </w:tcBorders>
            <w:shd w:val="clear" w:color="auto" w:fill="auto"/>
            <w:noWrap/>
            <w:vAlign w:val="center"/>
            <w:hideMark/>
          </w:tcPr>
          <w:p w14:paraId="5BA3FC8F" w14:textId="77777777" w:rsidR="00E73CE1" w:rsidRPr="00E73CE1" w:rsidRDefault="00E73CE1" w:rsidP="00D8589B">
            <w:pPr>
              <w:spacing w:after="0" w:line="240" w:lineRule="auto"/>
              <w:jc w:val="both"/>
              <w:rPr>
                <w:rFonts w:ascii="Calibri" w:eastAsia="Times New Roman" w:hAnsi="Calibri" w:cs="Calibri"/>
                <w:color w:val="000000"/>
                <w:sz w:val="18"/>
                <w:szCs w:val="18"/>
                <w:lang w:val="en-GB" w:eastAsia="es-ES"/>
              </w:rPr>
            </w:pPr>
            <w:r w:rsidRPr="00E73CE1">
              <w:rPr>
                <w:rFonts w:ascii="Calibri" w:eastAsia="Times New Roman" w:hAnsi="Calibri" w:cs="Calibri"/>
                <w:color w:val="000000"/>
                <w:sz w:val="18"/>
                <w:szCs w:val="18"/>
                <w:lang w:val="en-GB" w:eastAsia="es-ES"/>
              </w:rPr>
              <w:t>ICER (mean)</w:t>
            </w:r>
          </w:p>
        </w:tc>
        <w:tc>
          <w:tcPr>
            <w:tcW w:w="2042" w:type="dxa"/>
            <w:tcBorders>
              <w:bottom w:val="single" w:sz="4" w:space="0" w:color="auto"/>
            </w:tcBorders>
            <w:vAlign w:val="center"/>
          </w:tcPr>
          <w:p w14:paraId="3D1CD4FD" w14:textId="77777777" w:rsidR="00E73CE1" w:rsidRPr="00E73CE1" w:rsidRDefault="00E73CE1" w:rsidP="00D8589B">
            <w:pPr>
              <w:spacing w:after="0" w:line="240" w:lineRule="auto"/>
              <w:jc w:val="both"/>
              <w:rPr>
                <w:rFonts w:ascii="Calibri" w:eastAsia="Times New Roman" w:hAnsi="Calibri" w:cs="Calibri"/>
                <w:color w:val="000000"/>
                <w:sz w:val="18"/>
                <w:szCs w:val="18"/>
                <w:lang w:val="en-GB" w:eastAsia="es-ES"/>
              </w:rPr>
            </w:pPr>
            <w:r w:rsidRPr="00E73CE1">
              <w:rPr>
                <w:rFonts w:ascii="Calibri" w:eastAsia="Times New Roman" w:hAnsi="Calibri" w:cs="Calibri"/>
                <w:color w:val="000000"/>
                <w:sz w:val="18"/>
                <w:szCs w:val="18"/>
                <w:lang w:val="en-GB" w:eastAsia="es-ES"/>
              </w:rPr>
              <w:t>ICER (median)</w:t>
            </w:r>
          </w:p>
        </w:tc>
        <w:tc>
          <w:tcPr>
            <w:tcW w:w="2042" w:type="dxa"/>
            <w:tcBorders>
              <w:bottom w:val="single" w:sz="4" w:space="0" w:color="auto"/>
            </w:tcBorders>
            <w:vAlign w:val="center"/>
          </w:tcPr>
          <w:p w14:paraId="1623BBFD" w14:textId="77777777" w:rsidR="00E73CE1" w:rsidRPr="00E73CE1" w:rsidRDefault="00E73CE1" w:rsidP="00D8589B">
            <w:pPr>
              <w:spacing w:after="0" w:line="240" w:lineRule="auto"/>
              <w:jc w:val="both"/>
              <w:rPr>
                <w:rFonts w:ascii="Calibri" w:eastAsia="Times New Roman" w:hAnsi="Calibri" w:cs="Calibri"/>
                <w:color w:val="000000"/>
                <w:sz w:val="18"/>
                <w:szCs w:val="18"/>
                <w:lang w:val="en-GB" w:eastAsia="es-ES"/>
              </w:rPr>
            </w:pPr>
            <w:r w:rsidRPr="00E73CE1">
              <w:rPr>
                <w:rFonts w:ascii="Calibri" w:eastAsia="Times New Roman" w:hAnsi="Calibri" w:cs="Calibri"/>
                <w:color w:val="000000"/>
                <w:sz w:val="18"/>
                <w:szCs w:val="18"/>
                <w:lang w:val="en-GB" w:eastAsia="es-ES"/>
              </w:rPr>
              <w:t>ICER (CI)</w:t>
            </w:r>
          </w:p>
        </w:tc>
      </w:tr>
      <w:tr w:rsidR="00E73CE1" w:rsidRPr="00E73CE1" w14:paraId="32A3B1BF" w14:textId="77777777" w:rsidTr="00172680">
        <w:trPr>
          <w:trHeight w:val="624"/>
          <w:jc w:val="center"/>
        </w:trPr>
        <w:tc>
          <w:tcPr>
            <w:tcW w:w="2098" w:type="dxa"/>
            <w:tcBorders>
              <w:top w:val="single" w:sz="4" w:space="0" w:color="auto"/>
              <w:left w:val="nil"/>
              <w:bottom w:val="nil"/>
              <w:right w:val="nil"/>
            </w:tcBorders>
            <w:shd w:val="clear" w:color="auto" w:fill="auto"/>
            <w:noWrap/>
            <w:vAlign w:val="center"/>
            <w:hideMark/>
          </w:tcPr>
          <w:p w14:paraId="497631CA" w14:textId="3C7F476D" w:rsidR="00E73CE1" w:rsidRPr="00E73CE1" w:rsidRDefault="00E73CE1" w:rsidP="00D8589B">
            <w:pPr>
              <w:spacing w:after="0" w:line="240" w:lineRule="auto"/>
              <w:jc w:val="both"/>
              <w:rPr>
                <w:rFonts w:ascii="Calibri" w:eastAsia="Times New Roman" w:hAnsi="Calibri" w:cs="Calibri"/>
                <w:color w:val="000000"/>
                <w:sz w:val="18"/>
                <w:szCs w:val="18"/>
                <w:lang w:val="en-GB" w:eastAsia="es-ES"/>
              </w:rPr>
            </w:pPr>
            <w:r w:rsidRPr="00E73CE1">
              <w:rPr>
                <w:rFonts w:ascii="Calibri" w:eastAsia="Times New Roman" w:hAnsi="Calibri" w:cs="Calibri"/>
                <w:color w:val="000000"/>
                <w:sz w:val="18"/>
                <w:szCs w:val="18"/>
                <w:lang w:val="en-GB" w:eastAsia="es-ES"/>
              </w:rPr>
              <w:t xml:space="preserve">Health </w:t>
            </w:r>
            <w:r w:rsidR="00243330">
              <w:rPr>
                <w:rFonts w:ascii="Calibri" w:eastAsia="Times New Roman" w:hAnsi="Calibri" w:cs="Calibri"/>
                <w:color w:val="000000"/>
                <w:sz w:val="18"/>
                <w:szCs w:val="18"/>
                <w:lang w:val="en-GB" w:eastAsia="es-ES"/>
              </w:rPr>
              <w:t>s</w:t>
            </w:r>
            <w:r w:rsidRPr="00E73CE1">
              <w:rPr>
                <w:rFonts w:ascii="Calibri" w:eastAsia="Times New Roman" w:hAnsi="Calibri" w:cs="Calibri"/>
                <w:color w:val="000000"/>
                <w:sz w:val="18"/>
                <w:szCs w:val="18"/>
                <w:lang w:val="en-GB" w:eastAsia="es-ES"/>
              </w:rPr>
              <w:t>ervice perspective with discount</w:t>
            </w:r>
          </w:p>
        </w:tc>
        <w:tc>
          <w:tcPr>
            <w:tcW w:w="2042" w:type="dxa"/>
            <w:tcBorders>
              <w:top w:val="single" w:sz="4" w:space="0" w:color="auto"/>
              <w:left w:val="nil"/>
              <w:bottom w:val="nil"/>
              <w:right w:val="nil"/>
            </w:tcBorders>
            <w:shd w:val="clear" w:color="auto" w:fill="auto"/>
            <w:noWrap/>
            <w:vAlign w:val="center"/>
            <w:hideMark/>
          </w:tcPr>
          <w:p w14:paraId="5660F284" w14:textId="77777777" w:rsidR="00E73CE1" w:rsidRPr="00E73CE1" w:rsidRDefault="00E73CE1" w:rsidP="00D858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jc w:val="both"/>
              <w:rPr>
                <w:rFonts w:eastAsia="Times New Roman" w:cstheme="minorHAnsi"/>
                <w:color w:val="000000"/>
                <w:sz w:val="18"/>
                <w:szCs w:val="18"/>
                <w:lang w:eastAsia="es-ES"/>
              </w:rPr>
            </w:pPr>
            <w:r w:rsidRPr="00E73CE1">
              <w:rPr>
                <w:rFonts w:eastAsia="Times New Roman" w:cstheme="minorHAnsi"/>
                <w:color w:val="000000"/>
                <w:sz w:val="18"/>
                <w:szCs w:val="18"/>
                <w:bdr w:val="none" w:sz="0" w:space="0" w:color="auto" w:frame="1"/>
                <w:lang w:eastAsia="es-ES"/>
              </w:rPr>
              <w:t>16,176</w:t>
            </w:r>
          </w:p>
        </w:tc>
        <w:tc>
          <w:tcPr>
            <w:tcW w:w="2042" w:type="dxa"/>
            <w:tcBorders>
              <w:top w:val="single" w:sz="4" w:space="0" w:color="auto"/>
              <w:left w:val="nil"/>
              <w:bottom w:val="nil"/>
              <w:right w:val="nil"/>
            </w:tcBorders>
            <w:vAlign w:val="center"/>
          </w:tcPr>
          <w:p w14:paraId="60448D84" w14:textId="77777777" w:rsidR="00E73CE1" w:rsidRPr="00E73CE1" w:rsidRDefault="00E73CE1" w:rsidP="00D858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jc w:val="both"/>
              <w:rPr>
                <w:rFonts w:eastAsia="Times New Roman" w:cstheme="minorHAnsi"/>
                <w:color w:val="000000"/>
                <w:sz w:val="18"/>
                <w:szCs w:val="18"/>
                <w:lang w:eastAsia="es-ES"/>
              </w:rPr>
            </w:pPr>
            <w:r w:rsidRPr="00E73CE1">
              <w:rPr>
                <w:rFonts w:eastAsia="Times New Roman" w:cstheme="minorHAnsi"/>
                <w:color w:val="000000"/>
                <w:sz w:val="18"/>
                <w:szCs w:val="18"/>
                <w:bdr w:val="none" w:sz="0" w:space="0" w:color="auto" w:frame="1"/>
                <w:lang w:eastAsia="es-ES"/>
              </w:rPr>
              <w:t>12,713</w:t>
            </w:r>
          </w:p>
        </w:tc>
        <w:tc>
          <w:tcPr>
            <w:tcW w:w="2042" w:type="dxa"/>
            <w:tcBorders>
              <w:top w:val="single" w:sz="4" w:space="0" w:color="auto"/>
              <w:left w:val="nil"/>
              <w:bottom w:val="nil"/>
              <w:right w:val="nil"/>
            </w:tcBorders>
            <w:vAlign w:val="center"/>
          </w:tcPr>
          <w:p w14:paraId="40F5D972" w14:textId="77777777" w:rsidR="00E73CE1" w:rsidRPr="00E73CE1" w:rsidRDefault="00E73CE1" w:rsidP="00D858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jc w:val="both"/>
              <w:rPr>
                <w:rFonts w:eastAsia="Times New Roman" w:cstheme="minorHAnsi"/>
                <w:color w:val="000000"/>
                <w:sz w:val="18"/>
                <w:szCs w:val="18"/>
                <w:lang w:eastAsia="es-ES"/>
              </w:rPr>
            </w:pPr>
            <w:r w:rsidRPr="00E73CE1">
              <w:rPr>
                <w:rFonts w:eastAsia="Times New Roman" w:cstheme="minorHAnsi"/>
                <w:color w:val="000000"/>
                <w:sz w:val="18"/>
                <w:szCs w:val="18"/>
                <w:lang w:eastAsia="es-ES"/>
              </w:rPr>
              <w:t>(</w:t>
            </w:r>
            <w:r w:rsidRPr="00E73CE1">
              <w:rPr>
                <w:rFonts w:eastAsia="Times New Roman" w:cstheme="minorHAnsi"/>
                <w:color w:val="000000"/>
                <w:sz w:val="18"/>
                <w:szCs w:val="18"/>
                <w:bdr w:val="none" w:sz="0" w:space="0" w:color="auto" w:frame="1"/>
                <w:lang w:eastAsia="es-ES"/>
              </w:rPr>
              <w:t xml:space="preserve">4,722 </w:t>
            </w:r>
            <w:r w:rsidRPr="00E73CE1">
              <w:rPr>
                <w:rFonts w:eastAsia="Times New Roman" w:cstheme="minorHAnsi"/>
                <w:color w:val="000000"/>
                <w:sz w:val="18"/>
                <w:szCs w:val="18"/>
                <w:lang w:eastAsia="es-ES"/>
              </w:rPr>
              <w:t xml:space="preserve">to </w:t>
            </w:r>
            <w:r w:rsidRPr="00E73CE1">
              <w:rPr>
                <w:rFonts w:eastAsia="Times New Roman" w:cstheme="minorHAnsi"/>
                <w:color w:val="000000"/>
                <w:sz w:val="18"/>
                <w:szCs w:val="18"/>
                <w:bdr w:val="none" w:sz="0" w:space="0" w:color="auto" w:frame="1"/>
                <w:lang w:eastAsia="es-ES"/>
              </w:rPr>
              <w:t>51,345</w:t>
            </w:r>
            <w:r w:rsidRPr="00E73CE1">
              <w:rPr>
                <w:rFonts w:eastAsia="Times New Roman" w:cstheme="minorHAnsi"/>
                <w:color w:val="000000"/>
                <w:sz w:val="18"/>
                <w:szCs w:val="18"/>
                <w:lang w:eastAsia="es-ES"/>
              </w:rPr>
              <w:t>)</w:t>
            </w:r>
          </w:p>
        </w:tc>
      </w:tr>
      <w:tr w:rsidR="00E73CE1" w:rsidRPr="00E73CE1" w14:paraId="0D9BD34B" w14:textId="77777777" w:rsidTr="00172680">
        <w:trPr>
          <w:trHeight w:val="624"/>
          <w:jc w:val="center"/>
        </w:trPr>
        <w:tc>
          <w:tcPr>
            <w:tcW w:w="2098" w:type="dxa"/>
            <w:tcBorders>
              <w:top w:val="nil"/>
              <w:left w:val="nil"/>
              <w:bottom w:val="single" w:sz="4" w:space="0" w:color="auto"/>
              <w:right w:val="nil"/>
            </w:tcBorders>
            <w:shd w:val="clear" w:color="auto" w:fill="auto"/>
            <w:noWrap/>
            <w:vAlign w:val="center"/>
            <w:hideMark/>
          </w:tcPr>
          <w:p w14:paraId="4CE6C33A" w14:textId="77777777" w:rsidR="00E73CE1" w:rsidRPr="00E73CE1" w:rsidRDefault="00E73CE1" w:rsidP="00D8589B">
            <w:pPr>
              <w:spacing w:after="0" w:line="240" w:lineRule="auto"/>
              <w:jc w:val="both"/>
              <w:rPr>
                <w:rFonts w:ascii="Calibri" w:eastAsia="Times New Roman" w:hAnsi="Calibri" w:cs="Calibri"/>
                <w:color w:val="000000"/>
                <w:sz w:val="18"/>
                <w:szCs w:val="18"/>
                <w:lang w:val="en-GB" w:eastAsia="es-ES"/>
              </w:rPr>
            </w:pPr>
            <w:r w:rsidRPr="00E73CE1">
              <w:rPr>
                <w:rFonts w:ascii="Calibri" w:eastAsia="Times New Roman" w:hAnsi="Calibri" w:cs="Calibri"/>
                <w:color w:val="000000"/>
                <w:sz w:val="18"/>
                <w:szCs w:val="18"/>
                <w:lang w:val="en-GB" w:eastAsia="es-ES"/>
              </w:rPr>
              <w:t>Social perspective with discount</w:t>
            </w:r>
          </w:p>
        </w:tc>
        <w:tc>
          <w:tcPr>
            <w:tcW w:w="2042" w:type="dxa"/>
            <w:tcBorders>
              <w:top w:val="nil"/>
              <w:left w:val="nil"/>
              <w:bottom w:val="single" w:sz="4" w:space="0" w:color="auto"/>
              <w:right w:val="nil"/>
            </w:tcBorders>
            <w:shd w:val="clear" w:color="auto" w:fill="auto"/>
            <w:noWrap/>
            <w:vAlign w:val="center"/>
            <w:hideMark/>
          </w:tcPr>
          <w:p w14:paraId="4BDC75EA" w14:textId="77777777" w:rsidR="00E73CE1" w:rsidRPr="00E73CE1" w:rsidRDefault="00E73CE1" w:rsidP="00D858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jc w:val="both"/>
              <w:rPr>
                <w:rFonts w:eastAsia="Times New Roman" w:cstheme="minorHAnsi"/>
                <w:color w:val="000000"/>
                <w:sz w:val="18"/>
                <w:szCs w:val="18"/>
                <w:lang w:eastAsia="es-ES"/>
              </w:rPr>
            </w:pPr>
            <w:r w:rsidRPr="00E73CE1">
              <w:rPr>
                <w:rFonts w:eastAsia="Times New Roman" w:cstheme="minorHAnsi"/>
                <w:color w:val="000000"/>
                <w:sz w:val="18"/>
                <w:szCs w:val="18"/>
                <w:bdr w:val="none" w:sz="0" w:space="0" w:color="auto" w:frame="1"/>
                <w:lang w:eastAsia="es-ES"/>
              </w:rPr>
              <w:t>-4,572</w:t>
            </w:r>
          </w:p>
        </w:tc>
        <w:tc>
          <w:tcPr>
            <w:tcW w:w="2042" w:type="dxa"/>
            <w:tcBorders>
              <w:top w:val="nil"/>
              <w:left w:val="nil"/>
              <w:bottom w:val="single" w:sz="4" w:space="0" w:color="auto"/>
              <w:right w:val="nil"/>
            </w:tcBorders>
            <w:vAlign w:val="center"/>
          </w:tcPr>
          <w:p w14:paraId="63A476C9" w14:textId="77777777" w:rsidR="00E73CE1" w:rsidRPr="00E73CE1" w:rsidRDefault="00E73CE1" w:rsidP="00D858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jc w:val="both"/>
              <w:rPr>
                <w:rFonts w:eastAsia="Times New Roman" w:cstheme="minorHAnsi"/>
                <w:color w:val="000000"/>
                <w:sz w:val="18"/>
                <w:szCs w:val="18"/>
                <w:lang w:eastAsia="es-ES"/>
              </w:rPr>
            </w:pPr>
            <w:r w:rsidRPr="00E73CE1">
              <w:rPr>
                <w:rFonts w:eastAsia="Times New Roman" w:cstheme="minorHAnsi"/>
                <w:color w:val="000000"/>
                <w:sz w:val="18"/>
                <w:szCs w:val="18"/>
                <w:bdr w:val="none" w:sz="0" w:space="0" w:color="auto" w:frame="1"/>
                <w:lang w:eastAsia="es-ES"/>
              </w:rPr>
              <w:t>-4,974</w:t>
            </w:r>
          </w:p>
        </w:tc>
        <w:tc>
          <w:tcPr>
            <w:tcW w:w="2042" w:type="dxa"/>
            <w:tcBorders>
              <w:top w:val="nil"/>
              <w:left w:val="nil"/>
              <w:bottom w:val="single" w:sz="4" w:space="0" w:color="auto"/>
              <w:right w:val="nil"/>
            </w:tcBorders>
            <w:vAlign w:val="center"/>
          </w:tcPr>
          <w:p w14:paraId="376DE2A0" w14:textId="77777777" w:rsidR="00E73CE1" w:rsidRPr="00E73CE1" w:rsidRDefault="00E73CE1" w:rsidP="00D858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jc w:val="both"/>
              <w:rPr>
                <w:rFonts w:eastAsia="Times New Roman" w:cstheme="minorHAnsi"/>
                <w:color w:val="000000"/>
                <w:sz w:val="18"/>
                <w:szCs w:val="18"/>
                <w:lang w:eastAsia="es-ES"/>
              </w:rPr>
            </w:pPr>
            <w:r w:rsidRPr="00E73CE1">
              <w:rPr>
                <w:rFonts w:eastAsia="Times New Roman" w:cstheme="minorHAnsi"/>
                <w:color w:val="000000"/>
                <w:sz w:val="18"/>
                <w:szCs w:val="18"/>
                <w:bdr w:val="none" w:sz="0" w:space="0" w:color="auto" w:frame="1"/>
                <w:lang w:eastAsia="es-ES"/>
              </w:rPr>
              <w:t xml:space="preserve">(-27,249 </w:t>
            </w:r>
            <w:r w:rsidRPr="00E73CE1">
              <w:rPr>
                <w:rFonts w:eastAsia="Times New Roman" w:cstheme="minorHAnsi"/>
                <w:color w:val="000000"/>
                <w:sz w:val="18"/>
                <w:szCs w:val="18"/>
                <w:lang w:eastAsia="es-ES"/>
              </w:rPr>
              <w:t xml:space="preserve">to </w:t>
            </w:r>
            <w:r w:rsidRPr="00E73CE1">
              <w:rPr>
                <w:rFonts w:eastAsia="Times New Roman" w:cstheme="minorHAnsi"/>
                <w:color w:val="000000"/>
                <w:sz w:val="18"/>
                <w:szCs w:val="18"/>
                <w:bdr w:val="none" w:sz="0" w:space="0" w:color="auto" w:frame="1"/>
                <w:lang w:eastAsia="es-ES"/>
              </w:rPr>
              <w:t>27,115</w:t>
            </w:r>
            <w:r w:rsidRPr="00E73CE1">
              <w:rPr>
                <w:rFonts w:eastAsia="Times New Roman" w:cstheme="minorHAnsi"/>
                <w:color w:val="000000"/>
                <w:sz w:val="18"/>
                <w:szCs w:val="18"/>
                <w:lang w:eastAsia="es-ES"/>
              </w:rPr>
              <w:t>)</w:t>
            </w:r>
          </w:p>
        </w:tc>
      </w:tr>
      <w:tr w:rsidR="00E73CE1" w:rsidRPr="00E73CE1" w14:paraId="40259BFB" w14:textId="77777777" w:rsidTr="00172680">
        <w:trPr>
          <w:trHeight w:val="624"/>
          <w:jc w:val="center"/>
        </w:trPr>
        <w:tc>
          <w:tcPr>
            <w:tcW w:w="2098" w:type="dxa"/>
            <w:tcBorders>
              <w:top w:val="nil"/>
              <w:left w:val="nil"/>
              <w:right w:val="nil"/>
            </w:tcBorders>
            <w:shd w:val="clear" w:color="auto" w:fill="auto"/>
            <w:noWrap/>
            <w:vAlign w:val="center"/>
          </w:tcPr>
          <w:p w14:paraId="2E059C72" w14:textId="79E3F3C4" w:rsidR="00E73CE1" w:rsidRPr="00E73CE1" w:rsidRDefault="00E73CE1" w:rsidP="00D8589B">
            <w:pPr>
              <w:spacing w:after="0" w:line="240" w:lineRule="auto"/>
              <w:jc w:val="both"/>
              <w:rPr>
                <w:rFonts w:ascii="Calibri" w:eastAsia="Times New Roman" w:hAnsi="Calibri" w:cs="Calibri"/>
                <w:color w:val="000000"/>
                <w:sz w:val="18"/>
                <w:szCs w:val="18"/>
                <w:lang w:val="en-GB" w:eastAsia="es-ES"/>
              </w:rPr>
            </w:pPr>
            <w:r w:rsidRPr="00E73CE1">
              <w:rPr>
                <w:rFonts w:ascii="Calibri" w:eastAsia="Times New Roman" w:hAnsi="Calibri" w:cs="Calibri"/>
                <w:color w:val="000000"/>
                <w:sz w:val="18"/>
                <w:szCs w:val="18"/>
                <w:lang w:val="en-GB" w:eastAsia="es-ES"/>
              </w:rPr>
              <w:t xml:space="preserve">Health </w:t>
            </w:r>
            <w:r w:rsidR="00243330">
              <w:rPr>
                <w:rFonts w:ascii="Calibri" w:eastAsia="Times New Roman" w:hAnsi="Calibri" w:cs="Calibri"/>
                <w:color w:val="000000"/>
                <w:sz w:val="18"/>
                <w:szCs w:val="18"/>
                <w:lang w:val="en-GB" w:eastAsia="es-ES"/>
              </w:rPr>
              <w:t>s</w:t>
            </w:r>
            <w:r w:rsidRPr="00E73CE1">
              <w:rPr>
                <w:rFonts w:ascii="Calibri" w:eastAsia="Times New Roman" w:hAnsi="Calibri" w:cs="Calibri"/>
                <w:color w:val="000000"/>
                <w:sz w:val="18"/>
                <w:szCs w:val="18"/>
                <w:lang w:val="en-GB" w:eastAsia="es-ES"/>
              </w:rPr>
              <w:t>ervice perspective without discount</w:t>
            </w:r>
          </w:p>
        </w:tc>
        <w:tc>
          <w:tcPr>
            <w:tcW w:w="2042" w:type="dxa"/>
            <w:tcBorders>
              <w:top w:val="nil"/>
              <w:left w:val="nil"/>
              <w:right w:val="nil"/>
            </w:tcBorders>
            <w:shd w:val="clear" w:color="auto" w:fill="auto"/>
            <w:noWrap/>
            <w:vAlign w:val="center"/>
            <w:hideMark/>
          </w:tcPr>
          <w:p w14:paraId="284F7DBC" w14:textId="77777777" w:rsidR="00E73CE1" w:rsidRPr="00E73CE1" w:rsidRDefault="00E73CE1" w:rsidP="00D858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jc w:val="both"/>
              <w:rPr>
                <w:rFonts w:eastAsia="Times New Roman" w:cstheme="minorHAnsi"/>
                <w:color w:val="000000"/>
                <w:sz w:val="18"/>
                <w:szCs w:val="18"/>
                <w:lang w:eastAsia="es-ES"/>
              </w:rPr>
            </w:pPr>
            <w:r w:rsidRPr="00E73CE1">
              <w:rPr>
                <w:rFonts w:eastAsia="Times New Roman" w:cstheme="minorHAnsi"/>
                <w:color w:val="000000"/>
                <w:sz w:val="18"/>
                <w:szCs w:val="18"/>
                <w:bdr w:val="none" w:sz="0" w:space="0" w:color="auto" w:frame="1"/>
                <w:lang w:eastAsia="es-ES"/>
              </w:rPr>
              <w:t>9,003</w:t>
            </w:r>
          </w:p>
        </w:tc>
        <w:tc>
          <w:tcPr>
            <w:tcW w:w="2042" w:type="dxa"/>
            <w:tcBorders>
              <w:top w:val="nil"/>
              <w:left w:val="nil"/>
              <w:right w:val="nil"/>
            </w:tcBorders>
            <w:vAlign w:val="center"/>
          </w:tcPr>
          <w:p w14:paraId="0C97513E" w14:textId="77777777" w:rsidR="00E73CE1" w:rsidRPr="00E73CE1" w:rsidRDefault="00E73CE1" w:rsidP="00D858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jc w:val="both"/>
              <w:rPr>
                <w:rFonts w:eastAsia="Times New Roman" w:cstheme="minorHAnsi"/>
                <w:color w:val="000000"/>
                <w:sz w:val="18"/>
                <w:szCs w:val="18"/>
                <w:lang w:eastAsia="es-ES"/>
              </w:rPr>
            </w:pPr>
            <w:r w:rsidRPr="00E73CE1">
              <w:rPr>
                <w:rFonts w:eastAsia="Times New Roman" w:cstheme="minorHAnsi"/>
                <w:color w:val="000000"/>
                <w:sz w:val="18"/>
                <w:szCs w:val="18"/>
                <w:bdr w:val="none" w:sz="0" w:space="0" w:color="auto" w:frame="1"/>
                <w:lang w:eastAsia="es-ES"/>
              </w:rPr>
              <w:t>7,001</w:t>
            </w:r>
          </w:p>
        </w:tc>
        <w:tc>
          <w:tcPr>
            <w:tcW w:w="2042" w:type="dxa"/>
            <w:tcBorders>
              <w:top w:val="nil"/>
              <w:left w:val="nil"/>
              <w:right w:val="nil"/>
            </w:tcBorders>
            <w:vAlign w:val="center"/>
          </w:tcPr>
          <w:p w14:paraId="241476FD" w14:textId="77777777" w:rsidR="00E73CE1" w:rsidRPr="00E73CE1" w:rsidRDefault="00E73CE1" w:rsidP="00D858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jc w:val="both"/>
              <w:rPr>
                <w:rFonts w:eastAsia="Times New Roman" w:cstheme="minorHAnsi"/>
                <w:color w:val="000000"/>
                <w:sz w:val="18"/>
                <w:szCs w:val="18"/>
                <w:lang w:eastAsia="es-ES"/>
              </w:rPr>
            </w:pPr>
            <w:r w:rsidRPr="00E73CE1">
              <w:rPr>
                <w:rFonts w:eastAsia="Times New Roman" w:cstheme="minorHAnsi"/>
                <w:color w:val="000000"/>
                <w:sz w:val="18"/>
                <w:szCs w:val="18"/>
                <w:lang w:eastAsia="es-ES"/>
              </w:rPr>
              <w:t>(</w:t>
            </w:r>
            <w:r w:rsidRPr="00E73CE1">
              <w:rPr>
                <w:rFonts w:eastAsia="Times New Roman" w:cstheme="minorHAnsi"/>
                <w:color w:val="000000"/>
                <w:sz w:val="18"/>
                <w:szCs w:val="18"/>
                <w:bdr w:val="none" w:sz="0" w:space="0" w:color="auto" w:frame="1"/>
                <w:lang w:eastAsia="es-ES"/>
              </w:rPr>
              <w:t>2,419</w:t>
            </w:r>
            <w:r w:rsidRPr="00E73CE1">
              <w:rPr>
                <w:rFonts w:eastAsia="Times New Roman" w:cstheme="minorHAnsi"/>
                <w:sz w:val="18"/>
                <w:szCs w:val="18"/>
                <w:bdr w:val="none" w:sz="0" w:space="0" w:color="auto" w:frame="1"/>
                <w:lang w:eastAsia="es-ES"/>
              </w:rPr>
              <w:t xml:space="preserve"> </w:t>
            </w:r>
            <w:r w:rsidRPr="00E73CE1">
              <w:rPr>
                <w:rFonts w:eastAsia="Times New Roman" w:cstheme="minorHAnsi"/>
                <w:color w:val="000000"/>
                <w:sz w:val="18"/>
                <w:szCs w:val="18"/>
                <w:lang w:eastAsia="es-ES"/>
              </w:rPr>
              <w:t xml:space="preserve">to </w:t>
            </w:r>
            <w:r w:rsidRPr="00E73CE1">
              <w:rPr>
                <w:rFonts w:eastAsia="Times New Roman" w:cstheme="minorHAnsi"/>
                <w:color w:val="000000"/>
                <w:sz w:val="18"/>
                <w:szCs w:val="18"/>
                <w:bdr w:val="none" w:sz="0" w:space="0" w:color="auto" w:frame="1"/>
                <w:lang w:eastAsia="es-ES"/>
              </w:rPr>
              <w:t>28,335</w:t>
            </w:r>
            <w:r w:rsidRPr="00E73CE1">
              <w:rPr>
                <w:rFonts w:eastAsia="Times New Roman" w:cstheme="minorHAnsi"/>
                <w:color w:val="000000"/>
                <w:sz w:val="18"/>
                <w:szCs w:val="18"/>
                <w:lang w:eastAsia="es-ES"/>
              </w:rPr>
              <w:t>)</w:t>
            </w:r>
          </w:p>
        </w:tc>
      </w:tr>
      <w:tr w:rsidR="00E73CE1" w:rsidRPr="00E73CE1" w14:paraId="4CB993F5" w14:textId="77777777" w:rsidTr="00172680">
        <w:trPr>
          <w:trHeight w:val="624"/>
          <w:jc w:val="center"/>
        </w:trPr>
        <w:tc>
          <w:tcPr>
            <w:tcW w:w="2098" w:type="dxa"/>
            <w:tcBorders>
              <w:top w:val="nil"/>
              <w:left w:val="nil"/>
              <w:bottom w:val="single" w:sz="4" w:space="0" w:color="auto"/>
              <w:right w:val="nil"/>
            </w:tcBorders>
            <w:shd w:val="clear" w:color="auto" w:fill="auto"/>
            <w:noWrap/>
            <w:vAlign w:val="center"/>
            <w:hideMark/>
          </w:tcPr>
          <w:p w14:paraId="7DDDBE60" w14:textId="77777777" w:rsidR="00E73CE1" w:rsidRPr="00E73CE1" w:rsidRDefault="00E73CE1" w:rsidP="00D8589B">
            <w:pPr>
              <w:spacing w:after="0" w:line="240" w:lineRule="auto"/>
              <w:jc w:val="both"/>
              <w:rPr>
                <w:rFonts w:ascii="Calibri" w:eastAsia="Times New Roman" w:hAnsi="Calibri" w:cs="Calibri"/>
                <w:color w:val="000000"/>
                <w:sz w:val="18"/>
                <w:szCs w:val="18"/>
                <w:lang w:val="en-GB" w:eastAsia="es-ES"/>
              </w:rPr>
            </w:pPr>
            <w:r w:rsidRPr="00E73CE1">
              <w:rPr>
                <w:rFonts w:ascii="Calibri" w:eastAsia="Times New Roman" w:hAnsi="Calibri" w:cs="Calibri"/>
                <w:color w:val="000000"/>
                <w:sz w:val="18"/>
                <w:szCs w:val="18"/>
                <w:lang w:val="en-GB" w:eastAsia="es-ES"/>
              </w:rPr>
              <w:t>Social perspective with discount</w:t>
            </w:r>
          </w:p>
        </w:tc>
        <w:tc>
          <w:tcPr>
            <w:tcW w:w="2042" w:type="dxa"/>
            <w:tcBorders>
              <w:top w:val="nil"/>
              <w:left w:val="nil"/>
              <w:bottom w:val="single" w:sz="4" w:space="0" w:color="auto"/>
              <w:right w:val="nil"/>
            </w:tcBorders>
            <w:shd w:val="clear" w:color="auto" w:fill="auto"/>
            <w:noWrap/>
            <w:vAlign w:val="center"/>
            <w:hideMark/>
          </w:tcPr>
          <w:p w14:paraId="3EDD730B" w14:textId="77777777" w:rsidR="00E73CE1" w:rsidRPr="00E73CE1" w:rsidRDefault="00E73CE1" w:rsidP="00D858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jc w:val="both"/>
              <w:rPr>
                <w:rFonts w:eastAsia="Times New Roman" w:cstheme="minorHAnsi"/>
                <w:color w:val="000000"/>
                <w:sz w:val="18"/>
                <w:szCs w:val="18"/>
                <w:lang w:eastAsia="es-ES"/>
              </w:rPr>
            </w:pPr>
            <w:r w:rsidRPr="00E73CE1">
              <w:rPr>
                <w:rFonts w:eastAsia="Times New Roman" w:cstheme="minorHAnsi"/>
                <w:color w:val="000000"/>
                <w:sz w:val="18"/>
                <w:szCs w:val="18"/>
                <w:bdr w:val="none" w:sz="0" w:space="0" w:color="auto" w:frame="1"/>
                <w:lang w:eastAsia="es-ES"/>
              </w:rPr>
              <w:t>-2,825</w:t>
            </w:r>
          </w:p>
        </w:tc>
        <w:tc>
          <w:tcPr>
            <w:tcW w:w="2042" w:type="dxa"/>
            <w:tcBorders>
              <w:top w:val="nil"/>
              <w:left w:val="nil"/>
              <w:bottom w:val="single" w:sz="4" w:space="0" w:color="auto"/>
              <w:right w:val="nil"/>
            </w:tcBorders>
            <w:vAlign w:val="center"/>
          </w:tcPr>
          <w:p w14:paraId="509344BD" w14:textId="77777777" w:rsidR="00E73CE1" w:rsidRPr="00E73CE1" w:rsidRDefault="00E73CE1" w:rsidP="00D858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jc w:val="both"/>
              <w:rPr>
                <w:rFonts w:eastAsia="Times New Roman" w:cstheme="minorHAnsi"/>
                <w:color w:val="000000"/>
                <w:sz w:val="18"/>
                <w:szCs w:val="18"/>
                <w:lang w:eastAsia="es-ES"/>
              </w:rPr>
            </w:pPr>
            <w:r w:rsidRPr="00E73CE1">
              <w:rPr>
                <w:rFonts w:eastAsia="Times New Roman" w:cstheme="minorHAnsi"/>
                <w:color w:val="000000"/>
                <w:sz w:val="18"/>
                <w:szCs w:val="18"/>
                <w:bdr w:val="none" w:sz="0" w:space="0" w:color="auto" w:frame="1"/>
                <w:lang w:eastAsia="es-ES"/>
              </w:rPr>
              <w:t>-2,988</w:t>
            </w:r>
          </w:p>
        </w:tc>
        <w:tc>
          <w:tcPr>
            <w:tcW w:w="2042" w:type="dxa"/>
            <w:tcBorders>
              <w:top w:val="nil"/>
              <w:left w:val="nil"/>
              <w:bottom w:val="single" w:sz="4" w:space="0" w:color="auto"/>
              <w:right w:val="nil"/>
            </w:tcBorders>
            <w:vAlign w:val="center"/>
          </w:tcPr>
          <w:p w14:paraId="3CC0D509" w14:textId="77777777" w:rsidR="00E73CE1" w:rsidRPr="00E73CE1" w:rsidRDefault="00E73CE1" w:rsidP="00D858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jc w:val="both"/>
              <w:rPr>
                <w:rFonts w:eastAsia="Times New Roman" w:cstheme="minorHAnsi"/>
                <w:color w:val="000000"/>
                <w:sz w:val="18"/>
                <w:szCs w:val="18"/>
                <w:lang w:eastAsia="es-ES"/>
              </w:rPr>
            </w:pPr>
            <w:r w:rsidRPr="00E73CE1">
              <w:rPr>
                <w:rFonts w:eastAsia="Times New Roman" w:cstheme="minorHAnsi"/>
                <w:color w:val="000000"/>
                <w:sz w:val="18"/>
                <w:szCs w:val="18"/>
                <w:bdr w:val="none" w:sz="0" w:space="0" w:color="auto" w:frame="1"/>
                <w:lang w:eastAsia="es-ES"/>
              </w:rPr>
              <w:t xml:space="preserve">(-16,044 </w:t>
            </w:r>
            <w:r w:rsidRPr="00E73CE1">
              <w:rPr>
                <w:rFonts w:eastAsia="Times New Roman" w:cstheme="minorHAnsi"/>
                <w:color w:val="000000"/>
                <w:sz w:val="18"/>
                <w:szCs w:val="18"/>
                <w:lang w:eastAsia="es-ES"/>
              </w:rPr>
              <w:t xml:space="preserve">to </w:t>
            </w:r>
            <w:r w:rsidRPr="00E73CE1">
              <w:rPr>
                <w:rFonts w:eastAsia="Times New Roman" w:cstheme="minorHAnsi"/>
                <w:color w:val="000000"/>
                <w:sz w:val="18"/>
                <w:szCs w:val="18"/>
                <w:bdr w:val="none" w:sz="0" w:space="0" w:color="auto" w:frame="1"/>
                <w:lang w:eastAsia="es-ES"/>
              </w:rPr>
              <w:t>15,217</w:t>
            </w:r>
            <w:r w:rsidRPr="00E73CE1">
              <w:rPr>
                <w:rFonts w:eastAsia="Times New Roman" w:cstheme="minorHAnsi"/>
                <w:color w:val="000000"/>
                <w:sz w:val="18"/>
                <w:szCs w:val="18"/>
                <w:lang w:eastAsia="es-ES"/>
              </w:rPr>
              <w:t>)</w:t>
            </w:r>
          </w:p>
        </w:tc>
      </w:tr>
    </w:tbl>
    <w:p w14:paraId="51756206" w14:textId="67E61AC0" w:rsidR="00A5219E" w:rsidRPr="00D12C05" w:rsidRDefault="005D440E" w:rsidP="00D8589B">
      <w:pPr>
        <w:jc w:val="both"/>
        <w:rPr>
          <w:lang w:val="en-GB"/>
        </w:rPr>
      </w:pPr>
      <w:r w:rsidRPr="005D440E">
        <w:rPr>
          <w:lang w:val="en-GB"/>
        </w:rPr>
        <w:t>CI</w:t>
      </w:r>
      <w:r>
        <w:rPr>
          <w:lang w:val="en-GB"/>
        </w:rPr>
        <w:t xml:space="preserve">: </w:t>
      </w:r>
      <w:r w:rsidRPr="005D440E">
        <w:rPr>
          <w:lang w:val="en-GB"/>
        </w:rPr>
        <w:t>confidence intervals</w:t>
      </w:r>
      <w:r w:rsidR="00243330">
        <w:rPr>
          <w:lang w:val="en-GB"/>
        </w:rPr>
        <w:t>;</w:t>
      </w:r>
      <w:r w:rsidR="00243330" w:rsidRPr="00243330">
        <w:rPr>
          <w:lang w:val="en-GB"/>
        </w:rPr>
        <w:t xml:space="preserve"> </w:t>
      </w:r>
      <w:r w:rsidR="00243330">
        <w:rPr>
          <w:lang w:val="en-GB"/>
        </w:rPr>
        <w:t>ICER: incremental cost-effectiveness ratio;</w:t>
      </w:r>
      <w:r w:rsidR="00243330" w:rsidRPr="00243330">
        <w:rPr>
          <w:lang w:val="en-GB"/>
        </w:rPr>
        <w:t xml:space="preserve"> </w:t>
      </w:r>
      <w:r w:rsidR="00243330" w:rsidRPr="00140F86">
        <w:rPr>
          <w:lang w:val="en-GB"/>
        </w:rPr>
        <w:t>QALY: quality adjusted life year.</w:t>
      </w:r>
    </w:p>
    <w:p w14:paraId="6E1EACB8" w14:textId="77777777" w:rsidR="0080453F" w:rsidRDefault="0080453F" w:rsidP="00D8589B">
      <w:pPr>
        <w:jc w:val="both"/>
        <w:rPr>
          <w:lang w:val="en-GB"/>
        </w:rPr>
      </w:pPr>
    </w:p>
    <w:p w14:paraId="21AEDEEB" w14:textId="77777777" w:rsidR="00D963C5" w:rsidRDefault="00D963C5" w:rsidP="00D8589B">
      <w:pPr>
        <w:jc w:val="both"/>
        <w:rPr>
          <w:lang w:val="en-GB"/>
        </w:rPr>
        <w:sectPr w:rsidR="00D963C5">
          <w:pgSz w:w="11906" w:h="16838"/>
          <w:pgMar w:top="1417" w:right="1701" w:bottom="1417" w:left="1701" w:header="708" w:footer="708" w:gutter="0"/>
          <w:cols w:space="708"/>
          <w:docGrid w:linePitch="360"/>
        </w:sectPr>
      </w:pPr>
    </w:p>
    <w:p w14:paraId="33E47B27" w14:textId="2BCBE2A2" w:rsidR="00D963C5" w:rsidRDefault="00D963C5" w:rsidP="00D8589B">
      <w:pPr>
        <w:jc w:val="both"/>
        <w:rPr>
          <w:lang w:val="en-GB"/>
        </w:rPr>
      </w:pPr>
      <w:r w:rsidRPr="00D8589B">
        <w:rPr>
          <w:b/>
          <w:lang w:val="en-GB"/>
        </w:rPr>
        <w:lastRenderedPageBreak/>
        <w:t>Figure A1.</w:t>
      </w:r>
      <w:r w:rsidRPr="00D8589B">
        <w:rPr>
          <w:lang w:val="en-GB"/>
        </w:rPr>
        <w:t xml:space="preserve"> Early Stage Breast Cancer modelling diagram.</w:t>
      </w:r>
    </w:p>
    <w:p w14:paraId="3DB0A0E6" w14:textId="4A94AE20" w:rsidR="004A7FAB" w:rsidRDefault="004A7FAB" w:rsidP="00D8589B">
      <w:pPr>
        <w:jc w:val="both"/>
        <w:rPr>
          <w:lang w:val="en-GB"/>
        </w:rPr>
      </w:pPr>
      <w:r w:rsidRPr="004A7FAB">
        <w:rPr>
          <w:noProof/>
          <w:lang w:val="en-IN" w:eastAsia="en-IN"/>
        </w:rPr>
        <w:drawing>
          <wp:inline distT="0" distB="0" distL="0" distR="0" wp14:anchorId="13353066" wp14:editId="0AFA978D">
            <wp:extent cx="4572000" cy="1242060"/>
            <wp:effectExtent l="0" t="0" r="0" b="0"/>
            <wp:docPr id="5" name="Picture 5" descr="C:\fms\MNT_ELSEVIER_JOURNAL_GACETA_1657_2\NEW_ORIGINALS\mm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fms\MNT_ELSEVIER_JOURNAL_GACETA_1657_2\NEW_ORIGINALS\mmc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72000" cy="1242060"/>
                    </a:xfrm>
                    <a:prstGeom prst="rect">
                      <a:avLst/>
                    </a:prstGeom>
                    <a:noFill/>
                    <a:ln>
                      <a:noFill/>
                    </a:ln>
                  </pic:spPr>
                </pic:pic>
              </a:graphicData>
            </a:graphic>
          </wp:inline>
        </w:drawing>
      </w:r>
    </w:p>
    <w:p w14:paraId="73E44C63" w14:textId="77777777" w:rsidR="00243330" w:rsidRPr="00D8589B" w:rsidRDefault="00243330" w:rsidP="00E96DD0">
      <w:pPr>
        <w:jc w:val="both"/>
        <w:rPr>
          <w:lang w:val="en-GB"/>
        </w:rPr>
      </w:pPr>
    </w:p>
    <w:p w14:paraId="7EC5E753" w14:textId="019D333C" w:rsidR="00D963C5" w:rsidRDefault="00D963C5" w:rsidP="00D8589B">
      <w:pPr>
        <w:jc w:val="both"/>
        <w:rPr>
          <w:lang w:val="en-US"/>
        </w:rPr>
      </w:pPr>
      <w:r w:rsidRPr="00D8589B">
        <w:rPr>
          <w:b/>
          <w:lang w:val="en-GB"/>
        </w:rPr>
        <w:t>Figure A2.</w:t>
      </w:r>
      <w:r w:rsidRPr="00D8589B">
        <w:rPr>
          <w:lang w:val="en-GB"/>
        </w:rPr>
        <w:t xml:space="preserve"> Cost-</w:t>
      </w:r>
      <w:r w:rsidR="00243330" w:rsidRPr="00243330">
        <w:rPr>
          <w:lang w:val="en-GB"/>
        </w:rPr>
        <w:t>effectiveness plane</w:t>
      </w:r>
      <w:r w:rsidR="00243330" w:rsidRPr="00243330">
        <w:rPr>
          <w:lang w:val="en-US"/>
        </w:rPr>
        <w:t xml:space="preserve"> </w:t>
      </w:r>
      <w:r w:rsidR="00243330" w:rsidRPr="00243330">
        <w:rPr>
          <w:lang w:val="en-GB"/>
        </w:rPr>
        <w:t xml:space="preserve">for the use of oncotype </w:t>
      </w:r>
      <w:r w:rsidRPr="00D8589B">
        <w:rPr>
          <w:lang w:val="en-GB"/>
        </w:rPr>
        <w:t>from the perspective of the Basque Health Service and Social perspective without discount.</w:t>
      </w:r>
      <w:r w:rsidR="00243330">
        <w:rPr>
          <w:lang w:val="en-GB"/>
        </w:rPr>
        <w:t xml:space="preserve"> </w:t>
      </w:r>
      <w:r w:rsidRPr="00D8589B">
        <w:rPr>
          <w:lang w:val="en-US"/>
        </w:rPr>
        <w:t>QALY: quality adjusted life year.</w:t>
      </w:r>
    </w:p>
    <w:p w14:paraId="44E8DA6A" w14:textId="6350658F" w:rsidR="004A7FAB" w:rsidRPr="00243330" w:rsidRDefault="004A7FAB" w:rsidP="00D8589B">
      <w:pPr>
        <w:jc w:val="both"/>
        <w:rPr>
          <w:lang w:val="en-US"/>
        </w:rPr>
      </w:pPr>
      <w:r w:rsidRPr="004A7FAB">
        <w:rPr>
          <w:noProof/>
          <w:lang w:val="en-IN" w:eastAsia="en-IN"/>
        </w:rPr>
        <w:drawing>
          <wp:inline distT="0" distB="0" distL="0" distR="0" wp14:anchorId="085094B0" wp14:editId="2677F721">
            <wp:extent cx="4572000" cy="5861685"/>
            <wp:effectExtent l="0" t="0" r="0" b="5715"/>
            <wp:docPr id="6" name="Picture 6" descr="C:\fms\MNT_ELSEVIER_JOURNAL_GACETA_1657_2\NEW_ORIGINALS\mmc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fms\MNT_ELSEVIER_JOURNAL_GACETA_1657_2\NEW_ORIGINALS\mmc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72000" cy="5861685"/>
                    </a:xfrm>
                    <a:prstGeom prst="rect">
                      <a:avLst/>
                    </a:prstGeom>
                    <a:noFill/>
                    <a:ln>
                      <a:noFill/>
                    </a:ln>
                  </pic:spPr>
                </pic:pic>
              </a:graphicData>
            </a:graphic>
          </wp:inline>
        </w:drawing>
      </w:r>
    </w:p>
    <w:p w14:paraId="4F954761" w14:textId="18536C8D" w:rsidR="00D963C5" w:rsidRPr="00243330" w:rsidRDefault="00D963C5" w:rsidP="00E96DD0">
      <w:pPr>
        <w:jc w:val="both"/>
        <w:rPr>
          <w:lang w:val="en-US"/>
        </w:rPr>
      </w:pPr>
    </w:p>
    <w:p w14:paraId="2B564A7C" w14:textId="0C4C9058" w:rsidR="00713249" w:rsidRDefault="00713249" w:rsidP="00D8589B">
      <w:pPr>
        <w:jc w:val="both"/>
        <w:rPr>
          <w:lang w:val="en-GB"/>
        </w:rPr>
      </w:pPr>
      <w:r w:rsidRPr="00D8589B">
        <w:rPr>
          <w:b/>
          <w:lang w:val="en-GB"/>
        </w:rPr>
        <w:lastRenderedPageBreak/>
        <w:t>Figure A3.</w:t>
      </w:r>
      <w:r w:rsidR="008D7484" w:rsidRPr="00D8589B">
        <w:rPr>
          <w:lang w:val="en-US"/>
        </w:rPr>
        <w:t xml:space="preserve"> </w:t>
      </w:r>
      <w:r w:rsidR="008D7484" w:rsidRPr="00D8589B">
        <w:rPr>
          <w:lang w:val="en-GB"/>
        </w:rPr>
        <w:t xml:space="preserve">Calibration curves of required iterations to stabilize the mean </w:t>
      </w:r>
      <w:r w:rsidR="00243330" w:rsidRPr="003D64FF">
        <w:rPr>
          <w:lang w:val="en-GB"/>
        </w:rPr>
        <w:t>incremental cost-effectiveness ratio</w:t>
      </w:r>
      <w:r w:rsidR="00243330" w:rsidRPr="00243330" w:rsidDel="00243330">
        <w:rPr>
          <w:lang w:val="en-GB"/>
        </w:rPr>
        <w:t xml:space="preserve"> </w:t>
      </w:r>
      <w:r w:rsidR="000B3E4B" w:rsidRPr="00D8589B">
        <w:rPr>
          <w:lang w:val="en-GB"/>
        </w:rPr>
        <w:t>(with and without discount)</w:t>
      </w:r>
      <w:r w:rsidRPr="00D8589B">
        <w:rPr>
          <w:lang w:val="en-GB"/>
        </w:rPr>
        <w:t>.</w:t>
      </w:r>
    </w:p>
    <w:p w14:paraId="1E54FE1C" w14:textId="72D2C31F" w:rsidR="004A7FAB" w:rsidRPr="00D8589B" w:rsidRDefault="004A7FAB" w:rsidP="00D8589B">
      <w:pPr>
        <w:jc w:val="both"/>
        <w:rPr>
          <w:lang w:val="en-GB"/>
        </w:rPr>
      </w:pPr>
      <w:r w:rsidRPr="004A7FAB">
        <w:rPr>
          <w:noProof/>
          <w:lang w:val="en-IN" w:eastAsia="en-IN"/>
        </w:rPr>
        <w:drawing>
          <wp:inline distT="0" distB="0" distL="0" distR="0" wp14:anchorId="58A86CCF" wp14:editId="25777511">
            <wp:extent cx="3964940" cy="2818130"/>
            <wp:effectExtent l="0" t="0" r="0" b="1270"/>
            <wp:docPr id="7" name="Picture 7" descr="C:\fms\MNT_ELSEVIER_JOURNAL_GACETA_1657_2\NEW_ORIGINALS\mmc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fms\MNT_ELSEVIER_JOURNAL_GACETA_1657_2\NEW_ORIGINALS\mmc3.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64940" cy="2818130"/>
                    </a:xfrm>
                    <a:prstGeom prst="rect">
                      <a:avLst/>
                    </a:prstGeom>
                    <a:noFill/>
                    <a:ln>
                      <a:noFill/>
                    </a:ln>
                  </pic:spPr>
                </pic:pic>
              </a:graphicData>
            </a:graphic>
          </wp:inline>
        </w:drawing>
      </w:r>
      <w:bookmarkStart w:id="0" w:name="_GoBack"/>
      <w:bookmarkEnd w:id="0"/>
    </w:p>
    <w:p w14:paraId="491145C8" w14:textId="36AEED29" w:rsidR="00713249" w:rsidRPr="00713249" w:rsidRDefault="00713249" w:rsidP="00D8589B">
      <w:pPr>
        <w:jc w:val="both"/>
        <w:rPr>
          <w:lang w:val="en-US"/>
        </w:rPr>
      </w:pPr>
    </w:p>
    <w:sectPr w:rsidR="00713249" w:rsidRPr="0071324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90D733" w14:textId="77777777" w:rsidR="008423BF" w:rsidRDefault="008423BF" w:rsidP="00B0246F">
      <w:pPr>
        <w:spacing w:after="0" w:line="240" w:lineRule="auto"/>
      </w:pPr>
      <w:r>
        <w:separator/>
      </w:r>
    </w:p>
  </w:endnote>
  <w:endnote w:type="continuationSeparator" w:id="0">
    <w:p w14:paraId="077208C7" w14:textId="77777777" w:rsidR="008423BF" w:rsidRDefault="008423BF" w:rsidP="00B024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0657831"/>
      <w:docPartObj>
        <w:docPartGallery w:val="Page Numbers (Bottom of Page)"/>
        <w:docPartUnique/>
      </w:docPartObj>
    </w:sdtPr>
    <w:sdtEndPr/>
    <w:sdtContent>
      <w:p w14:paraId="3279E57E" w14:textId="3E8EBD68" w:rsidR="00EA01AC" w:rsidRDefault="00EA01AC">
        <w:pPr>
          <w:pStyle w:val="Footer"/>
          <w:jc w:val="right"/>
        </w:pPr>
        <w:r>
          <w:fldChar w:fldCharType="begin"/>
        </w:r>
        <w:r>
          <w:instrText>PAGE   \* MERGEFORMAT</w:instrText>
        </w:r>
        <w:r>
          <w:fldChar w:fldCharType="separate"/>
        </w:r>
        <w:r w:rsidR="004A7FAB">
          <w:rPr>
            <w:noProof/>
          </w:rPr>
          <w:t>6</w:t>
        </w:r>
        <w:r>
          <w:fldChar w:fldCharType="end"/>
        </w:r>
      </w:p>
    </w:sdtContent>
  </w:sdt>
  <w:p w14:paraId="0965E5F3" w14:textId="77777777" w:rsidR="00EA01AC" w:rsidRDefault="00EA01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5143547"/>
      <w:docPartObj>
        <w:docPartGallery w:val="Page Numbers (Bottom of Page)"/>
        <w:docPartUnique/>
      </w:docPartObj>
    </w:sdtPr>
    <w:sdtEndPr/>
    <w:sdtContent>
      <w:p w14:paraId="3A336CE0" w14:textId="0570EF44" w:rsidR="00EA01AC" w:rsidRDefault="00EA01AC">
        <w:pPr>
          <w:pStyle w:val="Footer"/>
          <w:jc w:val="right"/>
        </w:pPr>
        <w:r>
          <w:fldChar w:fldCharType="begin"/>
        </w:r>
        <w:r>
          <w:instrText>PAGE   \* MERGEFORMAT</w:instrText>
        </w:r>
        <w:r>
          <w:fldChar w:fldCharType="separate"/>
        </w:r>
        <w:r w:rsidR="004A7FAB">
          <w:rPr>
            <w:noProof/>
          </w:rPr>
          <w:t>10</w:t>
        </w:r>
        <w:r>
          <w:fldChar w:fldCharType="end"/>
        </w:r>
      </w:p>
    </w:sdtContent>
  </w:sdt>
  <w:p w14:paraId="61E4A09E" w14:textId="77777777" w:rsidR="00EA01AC" w:rsidRDefault="00EA01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5F2A5A" w14:textId="77777777" w:rsidR="008423BF" w:rsidRDefault="008423BF" w:rsidP="00B0246F">
      <w:pPr>
        <w:spacing w:after="0" w:line="240" w:lineRule="auto"/>
      </w:pPr>
      <w:r>
        <w:separator/>
      </w:r>
    </w:p>
  </w:footnote>
  <w:footnote w:type="continuationSeparator" w:id="0">
    <w:p w14:paraId="7A4402A5" w14:textId="77777777" w:rsidR="008423BF" w:rsidRDefault="008423BF" w:rsidP="00B024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A25DDA"/>
    <w:multiLevelType w:val="multilevel"/>
    <w:tmpl w:val="3586AC5A"/>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43A317BB"/>
    <w:multiLevelType w:val="hybridMultilevel"/>
    <w:tmpl w:val="4016038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DA4"/>
    <w:rsid w:val="00000A7B"/>
    <w:rsid w:val="00001536"/>
    <w:rsid w:val="000015B6"/>
    <w:rsid w:val="000021CA"/>
    <w:rsid w:val="0001344C"/>
    <w:rsid w:val="00015AAE"/>
    <w:rsid w:val="00043504"/>
    <w:rsid w:val="00044803"/>
    <w:rsid w:val="000466FE"/>
    <w:rsid w:val="00052769"/>
    <w:rsid w:val="00054CD0"/>
    <w:rsid w:val="00057ADE"/>
    <w:rsid w:val="00064EE2"/>
    <w:rsid w:val="0006618E"/>
    <w:rsid w:val="00072C9B"/>
    <w:rsid w:val="000738E4"/>
    <w:rsid w:val="000A0352"/>
    <w:rsid w:val="000A5A8D"/>
    <w:rsid w:val="000A778E"/>
    <w:rsid w:val="000B3159"/>
    <w:rsid w:val="000B3E4B"/>
    <w:rsid w:val="000B5E72"/>
    <w:rsid w:val="000B64FC"/>
    <w:rsid w:val="000C38AC"/>
    <w:rsid w:val="000C5546"/>
    <w:rsid w:val="000D167B"/>
    <w:rsid w:val="000D472E"/>
    <w:rsid w:val="000D5C7A"/>
    <w:rsid w:val="000D62B4"/>
    <w:rsid w:val="000D7EF1"/>
    <w:rsid w:val="000E223D"/>
    <w:rsid w:val="000F0AD1"/>
    <w:rsid w:val="001024BF"/>
    <w:rsid w:val="001030D2"/>
    <w:rsid w:val="00106670"/>
    <w:rsid w:val="00110698"/>
    <w:rsid w:val="00111158"/>
    <w:rsid w:val="00113B76"/>
    <w:rsid w:val="00132398"/>
    <w:rsid w:val="00132CDD"/>
    <w:rsid w:val="001334C5"/>
    <w:rsid w:val="0013463A"/>
    <w:rsid w:val="001367F8"/>
    <w:rsid w:val="00136875"/>
    <w:rsid w:val="00140F86"/>
    <w:rsid w:val="001424AD"/>
    <w:rsid w:val="00144580"/>
    <w:rsid w:val="00154C78"/>
    <w:rsid w:val="001575F7"/>
    <w:rsid w:val="001577B7"/>
    <w:rsid w:val="00165D36"/>
    <w:rsid w:val="00172680"/>
    <w:rsid w:val="001866BB"/>
    <w:rsid w:val="00193E1B"/>
    <w:rsid w:val="001A2ECE"/>
    <w:rsid w:val="001A3F31"/>
    <w:rsid w:val="001B2188"/>
    <w:rsid w:val="001B448E"/>
    <w:rsid w:val="001B67E7"/>
    <w:rsid w:val="001C2005"/>
    <w:rsid w:val="001D2967"/>
    <w:rsid w:val="001D57B6"/>
    <w:rsid w:val="001E1A65"/>
    <w:rsid w:val="001E5495"/>
    <w:rsid w:val="001E6274"/>
    <w:rsid w:val="00200726"/>
    <w:rsid w:val="0020082D"/>
    <w:rsid w:val="00202719"/>
    <w:rsid w:val="00202B2F"/>
    <w:rsid w:val="0020495B"/>
    <w:rsid w:val="00214654"/>
    <w:rsid w:val="0023313F"/>
    <w:rsid w:val="002369DC"/>
    <w:rsid w:val="00243330"/>
    <w:rsid w:val="002443FF"/>
    <w:rsid w:val="00264943"/>
    <w:rsid w:val="00267380"/>
    <w:rsid w:val="00271668"/>
    <w:rsid w:val="00274EDA"/>
    <w:rsid w:val="00274F83"/>
    <w:rsid w:val="00276856"/>
    <w:rsid w:val="0029166F"/>
    <w:rsid w:val="002A04AA"/>
    <w:rsid w:val="002A356C"/>
    <w:rsid w:val="002D2C7A"/>
    <w:rsid w:val="002E48D8"/>
    <w:rsid w:val="002F6C87"/>
    <w:rsid w:val="00302698"/>
    <w:rsid w:val="003027C6"/>
    <w:rsid w:val="00304D9E"/>
    <w:rsid w:val="00304DCA"/>
    <w:rsid w:val="00316845"/>
    <w:rsid w:val="00317F11"/>
    <w:rsid w:val="003258C9"/>
    <w:rsid w:val="00334C91"/>
    <w:rsid w:val="00343915"/>
    <w:rsid w:val="00346CF5"/>
    <w:rsid w:val="00360F00"/>
    <w:rsid w:val="00381539"/>
    <w:rsid w:val="003922CF"/>
    <w:rsid w:val="003A2823"/>
    <w:rsid w:val="003A3EAF"/>
    <w:rsid w:val="003A4364"/>
    <w:rsid w:val="003A6375"/>
    <w:rsid w:val="003B270A"/>
    <w:rsid w:val="003B4910"/>
    <w:rsid w:val="003B74A3"/>
    <w:rsid w:val="003C6244"/>
    <w:rsid w:val="003D3144"/>
    <w:rsid w:val="003D3C0D"/>
    <w:rsid w:val="00400F91"/>
    <w:rsid w:val="0040385A"/>
    <w:rsid w:val="00411AB3"/>
    <w:rsid w:val="00415394"/>
    <w:rsid w:val="0041614E"/>
    <w:rsid w:val="00423C45"/>
    <w:rsid w:val="00425F18"/>
    <w:rsid w:val="00430BD9"/>
    <w:rsid w:val="0043201B"/>
    <w:rsid w:val="00440935"/>
    <w:rsid w:val="00444B38"/>
    <w:rsid w:val="00445E1C"/>
    <w:rsid w:val="00447645"/>
    <w:rsid w:val="0047206C"/>
    <w:rsid w:val="00476061"/>
    <w:rsid w:val="00480094"/>
    <w:rsid w:val="00480D17"/>
    <w:rsid w:val="00484A06"/>
    <w:rsid w:val="00485F8E"/>
    <w:rsid w:val="00491A7B"/>
    <w:rsid w:val="00492347"/>
    <w:rsid w:val="004954FB"/>
    <w:rsid w:val="004A7FAB"/>
    <w:rsid w:val="004B7864"/>
    <w:rsid w:val="004C0411"/>
    <w:rsid w:val="004C76E6"/>
    <w:rsid w:val="004C77E8"/>
    <w:rsid w:val="004E4AA4"/>
    <w:rsid w:val="004F0EE7"/>
    <w:rsid w:val="004F2DB0"/>
    <w:rsid w:val="004F32EB"/>
    <w:rsid w:val="00503309"/>
    <w:rsid w:val="00503A07"/>
    <w:rsid w:val="00512A80"/>
    <w:rsid w:val="00514E87"/>
    <w:rsid w:val="00543F43"/>
    <w:rsid w:val="00550418"/>
    <w:rsid w:val="00550857"/>
    <w:rsid w:val="00552EEB"/>
    <w:rsid w:val="00560186"/>
    <w:rsid w:val="00563B85"/>
    <w:rsid w:val="00571169"/>
    <w:rsid w:val="005726B9"/>
    <w:rsid w:val="00572C52"/>
    <w:rsid w:val="0059212B"/>
    <w:rsid w:val="005926F1"/>
    <w:rsid w:val="005A148B"/>
    <w:rsid w:val="005A1879"/>
    <w:rsid w:val="005A7FC5"/>
    <w:rsid w:val="005C6829"/>
    <w:rsid w:val="005C71C4"/>
    <w:rsid w:val="005D0F4E"/>
    <w:rsid w:val="005D440E"/>
    <w:rsid w:val="005D7865"/>
    <w:rsid w:val="005E094E"/>
    <w:rsid w:val="005E1A14"/>
    <w:rsid w:val="005E431A"/>
    <w:rsid w:val="005F64AE"/>
    <w:rsid w:val="005F6F49"/>
    <w:rsid w:val="00630A32"/>
    <w:rsid w:val="00630E6C"/>
    <w:rsid w:val="00633447"/>
    <w:rsid w:val="00633B07"/>
    <w:rsid w:val="00634E5C"/>
    <w:rsid w:val="00644D22"/>
    <w:rsid w:val="006578A5"/>
    <w:rsid w:val="00664577"/>
    <w:rsid w:val="00665954"/>
    <w:rsid w:val="006667E4"/>
    <w:rsid w:val="006728F7"/>
    <w:rsid w:val="00672B20"/>
    <w:rsid w:val="00673462"/>
    <w:rsid w:val="0068459B"/>
    <w:rsid w:val="00691355"/>
    <w:rsid w:val="006929BC"/>
    <w:rsid w:val="006A0FDF"/>
    <w:rsid w:val="006B07BE"/>
    <w:rsid w:val="006D49F2"/>
    <w:rsid w:val="006D5B18"/>
    <w:rsid w:val="006E48CE"/>
    <w:rsid w:val="00702539"/>
    <w:rsid w:val="00705059"/>
    <w:rsid w:val="007071DD"/>
    <w:rsid w:val="00713249"/>
    <w:rsid w:val="00714940"/>
    <w:rsid w:val="00721B59"/>
    <w:rsid w:val="007279CF"/>
    <w:rsid w:val="007318EC"/>
    <w:rsid w:val="007347B1"/>
    <w:rsid w:val="00740EE8"/>
    <w:rsid w:val="007468B9"/>
    <w:rsid w:val="00746BB7"/>
    <w:rsid w:val="00753460"/>
    <w:rsid w:val="00755CEF"/>
    <w:rsid w:val="007668CD"/>
    <w:rsid w:val="007669DA"/>
    <w:rsid w:val="00770630"/>
    <w:rsid w:val="00777BEF"/>
    <w:rsid w:val="007B319F"/>
    <w:rsid w:val="007C43F9"/>
    <w:rsid w:val="007D4496"/>
    <w:rsid w:val="007D4ED7"/>
    <w:rsid w:val="007D7BDB"/>
    <w:rsid w:val="007E33AB"/>
    <w:rsid w:val="007E57E4"/>
    <w:rsid w:val="007F368C"/>
    <w:rsid w:val="007F46A2"/>
    <w:rsid w:val="007F6A2C"/>
    <w:rsid w:val="007F6B05"/>
    <w:rsid w:val="0080453F"/>
    <w:rsid w:val="00814126"/>
    <w:rsid w:val="00815B30"/>
    <w:rsid w:val="00825330"/>
    <w:rsid w:val="008260E7"/>
    <w:rsid w:val="00831713"/>
    <w:rsid w:val="00835809"/>
    <w:rsid w:val="008361DD"/>
    <w:rsid w:val="008401A4"/>
    <w:rsid w:val="008423BF"/>
    <w:rsid w:val="00855F48"/>
    <w:rsid w:val="00856851"/>
    <w:rsid w:val="00857757"/>
    <w:rsid w:val="008746F6"/>
    <w:rsid w:val="008764F2"/>
    <w:rsid w:val="008842C2"/>
    <w:rsid w:val="0088754C"/>
    <w:rsid w:val="008932BA"/>
    <w:rsid w:val="00894842"/>
    <w:rsid w:val="008A07DE"/>
    <w:rsid w:val="008A3526"/>
    <w:rsid w:val="008B041E"/>
    <w:rsid w:val="008C4474"/>
    <w:rsid w:val="008C4BE1"/>
    <w:rsid w:val="008D601E"/>
    <w:rsid w:val="008D7484"/>
    <w:rsid w:val="008E52F7"/>
    <w:rsid w:val="008E6FB7"/>
    <w:rsid w:val="008F54CB"/>
    <w:rsid w:val="008F5E6E"/>
    <w:rsid w:val="00900D4F"/>
    <w:rsid w:val="009035CF"/>
    <w:rsid w:val="00904F18"/>
    <w:rsid w:val="00914408"/>
    <w:rsid w:val="00917743"/>
    <w:rsid w:val="009314A6"/>
    <w:rsid w:val="009314C1"/>
    <w:rsid w:val="0093352F"/>
    <w:rsid w:val="009341F9"/>
    <w:rsid w:val="00950010"/>
    <w:rsid w:val="00951B4B"/>
    <w:rsid w:val="00952E98"/>
    <w:rsid w:val="00957207"/>
    <w:rsid w:val="00960E55"/>
    <w:rsid w:val="0096182D"/>
    <w:rsid w:val="009634BB"/>
    <w:rsid w:val="00966906"/>
    <w:rsid w:val="00971CF7"/>
    <w:rsid w:val="00976DB1"/>
    <w:rsid w:val="00985113"/>
    <w:rsid w:val="00987FE7"/>
    <w:rsid w:val="00993EF2"/>
    <w:rsid w:val="0099500E"/>
    <w:rsid w:val="009A0109"/>
    <w:rsid w:val="009A3A11"/>
    <w:rsid w:val="009A4372"/>
    <w:rsid w:val="009B2FD6"/>
    <w:rsid w:val="009C1C38"/>
    <w:rsid w:val="009C21B5"/>
    <w:rsid w:val="009C4909"/>
    <w:rsid w:val="009D4F9E"/>
    <w:rsid w:val="009D7E99"/>
    <w:rsid w:val="009E490F"/>
    <w:rsid w:val="009E6704"/>
    <w:rsid w:val="009F0B03"/>
    <w:rsid w:val="009F37EF"/>
    <w:rsid w:val="00A14351"/>
    <w:rsid w:val="00A205CD"/>
    <w:rsid w:val="00A40ABD"/>
    <w:rsid w:val="00A51060"/>
    <w:rsid w:val="00A5219E"/>
    <w:rsid w:val="00A537AF"/>
    <w:rsid w:val="00A723E1"/>
    <w:rsid w:val="00A7506F"/>
    <w:rsid w:val="00A75577"/>
    <w:rsid w:val="00A765A3"/>
    <w:rsid w:val="00A90CB2"/>
    <w:rsid w:val="00A93246"/>
    <w:rsid w:val="00AA35FB"/>
    <w:rsid w:val="00AB4DC5"/>
    <w:rsid w:val="00AB7926"/>
    <w:rsid w:val="00AC23E0"/>
    <w:rsid w:val="00AC46A5"/>
    <w:rsid w:val="00AC4CFF"/>
    <w:rsid w:val="00AC6DA4"/>
    <w:rsid w:val="00AD599A"/>
    <w:rsid w:val="00AE044D"/>
    <w:rsid w:val="00AF0A2C"/>
    <w:rsid w:val="00AF1786"/>
    <w:rsid w:val="00B0246F"/>
    <w:rsid w:val="00B026F1"/>
    <w:rsid w:val="00B04A0A"/>
    <w:rsid w:val="00B117EB"/>
    <w:rsid w:val="00B13AEA"/>
    <w:rsid w:val="00B13E69"/>
    <w:rsid w:val="00B160BE"/>
    <w:rsid w:val="00B20496"/>
    <w:rsid w:val="00B21EE6"/>
    <w:rsid w:val="00B33B67"/>
    <w:rsid w:val="00B423C0"/>
    <w:rsid w:val="00B53869"/>
    <w:rsid w:val="00B57E37"/>
    <w:rsid w:val="00B648DC"/>
    <w:rsid w:val="00B732C3"/>
    <w:rsid w:val="00B734D5"/>
    <w:rsid w:val="00B763AF"/>
    <w:rsid w:val="00B85476"/>
    <w:rsid w:val="00BA17DD"/>
    <w:rsid w:val="00BB4C0F"/>
    <w:rsid w:val="00BB694D"/>
    <w:rsid w:val="00BB77C8"/>
    <w:rsid w:val="00BC2189"/>
    <w:rsid w:val="00BD12D2"/>
    <w:rsid w:val="00BD3229"/>
    <w:rsid w:val="00BD4617"/>
    <w:rsid w:val="00BD5948"/>
    <w:rsid w:val="00BE0831"/>
    <w:rsid w:val="00BE6E3D"/>
    <w:rsid w:val="00BE7C5D"/>
    <w:rsid w:val="00BF45C9"/>
    <w:rsid w:val="00BF75F9"/>
    <w:rsid w:val="00C14262"/>
    <w:rsid w:val="00C24CF9"/>
    <w:rsid w:val="00C33913"/>
    <w:rsid w:val="00C366E4"/>
    <w:rsid w:val="00C416DE"/>
    <w:rsid w:val="00C4388E"/>
    <w:rsid w:val="00C46992"/>
    <w:rsid w:val="00C4701C"/>
    <w:rsid w:val="00C53758"/>
    <w:rsid w:val="00C6397C"/>
    <w:rsid w:val="00C63EE1"/>
    <w:rsid w:val="00C73BFA"/>
    <w:rsid w:val="00C84049"/>
    <w:rsid w:val="00C86560"/>
    <w:rsid w:val="00C90BF8"/>
    <w:rsid w:val="00C90DC6"/>
    <w:rsid w:val="00C911F9"/>
    <w:rsid w:val="00C92282"/>
    <w:rsid w:val="00C943FC"/>
    <w:rsid w:val="00CA11C8"/>
    <w:rsid w:val="00CA4521"/>
    <w:rsid w:val="00CB216E"/>
    <w:rsid w:val="00CB2739"/>
    <w:rsid w:val="00CB4338"/>
    <w:rsid w:val="00CC2C16"/>
    <w:rsid w:val="00CC5377"/>
    <w:rsid w:val="00CE5774"/>
    <w:rsid w:val="00CF114C"/>
    <w:rsid w:val="00CF1923"/>
    <w:rsid w:val="00D006ED"/>
    <w:rsid w:val="00D01183"/>
    <w:rsid w:val="00D05000"/>
    <w:rsid w:val="00D056B0"/>
    <w:rsid w:val="00D178DA"/>
    <w:rsid w:val="00D30133"/>
    <w:rsid w:val="00D30F93"/>
    <w:rsid w:val="00D36A0A"/>
    <w:rsid w:val="00D42F0F"/>
    <w:rsid w:val="00D44BB8"/>
    <w:rsid w:val="00D46900"/>
    <w:rsid w:val="00D5069C"/>
    <w:rsid w:val="00D52C86"/>
    <w:rsid w:val="00D609E3"/>
    <w:rsid w:val="00D61A9D"/>
    <w:rsid w:val="00D61E75"/>
    <w:rsid w:val="00D62C17"/>
    <w:rsid w:val="00D71A07"/>
    <w:rsid w:val="00D8589B"/>
    <w:rsid w:val="00D87E3E"/>
    <w:rsid w:val="00D90F5B"/>
    <w:rsid w:val="00D9199C"/>
    <w:rsid w:val="00D948CA"/>
    <w:rsid w:val="00D963C5"/>
    <w:rsid w:val="00DB201C"/>
    <w:rsid w:val="00DD27FE"/>
    <w:rsid w:val="00DE179F"/>
    <w:rsid w:val="00DE21A9"/>
    <w:rsid w:val="00DF2C31"/>
    <w:rsid w:val="00DF3FA3"/>
    <w:rsid w:val="00E11561"/>
    <w:rsid w:val="00E13930"/>
    <w:rsid w:val="00E166DF"/>
    <w:rsid w:val="00E21273"/>
    <w:rsid w:val="00E34026"/>
    <w:rsid w:val="00E34566"/>
    <w:rsid w:val="00E47CFC"/>
    <w:rsid w:val="00E522E8"/>
    <w:rsid w:val="00E5579B"/>
    <w:rsid w:val="00E70CD5"/>
    <w:rsid w:val="00E70CFA"/>
    <w:rsid w:val="00E73CE1"/>
    <w:rsid w:val="00E8222A"/>
    <w:rsid w:val="00E92F59"/>
    <w:rsid w:val="00E93519"/>
    <w:rsid w:val="00E96DD0"/>
    <w:rsid w:val="00EA01AC"/>
    <w:rsid w:val="00EA3BD8"/>
    <w:rsid w:val="00EA6277"/>
    <w:rsid w:val="00EB633F"/>
    <w:rsid w:val="00ED6799"/>
    <w:rsid w:val="00EE3C87"/>
    <w:rsid w:val="00EE4407"/>
    <w:rsid w:val="00EE5AB3"/>
    <w:rsid w:val="00EF0C85"/>
    <w:rsid w:val="00EF2664"/>
    <w:rsid w:val="00EF3C32"/>
    <w:rsid w:val="00F01528"/>
    <w:rsid w:val="00F01B5D"/>
    <w:rsid w:val="00F029F6"/>
    <w:rsid w:val="00F13C5F"/>
    <w:rsid w:val="00F15DB1"/>
    <w:rsid w:val="00F20113"/>
    <w:rsid w:val="00F31350"/>
    <w:rsid w:val="00F31F2B"/>
    <w:rsid w:val="00F333A9"/>
    <w:rsid w:val="00F34B2A"/>
    <w:rsid w:val="00F439B8"/>
    <w:rsid w:val="00F444AE"/>
    <w:rsid w:val="00F45204"/>
    <w:rsid w:val="00F457AC"/>
    <w:rsid w:val="00F542ED"/>
    <w:rsid w:val="00F67547"/>
    <w:rsid w:val="00F73AEF"/>
    <w:rsid w:val="00F76100"/>
    <w:rsid w:val="00F7738B"/>
    <w:rsid w:val="00F77C99"/>
    <w:rsid w:val="00F8619E"/>
    <w:rsid w:val="00FA036E"/>
    <w:rsid w:val="00FB6064"/>
    <w:rsid w:val="00FD37CC"/>
    <w:rsid w:val="00FD45D8"/>
    <w:rsid w:val="00FD4B1A"/>
    <w:rsid w:val="00FD4C94"/>
    <w:rsid w:val="00FE4B36"/>
    <w:rsid w:val="00FE6C96"/>
    <w:rsid w:val="00FE75F9"/>
    <w:rsid w:val="00FF030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DEB20"/>
  <w15:docId w15:val="{17146115-7A07-401F-AF33-0C75AF90D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1B4B"/>
    <w:rPr>
      <w:color w:val="0000FF" w:themeColor="hyperlink"/>
      <w:u w:val="single"/>
    </w:rPr>
  </w:style>
  <w:style w:type="paragraph" w:styleId="Header">
    <w:name w:val="header"/>
    <w:basedOn w:val="Normal"/>
    <w:link w:val="HeaderChar"/>
    <w:uiPriority w:val="99"/>
    <w:unhideWhenUsed/>
    <w:rsid w:val="00B0246F"/>
    <w:pPr>
      <w:tabs>
        <w:tab w:val="center" w:pos="4252"/>
        <w:tab w:val="right" w:pos="8504"/>
      </w:tabs>
      <w:spacing w:after="0" w:line="240" w:lineRule="auto"/>
    </w:pPr>
  </w:style>
  <w:style w:type="character" w:customStyle="1" w:styleId="HeaderChar">
    <w:name w:val="Header Char"/>
    <w:basedOn w:val="DefaultParagraphFont"/>
    <w:link w:val="Header"/>
    <w:uiPriority w:val="99"/>
    <w:rsid w:val="00B0246F"/>
  </w:style>
  <w:style w:type="paragraph" w:styleId="Footer">
    <w:name w:val="footer"/>
    <w:basedOn w:val="Normal"/>
    <w:link w:val="FooterChar"/>
    <w:uiPriority w:val="99"/>
    <w:unhideWhenUsed/>
    <w:rsid w:val="00B0246F"/>
    <w:pPr>
      <w:tabs>
        <w:tab w:val="center" w:pos="4252"/>
        <w:tab w:val="right" w:pos="8504"/>
      </w:tabs>
      <w:spacing w:after="0" w:line="240" w:lineRule="auto"/>
    </w:pPr>
  </w:style>
  <w:style w:type="character" w:customStyle="1" w:styleId="FooterChar">
    <w:name w:val="Footer Char"/>
    <w:basedOn w:val="DefaultParagraphFont"/>
    <w:link w:val="Footer"/>
    <w:uiPriority w:val="99"/>
    <w:rsid w:val="00B0246F"/>
  </w:style>
  <w:style w:type="paragraph" w:styleId="ListParagraph">
    <w:name w:val="List Paragraph"/>
    <w:basedOn w:val="Normal"/>
    <w:uiPriority w:val="34"/>
    <w:qFormat/>
    <w:rsid w:val="00476061"/>
    <w:pPr>
      <w:ind w:left="720"/>
      <w:contextualSpacing/>
    </w:pPr>
  </w:style>
  <w:style w:type="table" w:styleId="TableGrid">
    <w:name w:val="Table Grid"/>
    <w:basedOn w:val="TableNormal"/>
    <w:uiPriority w:val="59"/>
    <w:rsid w:val="00B763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763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63AF"/>
    <w:rPr>
      <w:rFonts w:ascii="Tahoma" w:hAnsi="Tahoma" w:cs="Tahoma"/>
      <w:sz w:val="16"/>
      <w:szCs w:val="16"/>
    </w:rPr>
  </w:style>
  <w:style w:type="character" w:styleId="CommentReference">
    <w:name w:val="annotation reference"/>
    <w:basedOn w:val="DefaultParagraphFont"/>
    <w:uiPriority w:val="99"/>
    <w:semiHidden/>
    <w:unhideWhenUsed/>
    <w:rsid w:val="00702539"/>
    <w:rPr>
      <w:sz w:val="16"/>
      <w:szCs w:val="16"/>
    </w:rPr>
  </w:style>
  <w:style w:type="paragraph" w:styleId="CommentText">
    <w:name w:val="annotation text"/>
    <w:basedOn w:val="Normal"/>
    <w:link w:val="CommentTextChar"/>
    <w:uiPriority w:val="99"/>
    <w:semiHidden/>
    <w:unhideWhenUsed/>
    <w:rsid w:val="00702539"/>
    <w:pPr>
      <w:spacing w:line="240" w:lineRule="auto"/>
    </w:pPr>
    <w:rPr>
      <w:sz w:val="20"/>
      <w:szCs w:val="20"/>
    </w:rPr>
  </w:style>
  <w:style w:type="character" w:customStyle="1" w:styleId="CommentTextChar">
    <w:name w:val="Comment Text Char"/>
    <w:basedOn w:val="DefaultParagraphFont"/>
    <w:link w:val="CommentText"/>
    <w:uiPriority w:val="99"/>
    <w:semiHidden/>
    <w:rsid w:val="00702539"/>
    <w:rPr>
      <w:sz w:val="20"/>
      <w:szCs w:val="20"/>
    </w:rPr>
  </w:style>
  <w:style w:type="paragraph" w:styleId="CommentSubject">
    <w:name w:val="annotation subject"/>
    <w:basedOn w:val="CommentText"/>
    <w:next w:val="CommentText"/>
    <w:link w:val="CommentSubjectChar"/>
    <w:uiPriority w:val="99"/>
    <w:semiHidden/>
    <w:unhideWhenUsed/>
    <w:rsid w:val="00702539"/>
    <w:rPr>
      <w:b/>
      <w:bCs/>
    </w:rPr>
  </w:style>
  <w:style w:type="character" w:customStyle="1" w:styleId="CommentSubjectChar">
    <w:name w:val="Comment Subject Char"/>
    <w:basedOn w:val="CommentTextChar"/>
    <w:link w:val="CommentSubject"/>
    <w:uiPriority w:val="99"/>
    <w:semiHidden/>
    <w:rsid w:val="00702539"/>
    <w:rPr>
      <w:b/>
      <w:bCs/>
      <w:sz w:val="20"/>
      <w:szCs w:val="20"/>
    </w:rPr>
  </w:style>
  <w:style w:type="paragraph" w:styleId="FootnoteText">
    <w:name w:val="footnote text"/>
    <w:basedOn w:val="Normal"/>
    <w:link w:val="FootnoteTextChar"/>
    <w:uiPriority w:val="99"/>
    <w:semiHidden/>
    <w:unhideWhenUsed/>
    <w:rsid w:val="008361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361DD"/>
    <w:rPr>
      <w:sz w:val="20"/>
      <w:szCs w:val="20"/>
    </w:rPr>
  </w:style>
  <w:style w:type="character" w:styleId="FootnoteReference">
    <w:name w:val="footnote reference"/>
    <w:basedOn w:val="DefaultParagraphFont"/>
    <w:uiPriority w:val="99"/>
    <w:semiHidden/>
    <w:unhideWhenUsed/>
    <w:rsid w:val="008361DD"/>
    <w:rPr>
      <w:vertAlign w:val="superscript"/>
    </w:rPr>
  </w:style>
  <w:style w:type="paragraph" w:styleId="Bibliography">
    <w:name w:val="Bibliography"/>
    <w:basedOn w:val="Normal"/>
    <w:next w:val="Normal"/>
    <w:uiPriority w:val="37"/>
    <w:unhideWhenUsed/>
    <w:rsid w:val="009C21B5"/>
    <w:pPr>
      <w:tabs>
        <w:tab w:val="left" w:pos="504"/>
      </w:tabs>
      <w:spacing w:after="240" w:line="240" w:lineRule="auto"/>
      <w:ind w:left="504" w:hanging="50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927789">
      <w:bodyDiv w:val="1"/>
      <w:marLeft w:val="0"/>
      <w:marRight w:val="0"/>
      <w:marTop w:val="0"/>
      <w:marBottom w:val="0"/>
      <w:divBdr>
        <w:top w:val="none" w:sz="0" w:space="0" w:color="auto"/>
        <w:left w:val="none" w:sz="0" w:space="0" w:color="auto"/>
        <w:bottom w:val="none" w:sz="0" w:space="0" w:color="auto"/>
        <w:right w:val="none" w:sz="0" w:space="0" w:color="auto"/>
      </w:divBdr>
    </w:div>
    <w:div w:id="463159772">
      <w:bodyDiv w:val="1"/>
      <w:marLeft w:val="0"/>
      <w:marRight w:val="0"/>
      <w:marTop w:val="0"/>
      <w:marBottom w:val="0"/>
      <w:divBdr>
        <w:top w:val="none" w:sz="0" w:space="0" w:color="auto"/>
        <w:left w:val="none" w:sz="0" w:space="0" w:color="auto"/>
        <w:bottom w:val="none" w:sz="0" w:space="0" w:color="auto"/>
        <w:right w:val="none" w:sz="0" w:space="0" w:color="auto"/>
      </w:divBdr>
    </w:div>
    <w:div w:id="587276125">
      <w:bodyDiv w:val="1"/>
      <w:marLeft w:val="0"/>
      <w:marRight w:val="0"/>
      <w:marTop w:val="0"/>
      <w:marBottom w:val="0"/>
      <w:divBdr>
        <w:top w:val="none" w:sz="0" w:space="0" w:color="auto"/>
        <w:left w:val="none" w:sz="0" w:space="0" w:color="auto"/>
        <w:bottom w:val="none" w:sz="0" w:space="0" w:color="auto"/>
        <w:right w:val="none" w:sz="0" w:space="0" w:color="auto"/>
      </w:divBdr>
    </w:div>
    <w:div w:id="1440904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1CDEC-3739-4404-9BCB-A0F1D9E17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2210</Words>
  <Characters>12601</Characters>
  <Application>Microsoft Office Word</Application>
  <DocSecurity>0</DocSecurity>
  <Lines>105</Lines>
  <Paragraphs>29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Osakidetza</Company>
  <LinksUpToDate>false</LinksUpToDate>
  <CharactersWithSpaces>14782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JAVIER MAR MEDINA</dc:creator>
  <cp:lastModifiedBy>Bhim Bahadur Subba</cp:lastModifiedBy>
  <cp:revision>2</cp:revision>
  <cp:lastPrinted>2018-05-23T10:25:00Z</cp:lastPrinted>
  <dcterms:created xsi:type="dcterms:W3CDTF">2018-10-23T05:21:00Z</dcterms:created>
  <dcterms:modified xsi:type="dcterms:W3CDTF">2018-10-23T05:21:00Z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zotero-version="5.0.47"&gt;&lt;session id="cNRWHYco"/&gt;&lt;style id="http://www.zotero.org/styles/gaceta-sanitaria" hasBibliography="1" bibliographyStyleHasBeenSet="1"/&gt;&lt;prefs&gt;&lt;pref name="fieldType" value="Field"/&gt;&lt;pref name="automaticJournal</vt:lpwstr>
  </property>
  <property fmtid="{D5CDD505-2E9C-101B-9397-08002B2CF9AE}" pid="3" name="ZOTERO_PREF_2">
    <vt:lpwstr>Abbreviations" value="true"/&gt;&lt;pref name="dontAskDelayCitationUpdates" value="true"/&gt;&lt;/prefs&gt;&lt;/data&gt;</vt:lpwstr>
  </property>
</Properties>
</file>