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44" w:rsidRPr="00972A6B" w:rsidRDefault="00DE2A44" w:rsidP="00DE2A44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DE2A44" w:rsidRDefault="00DE2A44" w:rsidP="00DE2A44">
      <w:pPr>
        <w:pStyle w:val="Heading1"/>
        <w:numPr>
          <w:ilvl w:val="0"/>
          <w:numId w:val="0"/>
        </w:numPr>
        <w:ind w:left="432"/>
      </w:pPr>
      <w:bookmarkStart w:id="1" w:name="_Toc483987509"/>
      <w:r>
        <w:t>A</w:t>
      </w:r>
      <w:r w:rsidR="00AA17DE">
        <w:t>péndice</w:t>
      </w:r>
      <w:bookmarkEnd w:id="1"/>
    </w:p>
    <w:p w:rsidR="00AA17DE" w:rsidRDefault="00AA17DE" w:rsidP="00DE2A44">
      <w:pPr>
        <w:pStyle w:val="Heading2"/>
        <w:numPr>
          <w:ilvl w:val="0"/>
          <w:numId w:val="0"/>
        </w:numPr>
        <w:ind w:firstLine="432"/>
        <w:rPr>
          <w:i w:val="0"/>
        </w:rPr>
      </w:pPr>
      <w:bookmarkStart w:id="2" w:name="_Toc483987510"/>
    </w:p>
    <w:p w:rsidR="00AA17DE" w:rsidRPr="00E55F9F" w:rsidRDefault="00DE2A44" w:rsidP="00DE2A44">
      <w:pPr>
        <w:pStyle w:val="Heading2"/>
        <w:numPr>
          <w:ilvl w:val="0"/>
          <w:numId w:val="0"/>
        </w:numPr>
        <w:ind w:firstLine="432"/>
        <w:rPr>
          <w:b/>
          <w:i w:val="0"/>
        </w:rPr>
      </w:pPr>
      <w:r w:rsidRPr="00E55F9F">
        <w:rPr>
          <w:b/>
          <w:i w:val="0"/>
        </w:rPr>
        <w:t>Tabla I</w:t>
      </w:r>
    </w:p>
    <w:p w:rsidR="00DE2A44" w:rsidRPr="00E55F9F" w:rsidRDefault="00DE2A44" w:rsidP="00DE2A44">
      <w:pPr>
        <w:pStyle w:val="Heading2"/>
        <w:numPr>
          <w:ilvl w:val="0"/>
          <w:numId w:val="0"/>
        </w:numPr>
        <w:ind w:firstLine="432"/>
        <w:rPr>
          <w:i w:val="0"/>
        </w:rPr>
      </w:pPr>
      <w:r w:rsidRPr="00E55F9F">
        <w:rPr>
          <w:i w:val="0"/>
        </w:rPr>
        <w:t xml:space="preserve">Detalle </w:t>
      </w:r>
      <w:r w:rsidR="00AA17DE">
        <w:rPr>
          <w:i w:val="0"/>
        </w:rPr>
        <w:t xml:space="preserve">de las </w:t>
      </w:r>
      <w:r w:rsidRPr="00E55F9F">
        <w:rPr>
          <w:i w:val="0"/>
        </w:rPr>
        <w:t xml:space="preserve">causas de mortalidad estudiadas codificadas según </w:t>
      </w:r>
      <w:r w:rsidR="00AA17DE">
        <w:rPr>
          <w:i w:val="0"/>
        </w:rPr>
        <w:t xml:space="preserve">la </w:t>
      </w:r>
      <w:r w:rsidRPr="00E55F9F">
        <w:rPr>
          <w:i w:val="0"/>
        </w:rPr>
        <w:t>CIE-10</w:t>
      </w:r>
      <w:r w:rsidRPr="00E55F9F">
        <w:rPr>
          <w:i w:val="0"/>
          <w:vertAlign w:val="superscript"/>
        </w:rPr>
        <w:fldChar w:fldCharType="begin" w:fldLock="1"/>
      </w:r>
      <w:r w:rsidRPr="00E55F9F">
        <w:rPr>
          <w:i w:val="0"/>
          <w:vertAlign w:val="superscript"/>
        </w:rPr>
        <w:instrText>ADDIN Docear CSL_CITATION</w:instrText>
      </w:r>
      <w:r w:rsidRPr="00E55F9F">
        <w:rPr>
          <w:i w:val="0"/>
          <w:vertAlign w:val="superscript"/>
        </w:rPr>
        <w:br/>
        <w:instrText>THIS CITATION DATA SHOULD NOT BE MANUALLY MODIFIED!!!</w:instrText>
      </w:r>
      <w:r w:rsidRPr="00E55F9F">
        <w:rPr>
          <w:i w:val="0"/>
          <w:vertAlign w:val="superscript"/>
        </w:rPr>
        <w:br/>
        <w:instrText>{</w:instrText>
      </w:r>
      <w:r w:rsidRPr="00E55F9F">
        <w:rPr>
          <w:i w:val="0"/>
          <w:vertAlign w:val="superscript"/>
        </w:rPr>
        <w:br/>
        <w:instrText xml:space="preserve"> "schema": "https://raw.github.com/citation-style-language/schema/master/csl-citation.json",</w:instrText>
      </w:r>
      <w:r w:rsidRPr="00E55F9F">
        <w:rPr>
          <w:i w:val="0"/>
          <w:vertAlign w:val="superscript"/>
        </w:rPr>
        <w:br/>
        <w:instrText xml:space="preserve"> "citationID": "{a57cbb37-1941-412a-8ad1-8db882bb0ab2}",</w:instrText>
      </w:r>
      <w:r w:rsidRPr="00E55F9F">
        <w:rPr>
          <w:i w:val="0"/>
          <w:vertAlign w:val="superscript"/>
        </w:rPr>
        <w:br/>
        <w:instrText xml:space="preserve"> "properties": {</w:instrText>
      </w:r>
      <w:r w:rsidRPr="00E55F9F">
        <w:rPr>
          <w:i w:val="0"/>
          <w:vertAlign w:val="superscript"/>
        </w:rPr>
        <w:br/>
        <w:instrText xml:space="preserve">  "noteIndex": 0</w:instrText>
      </w:r>
      <w:r w:rsidRPr="00E55F9F">
        <w:rPr>
          <w:i w:val="0"/>
          <w:vertAlign w:val="superscript"/>
        </w:rPr>
        <w:br/>
        <w:instrText xml:space="preserve"> },</w:instrText>
      </w:r>
      <w:r w:rsidRPr="00E55F9F">
        <w:rPr>
          <w:i w:val="0"/>
          <w:vertAlign w:val="superscript"/>
        </w:rPr>
        <w:br/>
        <w:instrText xml:space="preserve"> "citationItems": [</w:instrText>
      </w:r>
      <w:r w:rsidRPr="00E55F9F">
        <w:rPr>
          <w:i w:val="0"/>
          <w:vertAlign w:val="superscript"/>
        </w:rPr>
        <w:br/>
        <w:instrText xml:space="preserve">  {</w:instrText>
      </w:r>
      <w:r w:rsidRPr="00E55F9F">
        <w:rPr>
          <w:i w:val="0"/>
          <w:vertAlign w:val="superscript"/>
        </w:rPr>
        <w:br/>
        <w:instrText xml:space="preserve">   "id": "2017",</w:instrText>
      </w:r>
      <w:r w:rsidRPr="00E55F9F">
        <w:rPr>
          <w:i w:val="0"/>
          <w:vertAlign w:val="superscript"/>
        </w:rPr>
        <w:br/>
        <w:instrText xml:space="preserve">   "item": {</w:instrText>
      </w:r>
      <w:r w:rsidRPr="00E55F9F">
        <w:rPr>
          <w:i w:val="0"/>
          <w:vertAlign w:val="superscript"/>
        </w:rPr>
        <w:br/>
        <w:instrText xml:space="preserve">    "id": "2017",</w:instrText>
      </w:r>
      <w:r w:rsidRPr="00E55F9F">
        <w:rPr>
          <w:i w:val="0"/>
          <w:vertAlign w:val="superscript"/>
        </w:rPr>
        <w:br/>
        <w:instrText xml:space="preserve">    "type": "webPage",</w:instrText>
      </w:r>
      <w:r w:rsidRPr="00E55F9F">
        <w:rPr>
          <w:i w:val="0"/>
          <w:vertAlign w:val="superscript"/>
        </w:rPr>
        <w:br/>
        <w:instrText xml:space="preserve">    "URL": "http://icdcode.info/espanol/",</w:instrText>
      </w:r>
      <w:r w:rsidRPr="00E55F9F">
        <w:rPr>
          <w:i w:val="0"/>
          <w:vertAlign w:val="superscript"/>
        </w:rPr>
        <w:br/>
        <w:instrText xml:space="preserve">    "title": "ICDcode.info",</w:instrText>
      </w:r>
      <w:r w:rsidRPr="00E55F9F">
        <w:rPr>
          <w:i w:val="0"/>
          <w:vertAlign w:val="superscript"/>
        </w:rPr>
        <w:br/>
        <w:instrText xml:space="preserve">    "issued": {</w:instrText>
      </w:r>
      <w:r w:rsidRPr="00E55F9F">
        <w:rPr>
          <w:i w:val="0"/>
          <w:vertAlign w:val="superscript"/>
        </w:rPr>
        <w:br/>
        <w:instrText xml:space="preserve">     "date-parts": [</w:instrText>
      </w:r>
      <w:r w:rsidRPr="00E55F9F">
        <w:rPr>
          <w:i w:val="0"/>
          <w:vertAlign w:val="superscript"/>
        </w:rPr>
        <w:br/>
        <w:instrText xml:space="preserve">      [</w:instrText>
      </w:r>
      <w:r w:rsidRPr="00E55F9F">
        <w:rPr>
          <w:i w:val="0"/>
          <w:vertAlign w:val="superscript"/>
        </w:rPr>
        <w:br/>
        <w:instrText xml:space="preserve">       2017</w:instrText>
      </w:r>
      <w:r w:rsidRPr="00E55F9F">
        <w:rPr>
          <w:i w:val="0"/>
          <w:vertAlign w:val="superscript"/>
        </w:rPr>
        <w:br/>
        <w:instrText xml:space="preserve">      ]</w:instrText>
      </w:r>
      <w:r w:rsidRPr="00E55F9F">
        <w:rPr>
          <w:i w:val="0"/>
          <w:vertAlign w:val="superscript"/>
        </w:rPr>
        <w:br/>
        <w:instrText xml:space="preserve">     ]</w:instrText>
      </w:r>
      <w:r w:rsidRPr="00E55F9F">
        <w:rPr>
          <w:i w:val="0"/>
          <w:vertAlign w:val="superscript"/>
        </w:rPr>
        <w:br/>
        <w:instrText xml:space="preserve">    }</w:instrText>
      </w:r>
      <w:r w:rsidRPr="00E55F9F">
        <w:rPr>
          <w:i w:val="0"/>
          <w:vertAlign w:val="superscript"/>
        </w:rPr>
        <w:br/>
        <w:instrText xml:space="preserve">   }</w:instrText>
      </w:r>
      <w:r w:rsidRPr="00E55F9F">
        <w:rPr>
          <w:i w:val="0"/>
          <w:vertAlign w:val="superscript"/>
        </w:rPr>
        <w:br/>
        <w:instrText xml:space="preserve">  }</w:instrText>
      </w:r>
      <w:r w:rsidRPr="00E55F9F">
        <w:rPr>
          <w:i w:val="0"/>
          <w:vertAlign w:val="superscript"/>
        </w:rPr>
        <w:br/>
        <w:instrText xml:space="preserve"> ]</w:instrText>
      </w:r>
      <w:r w:rsidRPr="00E55F9F">
        <w:rPr>
          <w:i w:val="0"/>
          <w:vertAlign w:val="superscript"/>
        </w:rPr>
        <w:br/>
        <w:instrText>}</w:instrText>
      </w:r>
      <w:r w:rsidRPr="00E55F9F">
        <w:rPr>
          <w:i w:val="0"/>
          <w:vertAlign w:val="superscript"/>
        </w:rPr>
        <w:br/>
      </w:r>
      <w:r w:rsidRPr="00E55F9F">
        <w:rPr>
          <w:i w:val="0"/>
          <w:vertAlign w:val="superscript"/>
        </w:rPr>
        <w:fldChar w:fldCharType="separate"/>
      </w:r>
      <w:r w:rsidRPr="00AA17DE">
        <w:rPr>
          <w:i w:val="0"/>
          <w:noProof/>
          <w:vertAlign w:val="superscript"/>
        </w:rPr>
        <w:t>30</w:t>
      </w:r>
      <w:bookmarkEnd w:id="2"/>
      <w:r w:rsidRPr="00E55F9F">
        <w:rPr>
          <w:i w:val="0"/>
          <w:vertAlign w:val="superscript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676"/>
        <w:gridCol w:w="8753"/>
      </w:tblGrid>
      <w:tr w:rsidR="00DE2A44" w:rsidRPr="00AC6F47" w:rsidTr="00D11B27">
        <w:trPr>
          <w:trHeight w:val="166"/>
          <w:tblHeader/>
        </w:trPr>
        <w:tc>
          <w:tcPr>
            <w:tcW w:w="201" w:type="pct"/>
            <w:shd w:val="clear" w:color="auto" w:fill="auto"/>
            <w:noWrap/>
            <w:vAlign w:val="center"/>
          </w:tcPr>
          <w:p w:rsidR="00DE2A44" w:rsidRPr="00AC6F47" w:rsidRDefault="00DE2A44" w:rsidP="00D11B27">
            <w:pPr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shd w:val="clear" w:color="auto" w:fill="auto"/>
            <w:noWrap/>
            <w:vAlign w:val="center"/>
          </w:tcPr>
          <w:p w:rsidR="00DE2A44" w:rsidRPr="00AC6F47" w:rsidRDefault="00AA17DE" w:rsidP="00D11B27">
            <w:pPr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AC6F47">
              <w:rPr>
                <w:b/>
                <w:color w:val="000000"/>
                <w:sz w:val="22"/>
                <w:szCs w:val="22"/>
              </w:rPr>
              <w:t>Causa de mortalidad</w:t>
            </w:r>
          </w:p>
        </w:tc>
        <w:tc>
          <w:tcPr>
            <w:tcW w:w="3128" w:type="pct"/>
            <w:shd w:val="clear" w:color="auto" w:fill="auto"/>
            <w:vAlign w:val="bottom"/>
          </w:tcPr>
          <w:p w:rsidR="00DE2A44" w:rsidRPr="00AC6F47" w:rsidRDefault="00AA17DE" w:rsidP="00D11B27">
            <w:pPr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AC6F47">
              <w:rPr>
                <w:b/>
                <w:color w:val="000000"/>
                <w:sz w:val="22"/>
                <w:szCs w:val="22"/>
              </w:rPr>
              <w:t>Descripción</w:t>
            </w:r>
          </w:p>
        </w:tc>
      </w:tr>
      <w:tr w:rsidR="00DE2A44" w:rsidRPr="00AC6F47" w:rsidTr="00D11B27">
        <w:trPr>
          <w:trHeight w:val="107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Y60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Corte, punción, perforación o hemorragia no intencional durante la atención médica y quirúrgica</w:t>
            </w:r>
          </w:p>
        </w:tc>
        <w:tc>
          <w:tcPr>
            <w:tcW w:w="3128" w:type="pct"/>
            <w:shd w:val="clear" w:color="auto" w:fill="auto"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Incidente durante operación quirúrgica, infusión o transfusión, diálisis renal u otra perfusión, inyección o inmunización, examen endoscópico, cateterización cardíaca, aspiración, punción y otra cateterización, administración de enema, otras atenciones médicas y quirúrgicas o atención médica y quirúrgica no especificada</w:t>
            </w:r>
          </w:p>
        </w:tc>
      </w:tr>
      <w:tr w:rsidR="00DE2A44" w:rsidRPr="00AC6F47" w:rsidTr="00D11B27">
        <w:trPr>
          <w:trHeight w:val="1133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Y61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Objeto extraño dejado accidentalmente en el cuerpo durante la atención médica y quirúrgica</w:t>
            </w:r>
          </w:p>
        </w:tc>
        <w:tc>
          <w:tcPr>
            <w:tcW w:w="3128" w:type="pct"/>
            <w:shd w:val="clear" w:color="auto" w:fill="auto"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Objeto extraño dejado accidentalmente en el cuerpo durante operación quirúrgica, infusión o transfusión, diálisis renal u otra perfusión, inyección o inmunización, examen endoscópico, cateterización cardíaca, aspiración, punción y otra cateterización, remoción de catéter o taponamiento, otras atenciones médicas y quirúrgicas o atención médica y quirúrgica no especificada</w:t>
            </w:r>
          </w:p>
        </w:tc>
      </w:tr>
      <w:tr w:rsidR="00DE2A44" w:rsidRPr="00AC6F47" w:rsidTr="00D11B27">
        <w:trPr>
          <w:trHeight w:val="1200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Y62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Fallas en la esterilización durante la atención médica y quirúrgica</w:t>
            </w:r>
          </w:p>
        </w:tc>
        <w:tc>
          <w:tcPr>
            <w:tcW w:w="3128" w:type="pct"/>
            <w:shd w:val="clear" w:color="auto" w:fill="auto"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Fallas en la esterilización durante operación quirúrgica, infusión o transfusión, diálisis renal u otra perfusión, inyección o inmunización, examen endoscópico, cateterización cardíaca, aspiración, punción y otra cateterización, otras atenciones médicas y quirúrgicas o atención médica y quirúrgica no especificada</w:t>
            </w:r>
          </w:p>
        </w:tc>
      </w:tr>
      <w:tr w:rsidR="00DE2A44" w:rsidRPr="00AC6F47" w:rsidTr="00D11B27">
        <w:trPr>
          <w:trHeight w:val="3000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lastRenderedPageBreak/>
              <w:t>Y63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Falla en la dosificación durante la atención médica y quirúrgica</w:t>
            </w:r>
          </w:p>
        </w:tc>
        <w:tc>
          <w:tcPr>
            <w:tcW w:w="3128" w:type="pct"/>
            <w:shd w:val="clear" w:color="auto" w:fill="auto"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Excesiva cantidad de sangre u otro líquido administrado durante una infusión o transfusión</w:t>
            </w:r>
            <w:r w:rsidRPr="00AC6F47">
              <w:rPr>
                <w:color w:val="000000"/>
                <w:sz w:val="22"/>
                <w:szCs w:val="22"/>
              </w:rPr>
              <w:br/>
              <w:t>Dilución incorrecta de líquido durante una infusión</w:t>
            </w:r>
            <w:r w:rsidRPr="00AC6F47">
              <w:rPr>
                <w:color w:val="000000"/>
                <w:sz w:val="22"/>
                <w:szCs w:val="22"/>
              </w:rPr>
              <w:br/>
              <w:t>Sobredosis de radiación administrada durante terapia</w:t>
            </w:r>
            <w:r w:rsidRPr="00AC6F47">
              <w:rPr>
                <w:color w:val="000000"/>
                <w:sz w:val="22"/>
                <w:szCs w:val="22"/>
              </w:rPr>
              <w:br/>
              <w:t>Exposición inadvertida del paciente a radiación durante la atención médica</w:t>
            </w:r>
            <w:r w:rsidRPr="00AC6F47">
              <w:rPr>
                <w:color w:val="000000"/>
                <w:sz w:val="22"/>
                <w:szCs w:val="22"/>
              </w:rPr>
              <w:br/>
              <w:t>Falla en la dosificación en electrochoque o en choque insulínico</w:t>
            </w:r>
            <w:r w:rsidRPr="00AC6F47">
              <w:rPr>
                <w:color w:val="000000"/>
                <w:sz w:val="22"/>
                <w:szCs w:val="22"/>
              </w:rPr>
              <w:br/>
              <w:t>Falla en el control de la temperatura, en taponamientos y aplicaciones locales</w:t>
            </w:r>
            <w:r w:rsidRPr="00AC6F47">
              <w:rPr>
                <w:color w:val="000000"/>
                <w:sz w:val="22"/>
                <w:szCs w:val="22"/>
              </w:rPr>
              <w:br/>
              <w:t>No administración de drogas, medicamentos o sustancias biológicas necesarias</w:t>
            </w:r>
            <w:r w:rsidRPr="00AC6F47">
              <w:rPr>
                <w:color w:val="000000"/>
                <w:sz w:val="22"/>
                <w:szCs w:val="22"/>
              </w:rPr>
              <w:br/>
              <w:t>Falla en la dosificación durante otras atenciones médicas y quirúrgicas</w:t>
            </w:r>
            <w:r w:rsidRPr="00AC6F47">
              <w:rPr>
                <w:color w:val="000000"/>
                <w:sz w:val="22"/>
                <w:szCs w:val="22"/>
              </w:rPr>
              <w:br/>
              <w:t>Falla en la dosificación durante atención médica y quirúrgica no especificada</w:t>
            </w:r>
            <w:r w:rsidRPr="00AC6F47">
              <w:rPr>
                <w:color w:val="000000"/>
                <w:sz w:val="22"/>
                <w:szCs w:val="22"/>
              </w:rPr>
              <w:br/>
            </w:r>
            <w:r w:rsidRPr="00AC6F47">
              <w:rPr>
                <w:b/>
                <w:bCs/>
                <w:color w:val="000000"/>
                <w:sz w:val="22"/>
                <w:szCs w:val="22"/>
              </w:rPr>
              <w:t>Excluye: sobredosis accidental de droga, o droga equivocada administrada por error (X40–X44)</w:t>
            </w:r>
          </w:p>
        </w:tc>
      </w:tr>
      <w:tr w:rsidR="00DE2A44" w:rsidRPr="00AC6F47" w:rsidTr="00D11B27">
        <w:trPr>
          <w:trHeight w:val="600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Y64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Medicamentos o sustancias biológicas contaminados</w:t>
            </w:r>
          </w:p>
        </w:tc>
        <w:tc>
          <w:tcPr>
            <w:tcW w:w="3128" w:type="pct"/>
            <w:shd w:val="clear" w:color="auto" w:fill="auto"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Medicamento o sustancia biológica contaminado en infusión o transfusión, inyectado o usado para inmunización, administrado por otros medios o por medios no especificados</w:t>
            </w:r>
          </w:p>
        </w:tc>
      </w:tr>
      <w:tr w:rsidR="00DE2A44" w:rsidRPr="00AC6F47" w:rsidTr="00D11B27">
        <w:trPr>
          <w:trHeight w:val="1903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Y65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Otros incidentes durante la atención médica y quirúrgica</w:t>
            </w:r>
          </w:p>
        </w:tc>
        <w:tc>
          <w:tcPr>
            <w:tcW w:w="3128" w:type="pct"/>
            <w:shd w:val="clear" w:color="auto" w:fill="auto"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Sangre incompatible usada en transfusión</w:t>
            </w:r>
            <w:r w:rsidRPr="00AC6F47">
              <w:rPr>
                <w:color w:val="000000"/>
                <w:sz w:val="22"/>
                <w:szCs w:val="22"/>
              </w:rPr>
              <w:br/>
              <w:t>Líquido erróneo usado en infusión</w:t>
            </w:r>
            <w:r w:rsidRPr="00AC6F47">
              <w:rPr>
                <w:color w:val="000000"/>
                <w:sz w:val="22"/>
                <w:szCs w:val="22"/>
              </w:rPr>
              <w:br/>
              <w:t>Falla en la sutura o ligadura durante operación quirúrgica</w:t>
            </w:r>
            <w:r w:rsidRPr="00AC6F47">
              <w:rPr>
                <w:color w:val="000000"/>
                <w:sz w:val="22"/>
                <w:szCs w:val="22"/>
              </w:rPr>
              <w:br/>
              <w:t>Tubo endotraqueal colocado erróneamente durante procedimiento anestésico</w:t>
            </w:r>
            <w:r w:rsidRPr="00AC6F47">
              <w:rPr>
                <w:color w:val="000000"/>
                <w:sz w:val="22"/>
                <w:szCs w:val="22"/>
              </w:rPr>
              <w:br/>
              <w:t>Falla en la introducción o remoción de otro tubo o instrumento</w:t>
            </w:r>
            <w:r w:rsidRPr="00AC6F47">
              <w:rPr>
                <w:color w:val="000000"/>
                <w:sz w:val="22"/>
                <w:szCs w:val="22"/>
              </w:rPr>
              <w:br/>
              <w:t>Realización de una operación inadecuada</w:t>
            </w:r>
            <w:r w:rsidRPr="00AC6F47">
              <w:rPr>
                <w:color w:val="000000"/>
                <w:sz w:val="22"/>
                <w:szCs w:val="22"/>
              </w:rPr>
              <w:br/>
              <w:t>Otros incidentes especificados durante la atención médica y quirúrgica</w:t>
            </w:r>
          </w:p>
        </w:tc>
      </w:tr>
      <w:tr w:rsidR="00DE2A44" w:rsidRPr="00AC6F47" w:rsidTr="00D11B27">
        <w:trPr>
          <w:trHeight w:val="300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Y66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No administración de la atención médica y quirúrgica</w:t>
            </w:r>
          </w:p>
        </w:tc>
        <w:tc>
          <w:tcPr>
            <w:tcW w:w="3128" w:type="pct"/>
            <w:shd w:val="clear" w:color="auto" w:fill="auto"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No administración o suspensión prematura de la atención médica y quirúrgica</w:t>
            </w:r>
          </w:p>
        </w:tc>
      </w:tr>
      <w:tr w:rsidR="00DE2A44" w:rsidRPr="00AC6F47" w:rsidTr="00D11B27">
        <w:trPr>
          <w:trHeight w:val="300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Y69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Incidentes no especificados durante la atención médica y quirúrgica</w:t>
            </w:r>
          </w:p>
        </w:tc>
        <w:tc>
          <w:tcPr>
            <w:tcW w:w="3128" w:type="pct"/>
            <w:shd w:val="clear" w:color="auto" w:fill="auto"/>
            <w:noWrap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E2A44" w:rsidRPr="00AC6F47" w:rsidTr="00D11B27">
        <w:trPr>
          <w:trHeight w:val="562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Y83</w:t>
            </w:r>
          </w:p>
        </w:tc>
        <w:tc>
          <w:tcPr>
            <w:tcW w:w="1671" w:type="pct"/>
            <w:shd w:val="clear" w:color="auto" w:fill="auto"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Cirugía y otros procedimientos quirúrgicos como la causa de reacción anormal del paciente o de complicación posterior, sin mención de incidente en el momento de efectuar el procedimiento</w:t>
            </w:r>
          </w:p>
        </w:tc>
        <w:tc>
          <w:tcPr>
            <w:tcW w:w="3128" w:type="pct"/>
            <w:shd w:val="clear" w:color="auto" w:fill="auto"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Operación quirúrgica con trasplante de un órgano completo, con implante de un dispositivo artificial interno,</w:t>
            </w:r>
            <w:r w:rsidR="00AA17DE">
              <w:rPr>
                <w:color w:val="000000"/>
                <w:sz w:val="22"/>
                <w:szCs w:val="22"/>
              </w:rPr>
              <w:t xml:space="preserve"> </w:t>
            </w:r>
            <w:r w:rsidRPr="00AC6F47">
              <w:rPr>
                <w:color w:val="000000"/>
                <w:sz w:val="22"/>
                <w:szCs w:val="22"/>
              </w:rPr>
              <w:t>con anastomosis, derivación o injerto, con formación de estoma externo, otra cirugía reconstructiva, amputación de miembros, remoción de otro órgano (total o parcial), otros procedimientos quirúrgicos o procedimientos quirúrgicos no especificados</w:t>
            </w:r>
            <w:r w:rsidRPr="00AC6F47">
              <w:rPr>
                <w:color w:val="000000"/>
                <w:sz w:val="22"/>
                <w:szCs w:val="22"/>
              </w:rPr>
              <w:br/>
            </w:r>
            <w:r w:rsidRPr="00AC6F47">
              <w:rPr>
                <w:b/>
                <w:bCs/>
                <w:color w:val="000000"/>
                <w:sz w:val="22"/>
                <w:szCs w:val="22"/>
              </w:rPr>
              <w:t xml:space="preserve">Excluye: incidentes ocurridos al paciente durante la atención médica y quirúrgica </w:t>
            </w:r>
            <w:r w:rsidRPr="00AC6F47">
              <w:rPr>
                <w:b/>
                <w:bCs/>
                <w:color w:val="000000"/>
                <w:sz w:val="22"/>
                <w:szCs w:val="22"/>
              </w:rPr>
              <w:lastRenderedPageBreak/>
              <w:t>clasificables en Y60–Y69 (Y60–Y69) y rotura o malfuncionamiento de dispositivo médico (durante procedimiento) (después de su implantación) (en uso actual) (Y70–Y82)</w:t>
            </w:r>
          </w:p>
        </w:tc>
      </w:tr>
      <w:tr w:rsidR="00DE2A44" w:rsidRPr="00AC6F47" w:rsidTr="00D11B27">
        <w:trPr>
          <w:trHeight w:val="1548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lastRenderedPageBreak/>
              <w:t>Y84</w:t>
            </w:r>
          </w:p>
        </w:tc>
        <w:tc>
          <w:tcPr>
            <w:tcW w:w="1671" w:type="pct"/>
            <w:shd w:val="clear" w:color="auto" w:fill="auto"/>
            <w:vAlign w:val="center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Otros procedimientos médicos como la causa de reacción anormal del paciente o de complicación posterior, sin mención de incidente en el momento de efectuar el procedimiento</w:t>
            </w:r>
          </w:p>
        </w:tc>
        <w:tc>
          <w:tcPr>
            <w:tcW w:w="3128" w:type="pct"/>
            <w:shd w:val="clear" w:color="auto" w:fill="auto"/>
            <w:vAlign w:val="bottom"/>
            <w:hideMark/>
          </w:tcPr>
          <w:p w:rsidR="00DE2A44" w:rsidRPr="00AC6F47" w:rsidRDefault="00DE2A44" w:rsidP="00D11B27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C6F47">
              <w:rPr>
                <w:color w:val="000000"/>
                <w:sz w:val="22"/>
                <w:szCs w:val="22"/>
              </w:rPr>
              <w:t>Cateterización cardíaca, diálisis renal, procedimiento radiológico y radioterapia, terapia por choque, aspiración de líquidos, inserción de sonda gástrica o duodenal, cateterización urinaria, muestra de sangre, otros procedimientos médicos, procedimiento médico no especificado</w:t>
            </w:r>
            <w:r w:rsidRPr="00AC6F47">
              <w:rPr>
                <w:color w:val="000000"/>
                <w:sz w:val="22"/>
                <w:szCs w:val="22"/>
              </w:rPr>
              <w:br/>
            </w:r>
            <w:r w:rsidRPr="00AC6F47">
              <w:rPr>
                <w:b/>
                <w:bCs/>
                <w:color w:val="000000"/>
                <w:sz w:val="22"/>
                <w:szCs w:val="22"/>
              </w:rPr>
              <w:t>Excluye: incidentes ocurridos al paciente durante la atención médica y quirúrgica clasificables en Y60–Y69 (Y60–Y69) y rotura o malfuncionamiento de dispositivo médico (durante procedimiento) (después de su implantación) (en uso actual) (Y70–Y82)</w:t>
            </w:r>
          </w:p>
        </w:tc>
      </w:tr>
    </w:tbl>
    <w:p w:rsidR="00DE2A44" w:rsidRDefault="00DE2A44" w:rsidP="00DE2A44"/>
    <w:p w:rsidR="00861A73" w:rsidRDefault="00861A73">
      <w:pPr>
        <w:spacing w:after="160" w:line="259" w:lineRule="auto"/>
        <w:jc w:val="left"/>
      </w:pPr>
      <w:r>
        <w:br w:type="page"/>
      </w:r>
    </w:p>
    <w:p w:rsidR="00861A73" w:rsidRDefault="00861A73" w:rsidP="00861A73">
      <w:pPr>
        <w:rPr>
          <w:b/>
          <w:bCs/>
          <w:color w:val="000000" w:themeColor="text1"/>
          <w:sz w:val="20"/>
          <w:szCs w:val="20"/>
        </w:rPr>
        <w:sectPr w:rsidR="00861A73" w:rsidSect="00861A73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AA17DE" w:rsidRPr="00E55F9F" w:rsidRDefault="00861A73" w:rsidP="003F3E7A">
      <w:pPr>
        <w:pStyle w:val="Heading2"/>
        <w:numPr>
          <w:ilvl w:val="0"/>
          <w:numId w:val="0"/>
        </w:numPr>
        <w:spacing w:after="120" w:line="240" w:lineRule="auto"/>
        <w:ind w:firstLine="142"/>
        <w:rPr>
          <w:b/>
          <w:i w:val="0"/>
        </w:rPr>
      </w:pPr>
      <w:r w:rsidRPr="00E55F9F">
        <w:rPr>
          <w:b/>
          <w:i w:val="0"/>
        </w:rPr>
        <w:lastRenderedPageBreak/>
        <w:t xml:space="preserve">Tabla </w:t>
      </w:r>
      <w:r w:rsidR="00010A15" w:rsidRPr="00E55F9F">
        <w:rPr>
          <w:b/>
          <w:i w:val="0"/>
        </w:rPr>
        <w:t>II</w:t>
      </w:r>
    </w:p>
    <w:p w:rsidR="00861A73" w:rsidRPr="00E55F9F" w:rsidRDefault="003F3E7A" w:rsidP="003F3E7A">
      <w:pPr>
        <w:pStyle w:val="Heading2"/>
        <w:numPr>
          <w:ilvl w:val="0"/>
          <w:numId w:val="0"/>
        </w:numPr>
        <w:spacing w:after="120" w:line="240" w:lineRule="auto"/>
        <w:ind w:firstLine="142"/>
        <w:rPr>
          <w:i w:val="0"/>
        </w:rPr>
      </w:pPr>
      <w:r w:rsidRPr="00E55F9F">
        <w:rPr>
          <w:i w:val="0"/>
        </w:rPr>
        <w:t>Índice</w:t>
      </w:r>
      <w:r w:rsidR="00861A73" w:rsidRPr="00E55F9F">
        <w:rPr>
          <w:i w:val="0"/>
        </w:rPr>
        <w:t xml:space="preserve"> </w:t>
      </w:r>
      <w:r w:rsidR="00AA17DE" w:rsidRPr="00AA17DE">
        <w:rPr>
          <w:i w:val="0"/>
        </w:rPr>
        <w:t xml:space="preserve">sintético de vulnerabilidad </w:t>
      </w:r>
      <w:r w:rsidRPr="00E55F9F">
        <w:rPr>
          <w:i w:val="0"/>
        </w:rPr>
        <w:t>provincial 2006-2013</w:t>
      </w: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441"/>
        <w:gridCol w:w="1441"/>
        <w:gridCol w:w="1441"/>
        <w:gridCol w:w="1396"/>
      </w:tblGrid>
      <w:tr w:rsidR="00861A73" w:rsidRPr="00C446C7" w:rsidTr="00861A73">
        <w:trPr>
          <w:cantSplit/>
          <w:trHeight w:val="458"/>
        </w:trPr>
        <w:tc>
          <w:tcPr>
            <w:tcW w:w="2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C446C7">
              <w:rPr>
                <w:b/>
                <w:bCs/>
                <w:color w:val="000000"/>
                <w:sz w:val="20"/>
                <w:szCs w:val="20"/>
              </w:rPr>
              <w:t>Provinc</w:t>
            </w:r>
            <w:r>
              <w:rPr>
                <w:b/>
                <w:bCs/>
                <w:color w:val="000000"/>
                <w:sz w:val="20"/>
                <w:szCs w:val="20"/>
              </w:rPr>
              <w:t>ia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1A73" w:rsidRDefault="005A1FEE" w:rsidP="004066E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  <w:r w:rsidR="00861A73" w:rsidRPr="00C446C7">
              <w:rPr>
                <w:b/>
                <w:bCs/>
                <w:color w:val="000000"/>
                <w:sz w:val="20"/>
                <w:szCs w:val="20"/>
              </w:rPr>
              <w:t>ulnerabili</w:t>
            </w:r>
            <w:r w:rsidR="00861A73">
              <w:rPr>
                <w:b/>
                <w:bCs/>
                <w:color w:val="000000"/>
                <w:sz w:val="20"/>
                <w:szCs w:val="20"/>
              </w:rPr>
              <w:t>dad</w:t>
            </w:r>
          </w:p>
          <w:p w:rsidR="00861A73" w:rsidRPr="00C446C7" w:rsidRDefault="00AA17DE" w:rsidP="004066E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861A73" w:rsidRPr="004066EF">
              <w:rPr>
                <w:b/>
                <w:bCs/>
                <w:color w:val="000000"/>
                <w:sz w:val="20"/>
                <w:szCs w:val="20"/>
              </w:rPr>
              <w:t xml:space="preserve">nmobiliaria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1A73" w:rsidRDefault="005A1FEE" w:rsidP="0049462C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  <w:r w:rsidR="00861A73" w:rsidRPr="00C446C7">
              <w:rPr>
                <w:b/>
                <w:bCs/>
                <w:color w:val="000000"/>
                <w:sz w:val="20"/>
                <w:szCs w:val="20"/>
              </w:rPr>
              <w:t>ulnerabili</w:t>
            </w:r>
            <w:r w:rsidR="00861A73">
              <w:rPr>
                <w:b/>
                <w:bCs/>
                <w:color w:val="000000"/>
                <w:sz w:val="20"/>
                <w:szCs w:val="20"/>
              </w:rPr>
              <w:t>dad</w:t>
            </w:r>
          </w:p>
          <w:p w:rsidR="00861A73" w:rsidRPr="00C446C7" w:rsidRDefault="00AA17DE" w:rsidP="0049462C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861A73" w:rsidRPr="00C446C7">
              <w:rPr>
                <w:b/>
                <w:bCs/>
                <w:color w:val="000000"/>
                <w:sz w:val="20"/>
                <w:szCs w:val="20"/>
              </w:rPr>
              <w:t>conómic</w:t>
            </w:r>
            <w:r w:rsidR="00861A73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1A73" w:rsidRDefault="005A1FEE" w:rsidP="0049462C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  <w:r w:rsidR="00861A73" w:rsidRPr="00C446C7">
              <w:rPr>
                <w:b/>
                <w:bCs/>
                <w:color w:val="000000"/>
                <w:sz w:val="20"/>
                <w:szCs w:val="20"/>
              </w:rPr>
              <w:t>ulnerabili</w:t>
            </w:r>
            <w:r w:rsidR="00861A73">
              <w:rPr>
                <w:b/>
                <w:bCs/>
                <w:color w:val="000000"/>
                <w:sz w:val="20"/>
                <w:szCs w:val="20"/>
              </w:rPr>
              <w:t>dad</w:t>
            </w:r>
          </w:p>
          <w:p w:rsidR="00861A73" w:rsidRPr="00C446C7" w:rsidRDefault="00AA17DE" w:rsidP="0049462C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861A73">
              <w:rPr>
                <w:b/>
                <w:bCs/>
                <w:color w:val="000000"/>
                <w:sz w:val="20"/>
                <w:szCs w:val="20"/>
              </w:rPr>
              <w:t>ocial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1A73" w:rsidRDefault="00861A73" w:rsidP="0049462C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Índice </w:t>
            </w:r>
            <w:r w:rsidR="00AA17DE">
              <w:rPr>
                <w:b/>
                <w:bCs/>
                <w:color w:val="000000"/>
                <w:sz w:val="20"/>
                <w:szCs w:val="20"/>
              </w:rPr>
              <w:t>sintético de</w:t>
            </w:r>
          </w:p>
          <w:p w:rsidR="00861A73" w:rsidRPr="00C446C7" w:rsidRDefault="00AA17DE" w:rsidP="003F3E7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  <w:r w:rsidRPr="00C446C7">
              <w:rPr>
                <w:b/>
                <w:bCs/>
                <w:color w:val="000000"/>
                <w:sz w:val="20"/>
                <w:szCs w:val="20"/>
              </w:rPr>
              <w:t>u</w:t>
            </w:r>
            <w:r w:rsidR="00861A73" w:rsidRPr="00C446C7">
              <w:rPr>
                <w:b/>
                <w:bCs/>
                <w:color w:val="000000"/>
                <w:sz w:val="20"/>
                <w:szCs w:val="20"/>
              </w:rPr>
              <w:t>lnerabili</w:t>
            </w:r>
            <w:r w:rsidR="00861A73">
              <w:rPr>
                <w:b/>
                <w:bCs/>
                <w:color w:val="000000"/>
                <w:sz w:val="20"/>
                <w:szCs w:val="20"/>
              </w:rPr>
              <w:t>dad</w:t>
            </w:r>
          </w:p>
        </w:tc>
      </w:tr>
      <w:tr w:rsidR="00861A73" w:rsidRPr="00C446C7" w:rsidTr="00861A73">
        <w:trPr>
          <w:trHeight w:val="458"/>
        </w:trPr>
        <w:tc>
          <w:tcPr>
            <w:tcW w:w="2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</w:t>
            </w:r>
            <w:r w:rsidR="00861A73" w:rsidRPr="00C446C7">
              <w:rPr>
                <w:color w:val="000000"/>
                <w:sz w:val="20"/>
                <w:szCs w:val="20"/>
              </w:rPr>
              <w:t>lava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Albacete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Alicante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Almerí</w:t>
            </w:r>
            <w:r w:rsidR="00861A73" w:rsidRPr="00C446C7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Asturias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-0.33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</w:t>
            </w:r>
            <w:r w:rsidR="00861A73" w:rsidRPr="00C446C7">
              <w:rPr>
                <w:color w:val="000000"/>
                <w:sz w:val="20"/>
                <w:szCs w:val="20"/>
              </w:rPr>
              <w:t>vila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Badajoz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Balears (Illes)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Barcelona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0.73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Burgos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Cá</w:t>
            </w:r>
            <w:r w:rsidR="00861A73" w:rsidRPr="00C446C7">
              <w:rPr>
                <w:color w:val="000000"/>
                <w:sz w:val="20"/>
                <w:szCs w:val="20"/>
              </w:rPr>
              <w:t>ceres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-0.53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C</w:t>
            </w:r>
            <w:r w:rsidR="004066EF">
              <w:rPr>
                <w:color w:val="000000"/>
                <w:sz w:val="20"/>
                <w:szCs w:val="20"/>
              </w:rPr>
              <w:t>á</w:t>
            </w:r>
            <w:r w:rsidRPr="00C446C7">
              <w:rPr>
                <w:color w:val="000000"/>
                <w:sz w:val="20"/>
                <w:szCs w:val="20"/>
              </w:rPr>
              <w:t>diz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Cantabria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0.13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Castellón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1.27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Ceuta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Ciudad Real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Có</w:t>
            </w:r>
            <w:r w:rsidR="00861A73" w:rsidRPr="00C446C7">
              <w:rPr>
                <w:color w:val="000000"/>
                <w:sz w:val="20"/>
                <w:szCs w:val="20"/>
              </w:rPr>
              <w:t>rdoba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Coruña (A)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-0.07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Girona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Granada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Guadalajara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Guipú</w:t>
            </w:r>
            <w:r w:rsidR="00861A73" w:rsidRPr="00C446C7">
              <w:rPr>
                <w:color w:val="000000"/>
                <w:sz w:val="20"/>
                <w:szCs w:val="20"/>
              </w:rPr>
              <w:t>zcoa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Huelva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Huesca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-0.13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Jaé</w:t>
            </w:r>
            <w:r w:rsidR="00861A73" w:rsidRPr="00C446C7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-0.07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Leó</w:t>
            </w:r>
            <w:r w:rsidR="00861A73" w:rsidRPr="00C446C7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Lleida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Lugo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-1.13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Madrid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4066EF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Má</w:t>
            </w:r>
            <w:r w:rsidR="00861A73" w:rsidRPr="00C446C7">
              <w:rPr>
                <w:color w:val="000000"/>
                <w:sz w:val="20"/>
                <w:szCs w:val="20"/>
              </w:rPr>
              <w:t>laga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0.73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Melilla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Murcia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1.07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Navarra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Ourense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Palencia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-0.93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Palmas (Las)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Pontevedra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Rioja (La)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Salamanca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S.C. de Tenerife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Segovia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Sevilla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-0.33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Soria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-0.53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Tarragona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0.73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Teruel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Toledo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Valencia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1.07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Valladolid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Vizcaya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-0.87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Zamora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-0.93</w:t>
            </w:r>
          </w:p>
        </w:tc>
      </w:tr>
      <w:tr w:rsidR="00861A73" w:rsidRPr="00C446C7" w:rsidTr="00861A73">
        <w:trPr>
          <w:cantSplit/>
          <w:trHeight w:val="227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9462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Zaragoza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1A73" w:rsidRPr="00C446C7" w:rsidRDefault="00861A73" w:rsidP="004066E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46C7">
              <w:rPr>
                <w:color w:val="000000"/>
                <w:sz w:val="20"/>
                <w:szCs w:val="20"/>
              </w:rPr>
              <w:t>0.53</w:t>
            </w:r>
          </w:p>
        </w:tc>
      </w:tr>
    </w:tbl>
    <w:p w:rsidR="00861A73" w:rsidRPr="00C446C7" w:rsidRDefault="00861A73" w:rsidP="00861A73">
      <w:pPr>
        <w:spacing w:line="240" w:lineRule="auto"/>
        <w:rPr>
          <w:sz w:val="20"/>
          <w:szCs w:val="20"/>
        </w:rPr>
      </w:pPr>
      <w:r w:rsidRPr="00C446C7">
        <w:rPr>
          <w:sz w:val="20"/>
          <w:szCs w:val="20"/>
        </w:rPr>
        <w:lastRenderedPageBreak/>
        <w:t>Fuente: Méndez</w:t>
      </w:r>
      <w:r w:rsidR="00AA17DE">
        <w:rPr>
          <w:sz w:val="20"/>
          <w:szCs w:val="20"/>
        </w:rPr>
        <w:t>,</w:t>
      </w:r>
      <w:r w:rsidRPr="00C446C7">
        <w:rPr>
          <w:sz w:val="20"/>
          <w:szCs w:val="20"/>
        </w:rPr>
        <w:t xml:space="preserve"> et al. </w:t>
      </w:r>
      <w:r w:rsidRPr="00E55F9F">
        <w:rPr>
          <w:sz w:val="20"/>
          <w:szCs w:val="20"/>
        </w:rPr>
        <w:t>Atlas de la crisis. Impactos socioeconómicos y territorios vulnerables en España</w:t>
      </w:r>
      <w:r w:rsidRPr="008D5EBA">
        <w:rPr>
          <w:sz w:val="20"/>
          <w:szCs w:val="20"/>
        </w:rPr>
        <w:t>. Valencia</w:t>
      </w:r>
      <w:r w:rsidR="00AA17DE">
        <w:rPr>
          <w:sz w:val="20"/>
          <w:szCs w:val="20"/>
        </w:rPr>
        <w:t>:</w:t>
      </w:r>
      <w:r w:rsidRPr="008D5EBA">
        <w:rPr>
          <w:sz w:val="20"/>
          <w:szCs w:val="20"/>
        </w:rPr>
        <w:t xml:space="preserve"> Tirant lo Blanch</w:t>
      </w:r>
      <w:r w:rsidR="00AA17DE">
        <w:rPr>
          <w:sz w:val="20"/>
          <w:szCs w:val="20"/>
        </w:rPr>
        <w:t>; 2015</w:t>
      </w:r>
      <w:r>
        <w:rPr>
          <w:sz w:val="20"/>
          <w:szCs w:val="20"/>
        </w:rPr>
        <w:t>.</w:t>
      </w:r>
      <w:r w:rsidRPr="00C446C7">
        <w:rPr>
          <w:sz w:val="20"/>
          <w:szCs w:val="20"/>
        </w:rPr>
        <w:t xml:space="preserve"> </w:t>
      </w:r>
      <w:r w:rsidR="00AA17DE">
        <w:rPr>
          <w:sz w:val="20"/>
          <w:szCs w:val="20"/>
        </w:rPr>
        <w:t>p.</w:t>
      </w:r>
      <w:r w:rsidRPr="00C446C7">
        <w:rPr>
          <w:sz w:val="20"/>
          <w:szCs w:val="20"/>
        </w:rPr>
        <w:t xml:space="preserve"> 247. Reproduc</w:t>
      </w:r>
      <w:r w:rsidR="00AA17DE">
        <w:rPr>
          <w:sz w:val="20"/>
          <w:szCs w:val="20"/>
        </w:rPr>
        <w:t>ida</w:t>
      </w:r>
      <w:r w:rsidRPr="00C446C7">
        <w:rPr>
          <w:sz w:val="20"/>
          <w:szCs w:val="20"/>
        </w:rPr>
        <w:t xml:space="preserve"> con permiso del autor.</w:t>
      </w:r>
    </w:p>
    <w:p w:rsidR="00DE2A44" w:rsidRDefault="00DE2A44" w:rsidP="00DE2A44"/>
    <w:sectPr w:rsidR="00DE2A44" w:rsidSect="00861A7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1292D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44"/>
    <w:rsid w:val="00010A15"/>
    <w:rsid w:val="000474AA"/>
    <w:rsid w:val="00255176"/>
    <w:rsid w:val="003A05F5"/>
    <w:rsid w:val="003F3E7A"/>
    <w:rsid w:val="00405860"/>
    <w:rsid w:val="004066EF"/>
    <w:rsid w:val="00477F5F"/>
    <w:rsid w:val="0049689A"/>
    <w:rsid w:val="005A1FEE"/>
    <w:rsid w:val="00861A73"/>
    <w:rsid w:val="008A5122"/>
    <w:rsid w:val="00AA17DE"/>
    <w:rsid w:val="00C93252"/>
    <w:rsid w:val="00CF0D02"/>
    <w:rsid w:val="00D33F7B"/>
    <w:rsid w:val="00D52B76"/>
    <w:rsid w:val="00DE2A44"/>
    <w:rsid w:val="00E5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6A8CF-C4DD-40AD-801A-3931638E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4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E2A44"/>
    <w:pPr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A44"/>
    <w:pPr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A4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4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A4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A4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A4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A4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A4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2A44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DE2A44"/>
    <w:rPr>
      <w:rFonts w:ascii="Times New Roman" w:eastAsia="Times New Roman" w:hAnsi="Times New Roman" w:cs="Times New Roman"/>
      <w:i/>
      <w:sz w:val="24"/>
      <w:szCs w:val="24"/>
      <w:lang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A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4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A4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A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A4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A4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A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table" w:styleId="TableGrid">
    <w:name w:val="Table Grid"/>
    <w:basedOn w:val="TableNormal"/>
    <w:uiPriority w:val="59"/>
    <w:rsid w:val="00DE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F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9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Caballero</dc:creator>
  <cp:keywords/>
  <dc:description/>
  <cp:lastModifiedBy>Bhim Bahadur Subba</cp:lastModifiedBy>
  <cp:revision>2</cp:revision>
  <dcterms:created xsi:type="dcterms:W3CDTF">2018-10-23T05:29:00Z</dcterms:created>
  <dcterms:modified xsi:type="dcterms:W3CDTF">2018-10-23T05:29:00Z</dcterms:modified>
</cp:coreProperties>
</file>