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6FF" w:rsidRPr="00E557FE" w:rsidRDefault="003D36FF" w:rsidP="003D36FF">
      <w:pPr>
        <w:widowControl/>
        <w:shd w:val="clear" w:color="auto" w:fill="FFFFFF"/>
        <w:spacing w:line="360" w:lineRule="auto"/>
        <w:ind w:firstLine="0"/>
        <w:rPr>
          <w:rFonts w:ascii="Arial" w:hAnsi="Arial" w:cs="Arial"/>
          <w:b/>
          <w:bCs/>
          <w:kern w:val="0"/>
          <w:sz w:val="24"/>
          <w:szCs w:val="24"/>
          <w:lang w:eastAsia="es-ES"/>
        </w:rPr>
      </w:pPr>
      <w:bookmarkStart w:id="0" w:name="_GoBack"/>
      <w:bookmarkEnd w:id="0"/>
    </w:p>
    <w:p w:rsidR="003D36FF" w:rsidRPr="00E557FE" w:rsidRDefault="003D36FF" w:rsidP="003D36FF">
      <w:pPr>
        <w:widowControl/>
        <w:shd w:val="clear" w:color="auto" w:fill="FFFFFF"/>
        <w:spacing w:line="360" w:lineRule="auto"/>
        <w:ind w:firstLine="0"/>
        <w:rPr>
          <w:rFonts w:ascii="Arial" w:hAnsi="Arial" w:cs="Arial"/>
          <w:kern w:val="0"/>
          <w:sz w:val="24"/>
          <w:szCs w:val="24"/>
          <w:lang w:eastAsia="es-ES"/>
        </w:rPr>
      </w:pPr>
      <w:r w:rsidRPr="00E557FE">
        <w:rPr>
          <w:rFonts w:ascii="Arial" w:hAnsi="Arial" w:cs="Arial"/>
          <w:b/>
          <w:bCs/>
          <w:kern w:val="0"/>
          <w:sz w:val="24"/>
          <w:szCs w:val="24"/>
          <w:lang w:eastAsia="es-ES"/>
        </w:rPr>
        <w:t>Appendix. Supplementary data</w:t>
      </w:r>
    </w:p>
    <w:p w:rsidR="003D36FF" w:rsidRDefault="003D36FF" w:rsidP="003D36FF">
      <w:pPr>
        <w:widowControl/>
        <w:shd w:val="clear" w:color="auto" w:fill="FFFFFF"/>
        <w:spacing w:line="360" w:lineRule="auto"/>
        <w:ind w:firstLine="0"/>
        <w:rPr>
          <w:rFonts w:ascii="Arial" w:hAnsi="Arial" w:cs="Arial"/>
          <w:kern w:val="0"/>
          <w:sz w:val="24"/>
          <w:szCs w:val="24"/>
          <w:lang w:eastAsia="es-ES"/>
        </w:rPr>
      </w:pPr>
    </w:p>
    <w:p w:rsidR="003D36FF" w:rsidRPr="00E557FE" w:rsidRDefault="003D36FF" w:rsidP="003D36FF">
      <w:pPr>
        <w:widowControl/>
        <w:shd w:val="clear" w:color="auto" w:fill="FFFFFF"/>
        <w:spacing w:line="360" w:lineRule="auto"/>
        <w:ind w:firstLine="0"/>
        <w:rPr>
          <w:rFonts w:ascii="Arial" w:hAnsi="Arial" w:cs="Arial"/>
          <w:kern w:val="0"/>
          <w:sz w:val="24"/>
          <w:szCs w:val="24"/>
          <w:lang w:eastAsia="es-ES"/>
        </w:rPr>
      </w:pPr>
      <w:r w:rsidRPr="00E557FE">
        <w:rPr>
          <w:rFonts w:ascii="Arial" w:hAnsi="Arial" w:cs="Arial"/>
          <w:kern w:val="0"/>
          <w:sz w:val="24"/>
          <w:szCs w:val="24"/>
          <w:lang w:eastAsia="es-ES"/>
        </w:rPr>
        <w:t xml:space="preserve">Supplementary data associated with this article can be found, in the online version, at </w:t>
      </w:r>
      <w:proofErr w:type="spellStart"/>
      <w:r w:rsidRPr="00E557FE">
        <w:rPr>
          <w:rFonts w:ascii="Arial" w:hAnsi="Arial" w:cs="Arial"/>
          <w:kern w:val="0"/>
          <w:sz w:val="24"/>
          <w:szCs w:val="24"/>
          <w:highlight w:val="yellow"/>
          <w:lang w:eastAsia="es-ES"/>
        </w:rPr>
        <w:t>htt</w:t>
      </w:r>
      <w:proofErr w:type="spellEnd"/>
      <w:proofErr w:type="gramStart"/>
      <w:r w:rsidRPr="00E557FE">
        <w:rPr>
          <w:rFonts w:ascii="Arial" w:hAnsi="Arial" w:cs="Arial"/>
          <w:kern w:val="0"/>
          <w:sz w:val="24"/>
          <w:szCs w:val="24"/>
          <w:highlight w:val="yellow"/>
          <w:lang w:eastAsia="es-ES"/>
        </w:rPr>
        <w:t>:/</w:t>
      </w:r>
      <w:proofErr w:type="gramEnd"/>
      <w:r w:rsidRPr="00E557FE">
        <w:rPr>
          <w:rFonts w:ascii="Arial" w:hAnsi="Arial" w:cs="Arial"/>
          <w:kern w:val="0"/>
          <w:sz w:val="24"/>
          <w:szCs w:val="24"/>
          <w:highlight w:val="yellow"/>
          <w:lang w:eastAsia="es-ES"/>
        </w:rPr>
        <w:t>/</w:t>
      </w:r>
      <w:hyperlink r:id="rId4" w:tgtFrame="_blank" w:history="1">
        <w:r w:rsidRPr="00E557FE">
          <w:rPr>
            <w:rFonts w:ascii="Arial" w:hAnsi="Arial" w:cs="Arial"/>
            <w:kern w:val="0"/>
            <w:sz w:val="24"/>
            <w:szCs w:val="24"/>
            <w:highlight w:val="yellow"/>
            <w:u w:val="single"/>
            <w:lang w:eastAsia="es-ES"/>
          </w:rPr>
          <w:t>dx.doi.org/10.1016....</w:t>
        </w:r>
      </w:hyperlink>
      <w:r w:rsidRPr="00E557FE">
        <w:rPr>
          <w:rFonts w:ascii="Arial" w:hAnsi="Arial" w:cs="Arial"/>
          <w:kern w:val="0"/>
          <w:sz w:val="24"/>
          <w:szCs w:val="24"/>
          <w:highlight w:val="yellow"/>
          <w:lang w:eastAsia="es-ES"/>
        </w:rPr>
        <w:t>..</w:t>
      </w:r>
    </w:p>
    <w:p w:rsidR="003D36FF" w:rsidRPr="004E1E34" w:rsidRDefault="003D36FF" w:rsidP="003D36FF">
      <w:pPr>
        <w:spacing w:line="360" w:lineRule="auto"/>
        <w:ind w:firstLine="0"/>
        <w:rPr>
          <w:rFonts w:ascii="Arial" w:eastAsia="DengXian" w:hAnsi="Arial" w:cs="Arial"/>
          <w:b/>
          <w:sz w:val="24"/>
          <w:szCs w:val="24"/>
        </w:rPr>
      </w:pPr>
    </w:p>
    <w:p w:rsidR="003D36FF" w:rsidRPr="004E1E34" w:rsidRDefault="003D36FF" w:rsidP="003D36FF">
      <w:pPr>
        <w:spacing w:line="360" w:lineRule="auto"/>
        <w:ind w:firstLine="0"/>
        <w:rPr>
          <w:rFonts w:ascii="Arial" w:eastAsia="DengXian" w:hAnsi="Arial" w:cs="Arial"/>
          <w:b/>
          <w:sz w:val="24"/>
          <w:szCs w:val="24"/>
        </w:rPr>
      </w:pPr>
      <w:r w:rsidRPr="004E1E34">
        <w:rPr>
          <w:rFonts w:ascii="Arial" w:eastAsia="DengXian" w:hAnsi="Arial" w:cs="Arial"/>
          <w:b/>
          <w:sz w:val="24"/>
          <w:szCs w:val="24"/>
        </w:rPr>
        <w:t>What is known about the topic?</w:t>
      </w:r>
    </w:p>
    <w:p w:rsidR="003D36FF" w:rsidRPr="004E1E34" w:rsidRDefault="003D36FF" w:rsidP="003D36FF">
      <w:pPr>
        <w:spacing w:line="360" w:lineRule="auto"/>
        <w:ind w:firstLine="0"/>
        <w:rPr>
          <w:rFonts w:ascii="Arial" w:eastAsia="DengXian" w:hAnsi="Arial" w:cs="Arial"/>
          <w:b/>
          <w:sz w:val="24"/>
          <w:szCs w:val="24"/>
        </w:rPr>
      </w:pPr>
    </w:p>
    <w:p w:rsidR="003D36FF" w:rsidRPr="004E1E34" w:rsidRDefault="003D36FF" w:rsidP="003D36FF">
      <w:pPr>
        <w:spacing w:line="360" w:lineRule="auto"/>
        <w:ind w:firstLine="0"/>
        <w:rPr>
          <w:rFonts w:ascii="Arial" w:eastAsia="DengXian" w:hAnsi="Arial" w:cs="Arial"/>
          <w:sz w:val="24"/>
          <w:szCs w:val="24"/>
        </w:rPr>
      </w:pPr>
      <w:r w:rsidRPr="004E1E34">
        <w:rPr>
          <w:rFonts w:ascii="Arial" w:eastAsia="DengXian" w:hAnsi="Arial" w:cs="Arial"/>
          <w:sz w:val="24"/>
          <w:szCs w:val="24"/>
        </w:rPr>
        <w:t>China government launched an innovative policy catastrophic medical insurance in 2013 to prevent people from catastrophic health expenditure. The program has covered 1.3 billion people in 2016 and got some international concern on its policy design and its effect.</w:t>
      </w:r>
    </w:p>
    <w:p w:rsidR="003D36FF" w:rsidRPr="004E1E34" w:rsidRDefault="003D36FF" w:rsidP="003D36FF">
      <w:pPr>
        <w:spacing w:line="360" w:lineRule="auto"/>
        <w:ind w:firstLineChars="213" w:firstLine="511"/>
        <w:rPr>
          <w:rFonts w:ascii="Arial" w:eastAsia="DengXian" w:hAnsi="Arial" w:cs="Arial"/>
          <w:b/>
          <w:sz w:val="24"/>
          <w:szCs w:val="24"/>
        </w:rPr>
      </w:pPr>
    </w:p>
    <w:p w:rsidR="003D36FF" w:rsidRPr="004E1E34" w:rsidRDefault="003D36FF" w:rsidP="003D36FF">
      <w:pPr>
        <w:spacing w:line="360" w:lineRule="auto"/>
        <w:ind w:firstLine="0"/>
        <w:rPr>
          <w:rFonts w:ascii="Arial" w:eastAsia="DengXian" w:hAnsi="Arial" w:cs="Arial"/>
          <w:b/>
          <w:sz w:val="24"/>
          <w:szCs w:val="24"/>
        </w:rPr>
      </w:pPr>
      <w:r w:rsidRPr="004E1E34">
        <w:rPr>
          <w:rFonts w:ascii="Arial" w:eastAsia="DengXian" w:hAnsi="Arial" w:cs="Arial"/>
          <w:b/>
          <w:sz w:val="24"/>
          <w:szCs w:val="24"/>
        </w:rPr>
        <w:t>What does this study add to the literature?</w:t>
      </w:r>
    </w:p>
    <w:p w:rsidR="003D36FF" w:rsidRPr="004E1E34" w:rsidRDefault="003D36FF" w:rsidP="003D36FF">
      <w:pPr>
        <w:spacing w:line="360" w:lineRule="auto"/>
        <w:ind w:firstLine="0"/>
        <w:rPr>
          <w:rFonts w:ascii="Arial" w:eastAsia="DengXian" w:hAnsi="Arial" w:cs="Arial"/>
          <w:sz w:val="24"/>
          <w:szCs w:val="24"/>
        </w:rPr>
      </w:pPr>
    </w:p>
    <w:p w:rsidR="003D36FF" w:rsidRPr="00E557FE" w:rsidRDefault="003D36FF" w:rsidP="003D36FF">
      <w:pPr>
        <w:spacing w:line="360" w:lineRule="auto"/>
        <w:ind w:firstLine="0"/>
        <w:rPr>
          <w:rFonts w:ascii="Arial" w:eastAsia="DengXian" w:hAnsi="Arial" w:cs="Arial"/>
          <w:sz w:val="24"/>
          <w:szCs w:val="24"/>
        </w:rPr>
      </w:pPr>
      <w:r w:rsidRPr="004E1E34">
        <w:rPr>
          <w:rFonts w:ascii="Arial" w:eastAsia="DengXian" w:hAnsi="Arial" w:cs="Arial"/>
          <w:sz w:val="24"/>
          <w:szCs w:val="24"/>
        </w:rPr>
        <w:t xml:space="preserve">Our study, the first evaluate of the effect of China catastrophic medical insurance, set </w:t>
      </w:r>
      <w:proofErr w:type="gramStart"/>
      <w:r w:rsidRPr="004E1E34">
        <w:rPr>
          <w:rFonts w:ascii="Arial" w:eastAsia="DengXian" w:hAnsi="Arial" w:cs="Arial"/>
          <w:sz w:val="24"/>
          <w:szCs w:val="24"/>
        </w:rPr>
        <w:t>the reduce</w:t>
      </w:r>
      <w:proofErr w:type="gramEnd"/>
      <w:r w:rsidRPr="004E1E34">
        <w:rPr>
          <w:rFonts w:ascii="Arial" w:eastAsia="DengXian" w:hAnsi="Arial" w:cs="Arial"/>
          <w:sz w:val="24"/>
          <w:szCs w:val="24"/>
        </w:rPr>
        <w:t xml:space="preserve"> of the incidence and intensity of catastrophic health expenditure as key indicators. China catastrophic medical insurance program may inspire other regions</w:t>
      </w:r>
    </w:p>
    <w:p w:rsidR="003D36FF" w:rsidRPr="00E557FE" w:rsidRDefault="003D36FF" w:rsidP="003D36FF">
      <w:pPr>
        <w:spacing w:line="360" w:lineRule="auto"/>
        <w:ind w:firstLine="0"/>
        <w:rPr>
          <w:rFonts w:ascii="Arial" w:eastAsia="DengXian" w:hAnsi="Arial" w:cs="Arial"/>
          <w:sz w:val="24"/>
          <w:szCs w:val="24"/>
        </w:rPr>
      </w:pPr>
    </w:p>
    <w:p w:rsidR="003D36FF" w:rsidRPr="004E1E34" w:rsidRDefault="003D36FF" w:rsidP="003D36FF">
      <w:pPr>
        <w:widowControl/>
        <w:adjustRightInd w:val="0"/>
        <w:snapToGrid w:val="0"/>
        <w:spacing w:line="360" w:lineRule="auto"/>
        <w:ind w:firstLine="0"/>
        <w:rPr>
          <w:rFonts w:ascii="Arial" w:hAnsi="Arial" w:cs="Arial"/>
          <w:b/>
          <w:kern w:val="0"/>
          <w:sz w:val="24"/>
          <w:szCs w:val="24"/>
          <w:lang w:eastAsia="de-DE" w:bidi="en-US"/>
        </w:rPr>
      </w:pPr>
      <w:r w:rsidRPr="004E1E34">
        <w:rPr>
          <w:rFonts w:ascii="Arial" w:hAnsi="Arial" w:cs="Arial"/>
          <w:b/>
          <w:kern w:val="0"/>
          <w:sz w:val="24"/>
          <w:szCs w:val="24"/>
          <w:lang w:eastAsia="de-DE" w:bidi="en-US"/>
        </w:rPr>
        <w:t>Editor in chief</w:t>
      </w:r>
    </w:p>
    <w:p w:rsidR="003D36FF" w:rsidRPr="004E1E34" w:rsidRDefault="003D36FF" w:rsidP="003D36FF">
      <w:pPr>
        <w:widowControl/>
        <w:adjustRightInd w:val="0"/>
        <w:snapToGrid w:val="0"/>
        <w:spacing w:line="360" w:lineRule="auto"/>
        <w:ind w:firstLine="0"/>
        <w:rPr>
          <w:rFonts w:ascii="Arial" w:hAnsi="Arial" w:cs="Arial"/>
          <w:b/>
          <w:kern w:val="0"/>
          <w:sz w:val="24"/>
          <w:szCs w:val="24"/>
          <w:lang w:eastAsia="de-DE" w:bidi="en-US"/>
        </w:rPr>
      </w:pPr>
    </w:p>
    <w:p w:rsidR="003D36FF" w:rsidRPr="00E557FE" w:rsidRDefault="003D36FF" w:rsidP="003D36FF">
      <w:pPr>
        <w:widowControl/>
        <w:adjustRightInd w:val="0"/>
        <w:snapToGrid w:val="0"/>
        <w:spacing w:line="360" w:lineRule="auto"/>
        <w:ind w:firstLine="0"/>
        <w:rPr>
          <w:rFonts w:ascii="Arial" w:hAnsi="Arial" w:cs="Arial"/>
          <w:kern w:val="0"/>
          <w:sz w:val="24"/>
          <w:szCs w:val="24"/>
          <w:lang w:val="es-ES" w:eastAsia="de-DE" w:bidi="en-US"/>
        </w:rPr>
      </w:pPr>
      <w:r w:rsidRPr="00E557FE">
        <w:rPr>
          <w:rFonts w:ascii="Arial" w:hAnsi="Arial" w:cs="Arial"/>
          <w:kern w:val="0"/>
          <w:sz w:val="24"/>
          <w:szCs w:val="24"/>
          <w:lang w:val="es-ES" w:eastAsia="de-DE" w:bidi="en-US"/>
        </w:rPr>
        <w:t>Miguel Ángel Negrín Hernández.</w:t>
      </w:r>
    </w:p>
    <w:p w:rsidR="003D36FF" w:rsidRPr="00E557FE" w:rsidRDefault="003D36FF" w:rsidP="003D36FF">
      <w:pPr>
        <w:widowControl/>
        <w:adjustRightInd w:val="0"/>
        <w:snapToGrid w:val="0"/>
        <w:spacing w:line="360" w:lineRule="auto"/>
        <w:ind w:firstLine="0"/>
        <w:rPr>
          <w:rFonts w:ascii="Arial" w:hAnsi="Arial" w:cs="Arial"/>
          <w:b/>
          <w:kern w:val="0"/>
          <w:sz w:val="24"/>
          <w:szCs w:val="24"/>
          <w:lang w:val="es-ES" w:eastAsia="de-DE" w:bidi="en-US"/>
        </w:rPr>
      </w:pPr>
    </w:p>
    <w:p w:rsidR="003D36FF" w:rsidRPr="00E557FE" w:rsidRDefault="003D36FF" w:rsidP="003D36FF">
      <w:pPr>
        <w:widowControl/>
        <w:spacing w:after="200" w:line="360" w:lineRule="auto"/>
        <w:ind w:firstLine="0"/>
        <w:rPr>
          <w:rFonts w:ascii="Arial" w:eastAsia="Calibri" w:hAnsi="Arial" w:cs="Arial"/>
          <w:b/>
          <w:kern w:val="0"/>
          <w:sz w:val="24"/>
          <w:szCs w:val="24"/>
          <w:lang w:val="es-ES" w:eastAsia="en-US"/>
        </w:rPr>
      </w:pPr>
      <w:proofErr w:type="spellStart"/>
      <w:r w:rsidRPr="00E557FE">
        <w:rPr>
          <w:rFonts w:ascii="Arial" w:eastAsia="Calibri" w:hAnsi="Arial" w:cs="Arial"/>
          <w:b/>
          <w:kern w:val="0"/>
          <w:sz w:val="24"/>
          <w:szCs w:val="24"/>
          <w:lang w:val="es-ES" w:eastAsia="en-US"/>
        </w:rPr>
        <w:t>Transparency</w:t>
      </w:r>
      <w:proofErr w:type="spellEnd"/>
      <w:r w:rsidRPr="00E557FE">
        <w:rPr>
          <w:rFonts w:ascii="Arial" w:eastAsia="Calibri" w:hAnsi="Arial" w:cs="Arial"/>
          <w:b/>
          <w:kern w:val="0"/>
          <w:sz w:val="24"/>
          <w:szCs w:val="24"/>
          <w:lang w:val="es-ES" w:eastAsia="en-US"/>
        </w:rPr>
        <w:t xml:space="preserve"> </w:t>
      </w:r>
      <w:proofErr w:type="spellStart"/>
      <w:r w:rsidRPr="00E557FE">
        <w:rPr>
          <w:rFonts w:ascii="Arial" w:eastAsia="Calibri" w:hAnsi="Arial" w:cs="Arial"/>
          <w:b/>
          <w:kern w:val="0"/>
          <w:sz w:val="24"/>
          <w:szCs w:val="24"/>
          <w:lang w:val="es-ES" w:eastAsia="en-US"/>
        </w:rPr>
        <w:t>declaration</w:t>
      </w:r>
      <w:proofErr w:type="spellEnd"/>
    </w:p>
    <w:p w:rsidR="003D36FF" w:rsidRPr="00E557FE" w:rsidRDefault="003D36FF" w:rsidP="003D36FF">
      <w:pPr>
        <w:widowControl/>
        <w:spacing w:after="200" w:line="360" w:lineRule="auto"/>
        <w:ind w:firstLine="0"/>
        <w:rPr>
          <w:rFonts w:ascii="Arial" w:eastAsia="Calibri" w:hAnsi="Arial" w:cs="Arial"/>
          <w:kern w:val="0"/>
          <w:sz w:val="24"/>
          <w:szCs w:val="24"/>
          <w:lang w:val="es-ES" w:eastAsia="en-US"/>
        </w:rPr>
      </w:pPr>
    </w:p>
    <w:p w:rsidR="003D36FF" w:rsidRPr="004E1E34" w:rsidRDefault="003D36FF" w:rsidP="003D36FF">
      <w:pPr>
        <w:widowControl/>
        <w:spacing w:after="200" w:line="360" w:lineRule="auto"/>
        <w:ind w:firstLine="0"/>
        <w:rPr>
          <w:rFonts w:ascii="Arial" w:eastAsia="Calibri" w:hAnsi="Arial" w:cs="Arial"/>
          <w:kern w:val="0"/>
          <w:sz w:val="24"/>
          <w:szCs w:val="24"/>
          <w:lang w:eastAsia="en-US"/>
        </w:rPr>
      </w:pPr>
      <w:r w:rsidRPr="004E1E34">
        <w:rPr>
          <w:rFonts w:ascii="Arial" w:eastAsia="Calibri" w:hAnsi="Arial" w:cs="Arial"/>
          <w:kern w:val="0"/>
          <w:sz w:val="24"/>
          <w:szCs w:val="24"/>
          <w:lang w:eastAsia="en-US"/>
        </w:rPr>
        <w:t>The corresponding author on behalf of the other authors guarantee the accuracy, transparency and honesty of the data and information contained in the study, that no relevant information has been omitted and that all discrepancies between authors have been adequately resolved and described.</w:t>
      </w:r>
    </w:p>
    <w:p w:rsidR="003D36FF" w:rsidRPr="004E1E34" w:rsidRDefault="003D36FF" w:rsidP="003D36FF">
      <w:pPr>
        <w:spacing w:line="360" w:lineRule="auto"/>
        <w:ind w:firstLine="0"/>
        <w:rPr>
          <w:rFonts w:ascii="Arial" w:eastAsia="DengXian" w:hAnsi="Arial" w:cs="Arial"/>
          <w:b/>
          <w:sz w:val="24"/>
          <w:szCs w:val="24"/>
        </w:rPr>
      </w:pPr>
    </w:p>
    <w:p w:rsidR="003D36FF" w:rsidRPr="004E1E34" w:rsidRDefault="003D36FF" w:rsidP="003D36FF">
      <w:pPr>
        <w:spacing w:line="360" w:lineRule="auto"/>
        <w:ind w:firstLine="0"/>
        <w:rPr>
          <w:rFonts w:ascii="Arial" w:eastAsia="DengXian" w:hAnsi="Arial" w:cs="Arial"/>
          <w:b/>
          <w:sz w:val="24"/>
          <w:szCs w:val="24"/>
        </w:rPr>
      </w:pPr>
      <w:r w:rsidRPr="004E1E34">
        <w:rPr>
          <w:rFonts w:ascii="Arial" w:eastAsia="DengXian" w:hAnsi="Arial" w:cs="Arial"/>
          <w:b/>
          <w:sz w:val="24"/>
          <w:szCs w:val="24"/>
        </w:rPr>
        <w:lastRenderedPageBreak/>
        <w:t>Authorship contributions</w:t>
      </w:r>
    </w:p>
    <w:p w:rsidR="003D36FF" w:rsidRPr="004E1E34" w:rsidRDefault="003D36FF" w:rsidP="003D36FF">
      <w:pPr>
        <w:spacing w:line="360" w:lineRule="auto"/>
        <w:ind w:firstLine="0"/>
        <w:rPr>
          <w:rFonts w:ascii="Arial" w:eastAsia="DengXian" w:hAnsi="Arial" w:cs="Arial"/>
          <w:sz w:val="24"/>
          <w:szCs w:val="24"/>
        </w:rPr>
      </w:pPr>
    </w:p>
    <w:p w:rsidR="003D36FF" w:rsidRPr="004E1E34" w:rsidRDefault="003D36FF" w:rsidP="003D36FF">
      <w:pPr>
        <w:spacing w:line="360" w:lineRule="auto"/>
        <w:ind w:firstLine="0"/>
        <w:rPr>
          <w:rFonts w:ascii="Arial" w:eastAsia="DengXian" w:hAnsi="Arial" w:cs="Arial"/>
          <w:sz w:val="24"/>
          <w:szCs w:val="24"/>
        </w:rPr>
      </w:pPr>
      <w:r w:rsidRPr="004E1E34">
        <w:rPr>
          <w:rFonts w:ascii="Arial" w:eastAsia="DengXian" w:hAnsi="Arial" w:cs="Arial"/>
          <w:sz w:val="24"/>
          <w:szCs w:val="24"/>
        </w:rPr>
        <w:t>P. Fang designed the study. S. Zhao conducted data collection, the analyses, interpreted the results, and drafted the manuscript. X. Zhang contributed to the data collection and interpretation of the results. W. Dai, Y. Ding and J. Chen collaborated in the data analysis and interpretation of the results. All authors critically reviewed the manuscript and approved the final version submitted for publication.</w:t>
      </w:r>
    </w:p>
    <w:p w:rsidR="003D36FF" w:rsidRPr="004E1E34" w:rsidRDefault="003D36FF" w:rsidP="003D36FF">
      <w:pPr>
        <w:spacing w:line="360" w:lineRule="auto"/>
        <w:ind w:firstLine="0"/>
        <w:rPr>
          <w:rFonts w:ascii="Arial" w:eastAsia="DengXian" w:hAnsi="Arial" w:cs="Arial"/>
          <w:sz w:val="24"/>
          <w:szCs w:val="24"/>
        </w:rPr>
      </w:pPr>
    </w:p>
    <w:p w:rsidR="003D36FF" w:rsidRPr="004E1E34" w:rsidRDefault="003D36FF" w:rsidP="003D36FF">
      <w:pPr>
        <w:spacing w:line="360" w:lineRule="auto"/>
        <w:ind w:firstLine="0"/>
        <w:rPr>
          <w:rFonts w:ascii="Arial" w:eastAsia="DengXian" w:hAnsi="Arial" w:cs="Arial"/>
          <w:b/>
          <w:sz w:val="24"/>
          <w:szCs w:val="24"/>
        </w:rPr>
      </w:pPr>
      <w:r w:rsidRPr="004E1E34">
        <w:rPr>
          <w:rFonts w:ascii="Arial" w:eastAsia="DengXian" w:hAnsi="Arial" w:cs="Arial"/>
          <w:b/>
          <w:sz w:val="24"/>
          <w:szCs w:val="24"/>
        </w:rPr>
        <w:t>Acknowledgements</w:t>
      </w:r>
    </w:p>
    <w:p w:rsidR="003D36FF" w:rsidRPr="004E1E34" w:rsidRDefault="003D36FF" w:rsidP="003D36FF">
      <w:pPr>
        <w:spacing w:line="360" w:lineRule="auto"/>
        <w:ind w:firstLine="0"/>
        <w:rPr>
          <w:rFonts w:ascii="Arial" w:eastAsia="DengXian" w:hAnsi="Arial" w:cs="Arial"/>
          <w:kern w:val="0"/>
          <w:sz w:val="24"/>
          <w:szCs w:val="24"/>
        </w:rPr>
      </w:pPr>
    </w:p>
    <w:p w:rsidR="003D36FF" w:rsidRPr="004E1E34" w:rsidRDefault="003D36FF" w:rsidP="003D36FF">
      <w:pPr>
        <w:spacing w:line="360" w:lineRule="auto"/>
        <w:ind w:firstLine="0"/>
        <w:rPr>
          <w:rFonts w:ascii="Arial" w:eastAsia="DengXian" w:hAnsi="Arial" w:cs="Arial"/>
          <w:kern w:val="0"/>
          <w:sz w:val="24"/>
          <w:szCs w:val="24"/>
        </w:rPr>
      </w:pPr>
      <w:r w:rsidRPr="004E1E34">
        <w:rPr>
          <w:rFonts w:ascii="Arial" w:eastAsia="DengXian" w:hAnsi="Arial" w:cs="Arial"/>
          <w:kern w:val="0"/>
          <w:sz w:val="24"/>
          <w:szCs w:val="24"/>
        </w:rPr>
        <w:t xml:space="preserve">We express our gratitude to Mr. </w:t>
      </w:r>
      <w:proofErr w:type="spellStart"/>
      <w:r w:rsidRPr="004E1E34">
        <w:rPr>
          <w:rFonts w:ascii="Arial" w:eastAsia="DengXian" w:hAnsi="Arial" w:cs="Arial"/>
          <w:kern w:val="0"/>
          <w:sz w:val="24"/>
          <w:szCs w:val="24"/>
        </w:rPr>
        <w:t>Huabo</w:t>
      </w:r>
      <w:proofErr w:type="spellEnd"/>
      <w:r w:rsidRPr="004E1E34">
        <w:rPr>
          <w:rFonts w:ascii="Arial" w:eastAsia="DengXian" w:hAnsi="Arial" w:cs="Arial"/>
          <w:kern w:val="0"/>
          <w:sz w:val="24"/>
          <w:szCs w:val="24"/>
        </w:rPr>
        <w:t xml:space="preserve"> Huang, the vice director of National Social Insurance Management Center of China and the Medical Insurance Management Bureau of Qinghai Province for their support. </w:t>
      </w:r>
    </w:p>
    <w:p w:rsidR="003D36FF" w:rsidRPr="004E1E34" w:rsidRDefault="003D36FF" w:rsidP="003D36FF">
      <w:pPr>
        <w:spacing w:line="360" w:lineRule="auto"/>
        <w:ind w:firstLine="0"/>
        <w:rPr>
          <w:rFonts w:ascii="Arial" w:eastAsia="DengXian" w:hAnsi="Arial" w:cs="Arial"/>
          <w:sz w:val="24"/>
          <w:szCs w:val="24"/>
        </w:rPr>
      </w:pPr>
    </w:p>
    <w:p w:rsidR="003D36FF" w:rsidRPr="004E1E34" w:rsidRDefault="003D36FF" w:rsidP="003D36FF">
      <w:pPr>
        <w:spacing w:line="360" w:lineRule="auto"/>
        <w:ind w:firstLine="0"/>
        <w:rPr>
          <w:rFonts w:ascii="Arial" w:eastAsia="DengXian" w:hAnsi="Arial" w:cs="Arial"/>
          <w:b/>
          <w:sz w:val="24"/>
          <w:szCs w:val="24"/>
        </w:rPr>
      </w:pPr>
      <w:r w:rsidRPr="004E1E34">
        <w:rPr>
          <w:rFonts w:ascii="Arial" w:eastAsia="DengXian" w:hAnsi="Arial" w:cs="Arial"/>
          <w:b/>
          <w:sz w:val="24"/>
          <w:szCs w:val="24"/>
        </w:rPr>
        <w:t>Funding</w:t>
      </w:r>
    </w:p>
    <w:p w:rsidR="003D36FF" w:rsidRPr="004E1E34" w:rsidRDefault="003D36FF" w:rsidP="003D36FF">
      <w:pPr>
        <w:spacing w:line="360" w:lineRule="auto"/>
        <w:ind w:firstLine="0"/>
        <w:rPr>
          <w:rFonts w:ascii="Arial" w:eastAsia="DengXian" w:hAnsi="Arial" w:cs="Arial"/>
          <w:kern w:val="0"/>
          <w:sz w:val="24"/>
          <w:szCs w:val="24"/>
        </w:rPr>
      </w:pPr>
    </w:p>
    <w:p w:rsidR="003D36FF" w:rsidRPr="004E1E34" w:rsidRDefault="003D36FF" w:rsidP="003D36FF">
      <w:pPr>
        <w:spacing w:line="360" w:lineRule="auto"/>
        <w:ind w:firstLine="0"/>
        <w:rPr>
          <w:rFonts w:ascii="Arial" w:eastAsia="DengXian" w:hAnsi="Arial" w:cs="Arial"/>
          <w:kern w:val="0"/>
          <w:sz w:val="24"/>
          <w:szCs w:val="24"/>
        </w:rPr>
      </w:pPr>
      <w:r w:rsidRPr="004E1E34">
        <w:rPr>
          <w:rFonts w:ascii="Arial" w:eastAsia="DengXian" w:hAnsi="Arial" w:cs="Arial"/>
          <w:kern w:val="0"/>
          <w:sz w:val="24"/>
          <w:szCs w:val="24"/>
        </w:rPr>
        <w:t>This work was supported by the National Natural Science Foundation of China (NSFC) [</w:t>
      </w:r>
      <w:r w:rsidRPr="004E1E34">
        <w:rPr>
          <w:rFonts w:ascii="Arial" w:eastAsia="SimSun" w:hAnsi="Arial" w:cs="Arial"/>
          <w:kern w:val="0"/>
          <w:sz w:val="24"/>
          <w:szCs w:val="24"/>
        </w:rPr>
        <w:t xml:space="preserve">No. </w:t>
      </w:r>
      <w:r w:rsidRPr="004E1E34">
        <w:rPr>
          <w:rFonts w:ascii="Arial" w:eastAsia="DengXian" w:hAnsi="Arial" w:cs="Arial"/>
          <w:kern w:val="0"/>
          <w:sz w:val="24"/>
          <w:szCs w:val="24"/>
        </w:rPr>
        <w:t xml:space="preserve">71333005], the National Philosophy and Social Science Foundation (NPSSF) </w:t>
      </w:r>
      <w:r w:rsidRPr="004E1E34">
        <w:rPr>
          <w:rFonts w:ascii="Arial" w:eastAsia="SimSun" w:hAnsi="Arial" w:cs="Arial"/>
          <w:kern w:val="0"/>
          <w:sz w:val="24"/>
          <w:szCs w:val="24"/>
        </w:rPr>
        <w:t>of</w:t>
      </w:r>
      <w:r w:rsidRPr="004E1E34">
        <w:rPr>
          <w:rFonts w:ascii="Arial" w:eastAsia="DengXian" w:hAnsi="Arial" w:cs="Arial"/>
          <w:kern w:val="0"/>
          <w:sz w:val="24"/>
          <w:szCs w:val="24"/>
        </w:rPr>
        <w:t xml:space="preserve"> China [</w:t>
      </w:r>
      <w:r w:rsidRPr="004E1E34">
        <w:rPr>
          <w:rFonts w:ascii="Arial" w:eastAsia="SimSun" w:hAnsi="Arial" w:cs="Arial"/>
          <w:kern w:val="0"/>
          <w:sz w:val="24"/>
          <w:szCs w:val="24"/>
        </w:rPr>
        <w:t xml:space="preserve">No. </w:t>
      </w:r>
      <w:r w:rsidRPr="004E1E34">
        <w:rPr>
          <w:rFonts w:ascii="Arial" w:eastAsia="DengXian" w:hAnsi="Arial" w:cs="Arial"/>
          <w:kern w:val="0"/>
          <w:sz w:val="24"/>
          <w:szCs w:val="24"/>
        </w:rPr>
        <w:t xml:space="preserve">15ZDC037]. </w:t>
      </w:r>
    </w:p>
    <w:p w:rsidR="003D36FF" w:rsidRPr="004E1E34" w:rsidRDefault="003D36FF" w:rsidP="003D36FF">
      <w:pPr>
        <w:spacing w:line="360" w:lineRule="auto"/>
        <w:ind w:firstLine="0"/>
        <w:rPr>
          <w:rFonts w:ascii="Arial" w:eastAsia="DengXian" w:hAnsi="Arial" w:cs="Arial"/>
          <w:b/>
          <w:sz w:val="24"/>
          <w:szCs w:val="24"/>
        </w:rPr>
      </w:pPr>
    </w:p>
    <w:p w:rsidR="003D36FF" w:rsidRPr="004E1E34" w:rsidRDefault="003D36FF" w:rsidP="003D36FF">
      <w:pPr>
        <w:spacing w:line="360" w:lineRule="auto"/>
        <w:ind w:firstLine="0"/>
        <w:rPr>
          <w:rFonts w:ascii="Arial" w:eastAsia="DengXian" w:hAnsi="Arial" w:cs="Arial"/>
          <w:b/>
          <w:sz w:val="24"/>
          <w:szCs w:val="24"/>
        </w:rPr>
      </w:pPr>
      <w:r w:rsidRPr="004E1E34">
        <w:rPr>
          <w:rFonts w:ascii="Arial" w:eastAsia="DengXian" w:hAnsi="Arial" w:cs="Arial"/>
          <w:b/>
          <w:sz w:val="24"/>
          <w:szCs w:val="24"/>
        </w:rPr>
        <w:t>Conflicts of interest</w:t>
      </w:r>
    </w:p>
    <w:p w:rsidR="003D36FF" w:rsidRPr="004E1E34" w:rsidRDefault="003D36FF" w:rsidP="003D36FF">
      <w:pPr>
        <w:spacing w:line="360" w:lineRule="auto"/>
        <w:ind w:firstLine="0"/>
        <w:rPr>
          <w:rFonts w:ascii="Arial" w:eastAsia="DengXian" w:hAnsi="Arial" w:cs="Arial"/>
          <w:sz w:val="24"/>
          <w:szCs w:val="24"/>
        </w:rPr>
      </w:pPr>
    </w:p>
    <w:p w:rsidR="003D36FF" w:rsidRPr="004E1E34" w:rsidRDefault="003D36FF" w:rsidP="003D36FF">
      <w:pPr>
        <w:spacing w:line="360" w:lineRule="auto"/>
        <w:ind w:firstLine="0"/>
        <w:rPr>
          <w:rFonts w:ascii="Arial" w:eastAsia="DengXian" w:hAnsi="Arial" w:cs="Arial"/>
          <w:sz w:val="24"/>
          <w:szCs w:val="24"/>
        </w:rPr>
      </w:pPr>
      <w:r w:rsidRPr="004E1E34">
        <w:rPr>
          <w:rFonts w:ascii="Arial" w:eastAsia="DengXian" w:hAnsi="Arial" w:cs="Arial"/>
          <w:sz w:val="24"/>
          <w:szCs w:val="24"/>
        </w:rPr>
        <w:t>None.</w:t>
      </w:r>
    </w:p>
    <w:p w:rsidR="003D36FF" w:rsidRPr="004E1E34" w:rsidRDefault="003D36FF" w:rsidP="003D36FF">
      <w:pPr>
        <w:spacing w:line="360" w:lineRule="auto"/>
        <w:ind w:firstLine="0"/>
        <w:rPr>
          <w:rFonts w:ascii="Arial" w:eastAsia="DengXian" w:hAnsi="Arial" w:cs="Arial"/>
          <w:b/>
          <w:sz w:val="24"/>
          <w:szCs w:val="24"/>
        </w:rPr>
      </w:pPr>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b/>
          <w:bCs/>
          <w:kern w:val="0"/>
          <w:sz w:val="24"/>
          <w:szCs w:val="24"/>
        </w:rPr>
      </w:pPr>
      <w:r w:rsidRPr="00ED019C">
        <w:rPr>
          <w:rFonts w:ascii="Arial" w:hAnsi="Arial" w:cs="Arial"/>
          <w:sz w:val="24"/>
          <w:szCs w:val="24"/>
        </w:rPr>
        <w:fldChar w:fldCharType="begin"/>
      </w:r>
      <w:r w:rsidRPr="004E1E34">
        <w:rPr>
          <w:rFonts w:ascii="Arial" w:hAnsi="Arial" w:cs="Arial"/>
          <w:sz w:val="24"/>
          <w:szCs w:val="24"/>
        </w:rPr>
        <w:instrText xml:space="preserve"> ADDIN NE.Bib</w:instrText>
      </w:r>
      <w:r w:rsidRPr="00E557FE">
        <w:rPr>
          <w:rFonts w:ascii="Arial" w:hAnsi="Arial" w:cs="Arial"/>
          <w:sz w:val="24"/>
          <w:szCs w:val="24"/>
        </w:rPr>
        <w:fldChar w:fldCharType="separate"/>
      </w:r>
      <w:r w:rsidRPr="004E1E34">
        <w:rPr>
          <w:rFonts w:ascii="Arial" w:eastAsia="SimSun" w:hAnsi="Arial" w:cs="Arial"/>
          <w:b/>
          <w:bCs/>
          <w:kern w:val="0"/>
          <w:sz w:val="24"/>
          <w:szCs w:val="24"/>
        </w:rPr>
        <w:t>References</w:t>
      </w:r>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rPr>
      </w:pPr>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rPr>
      </w:pPr>
      <w:r w:rsidRPr="004E1E34">
        <w:rPr>
          <w:rFonts w:ascii="Arial" w:eastAsia="SimSun" w:hAnsi="Arial" w:cs="Arial"/>
          <w:kern w:val="0"/>
          <w:sz w:val="24"/>
          <w:szCs w:val="24"/>
        </w:rPr>
        <w:t xml:space="preserve"> </w:t>
      </w:r>
      <w:r w:rsidRPr="00ED019C">
        <w:rPr>
          <w:rFonts w:ascii="Arial" w:eastAsia="SimSun" w:hAnsi="Arial" w:cs="Arial"/>
          <w:kern w:val="0"/>
          <w:sz w:val="24"/>
          <w:szCs w:val="24"/>
        </w:rPr>
        <w:t>1.</w:t>
      </w:r>
      <w:r w:rsidRPr="00ED019C">
        <w:rPr>
          <w:rFonts w:ascii="Arial" w:eastAsia="SimSun" w:hAnsi="Arial" w:cs="Arial"/>
          <w:kern w:val="0"/>
          <w:sz w:val="24"/>
          <w:szCs w:val="24"/>
        </w:rPr>
        <w:tab/>
      </w:r>
      <w:bookmarkStart w:id="1" w:name="_neb49E0F954_CA4C_4B2F_A319_03A7AEFEFA7A"/>
      <w:r w:rsidRPr="00ED019C">
        <w:rPr>
          <w:rFonts w:ascii="Arial" w:eastAsia="SimSun" w:hAnsi="Arial" w:cs="Arial"/>
          <w:kern w:val="0"/>
          <w:sz w:val="24"/>
          <w:szCs w:val="24"/>
        </w:rPr>
        <w:t xml:space="preserve">Li H, Jiang L. Catastrophic medical insurance in China. </w:t>
      </w:r>
      <w:bookmarkStart w:id="2" w:name="OLE_LINK7"/>
      <w:bookmarkStart w:id="3" w:name="OLE_LINK8"/>
      <w:bookmarkStart w:id="4" w:name="OLE_LINK9"/>
      <w:bookmarkStart w:id="5" w:name="OLE_LINK18"/>
      <w:r w:rsidRPr="00ED019C">
        <w:rPr>
          <w:rFonts w:ascii="Arial" w:eastAsia="SimSun" w:hAnsi="Arial" w:cs="Arial"/>
          <w:kern w:val="0"/>
          <w:sz w:val="24"/>
          <w:szCs w:val="24"/>
        </w:rPr>
        <w:t>Lancet</w:t>
      </w:r>
      <w:bookmarkEnd w:id="2"/>
      <w:bookmarkEnd w:id="3"/>
      <w:bookmarkEnd w:id="4"/>
      <w:bookmarkEnd w:id="5"/>
      <w:r w:rsidRPr="00ED019C">
        <w:rPr>
          <w:rFonts w:ascii="Arial" w:eastAsia="SimSun" w:hAnsi="Arial" w:cs="Arial"/>
          <w:kern w:val="0"/>
          <w:sz w:val="24"/>
          <w:szCs w:val="24"/>
        </w:rPr>
        <w:t>.</w:t>
      </w:r>
      <w:r w:rsidRPr="004E1E34">
        <w:rPr>
          <w:rFonts w:ascii="Arial" w:eastAsia="SimSun" w:hAnsi="Arial" w:cs="Arial"/>
          <w:kern w:val="0"/>
          <w:sz w:val="24"/>
          <w:szCs w:val="24"/>
        </w:rPr>
        <w:t xml:space="preserve"> 2017</w:t>
      </w:r>
      <w:proofErr w:type="gramStart"/>
      <w:r w:rsidRPr="004E1E34">
        <w:rPr>
          <w:rFonts w:ascii="Arial" w:eastAsia="SimSun" w:hAnsi="Arial" w:cs="Arial"/>
          <w:kern w:val="0"/>
          <w:sz w:val="24"/>
          <w:szCs w:val="24"/>
        </w:rPr>
        <w:t>;390:1724</w:t>
      </w:r>
      <w:proofErr w:type="gramEnd"/>
      <w:r w:rsidRPr="004E1E34">
        <w:rPr>
          <w:rFonts w:ascii="Arial" w:eastAsia="SimSun" w:hAnsi="Arial" w:cs="Arial"/>
          <w:kern w:val="0"/>
          <w:sz w:val="24"/>
          <w:szCs w:val="24"/>
        </w:rPr>
        <w:t>-5.</w:t>
      </w:r>
      <w:bookmarkEnd w:id="1"/>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rPr>
      </w:pPr>
      <w:r w:rsidRPr="004E1E34">
        <w:rPr>
          <w:rFonts w:ascii="Arial" w:eastAsia="SimSun" w:hAnsi="Arial" w:cs="Arial"/>
          <w:kern w:val="0"/>
          <w:sz w:val="24"/>
          <w:szCs w:val="24"/>
        </w:rPr>
        <w:t xml:space="preserve"> 2.</w:t>
      </w:r>
      <w:r w:rsidRPr="004E1E34">
        <w:rPr>
          <w:rFonts w:ascii="Arial" w:eastAsia="SimSun" w:hAnsi="Arial" w:cs="Arial"/>
          <w:kern w:val="0"/>
          <w:sz w:val="24"/>
          <w:szCs w:val="24"/>
        </w:rPr>
        <w:tab/>
      </w:r>
      <w:bookmarkStart w:id="6" w:name="_neb357C9FBB_E44A_4394_B545_FCE89456684E"/>
      <w:proofErr w:type="spellStart"/>
      <w:r w:rsidRPr="004E1E34">
        <w:rPr>
          <w:rFonts w:ascii="Arial" w:eastAsia="SimSun" w:hAnsi="Arial" w:cs="Arial"/>
          <w:kern w:val="0"/>
          <w:sz w:val="24"/>
          <w:szCs w:val="24"/>
        </w:rPr>
        <w:t>Naghavi</w:t>
      </w:r>
      <w:proofErr w:type="spellEnd"/>
      <w:r w:rsidRPr="004E1E34">
        <w:rPr>
          <w:rFonts w:ascii="Arial" w:eastAsia="SimSun" w:hAnsi="Arial" w:cs="Arial"/>
          <w:kern w:val="0"/>
          <w:sz w:val="24"/>
          <w:szCs w:val="24"/>
        </w:rPr>
        <w:t xml:space="preserve"> M, </w:t>
      </w:r>
      <w:proofErr w:type="spellStart"/>
      <w:r w:rsidRPr="004E1E34">
        <w:rPr>
          <w:rFonts w:ascii="Arial" w:eastAsia="SimSun" w:hAnsi="Arial" w:cs="Arial"/>
          <w:kern w:val="0"/>
          <w:sz w:val="24"/>
          <w:szCs w:val="24"/>
        </w:rPr>
        <w:t>Abajobir</w:t>
      </w:r>
      <w:proofErr w:type="spellEnd"/>
      <w:r w:rsidRPr="004E1E34">
        <w:rPr>
          <w:rFonts w:ascii="Arial" w:eastAsia="SimSun" w:hAnsi="Arial" w:cs="Arial"/>
          <w:kern w:val="0"/>
          <w:sz w:val="24"/>
          <w:szCs w:val="24"/>
        </w:rPr>
        <w:t xml:space="preserve"> AA, </w:t>
      </w:r>
      <w:proofErr w:type="spellStart"/>
      <w:r w:rsidRPr="004E1E34">
        <w:rPr>
          <w:rFonts w:ascii="Arial" w:eastAsia="SimSun" w:hAnsi="Arial" w:cs="Arial"/>
          <w:kern w:val="0"/>
          <w:sz w:val="24"/>
          <w:szCs w:val="24"/>
        </w:rPr>
        <w:t>Abbafati</w:t>
      </w:r>
      <w:proofErr w:type="spellEnd"/>
      <w:r w:rsidRPr="004E1E34">
        <w:rPr>
          <w:rFonts w:ascii="Arial" w:eastAsia="SimSun" w:hAnsi="Arial" w:cs="Arial"/>
          <w:kern w:val="0"/>
          <w:sz w:val="24"/>
          <w:szCs w:val="24"/>
        </w:rPr>
        <w:t xml:space="preserve"> C, et al. Global, regional, and national age-sex specific mortality for 264 causes of death, 1980</w:t>
      </w:r>
      <w:r>
        <w:rPr>
          <w:rFonts w:ascii="Arial" w:eastAsia="SimSun" w:hAnsi="Arial" w:cs="Arial"/>
          <w:kern w:val="0"/>
          <w:sz w:val="24"/>
          <w:szCs w:val="24"/>
        </w:rPr>
        <w:t>-</w:t>
      </w:r>
      <w:r w:rsidRPr="004E1E34">
        <w:rPr>
          <w:rFonts w:ascii="Arial" w:eastAsia="SimSun" w:hAnsi="Arial" w:cs="Arial"/>
          <w:kern w:val="0"/>
          <w:sz w:val="24"/>
          <w:szCs w:val="24"/>
        </w:rPr>
        <w:t>2016: a systematic analysis for the Global Burden of Disease Study 2016. Lancet. 2017</w:t>
      </w:r>
      <w:proofErr w:type="gramStart"/>
      <w:r w:rsidRPr="004E1E34">
        <w:rPr>
          <w:rFonts w:ascii="Arial" w:eastAsia="SimSun" w:hAnsi="Arial" w:cs="Arial"/>
          <w:kern w:val="0"/>
          <w:sz w:val="24"/>
          <w:szCs w:val="24"/>
        </w:rPr>
        <w:t>;390:1151</w:t>
      </w:r>
      <w:proofErr w:type="gramEnd"/>
      <w:r w:rsidRPr="004E1E34">
        <w:rPr>
          <w:rFonts w:ascii="Arial" w:eastAsia="SimSun" w:hAnsi="Arial" w:cs="Arial"/>
          <w:kern w:val="0"/>
          <w:sz w:val="24"/>
          <w:szCs w:val="24"/>
        </w:rPr>
        <w:t>-210.</w:t>
      </w:r>
      <w:bookmarkEnd w:id="6"/>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rPr>
      </w:pPr>
      <w:r w:rsidRPr="004E1E34">
        <w:rPr>
          <w:rFonts w:ascii="Arial" w:eastAsia="SimSun" w:hAnsi="Arial" w:cs="Arial"/>
          <w:kern w:val="0"/>
          <w:sz w:val="24"/>
          <w:szCs w:val="24"/>
        </w:rPr>
        <w:t xml:space="preserve"> 3.</w:t>
      </w:r>
      <w:r w:rsidRPr="004E1E34">
        <w:rPr>
          <w:rFonts w:ascii="Arial" w:eastAsia="SimSun" w:hAnsi="Arial" w:cs="Arial"/>
          <w:kern w:val="0"/>
          <w:sz w:val="24"/>
          <w:szCs w:val="24"/>
        </w:rPr>
        <w:tab/>
      </w:r>
      <w:bookmarkStart w:id="7" w:name="_neb648CF5BB_941B_46D6_B00E_CDD5D57C302A"/>
      <w:r w:rsidRPr="004E1E34">
        <w:rPr>
          <w:rFonts w:ascii="Arial" w:eastAsia="SimSun" w:hAnsi="Arial" w:cs="Arial"/>
          <w:kern w:val="0"/>
          <w:sz w:val="24"/>
          <w:szCs w:val="24"/>
        </w:rPr>
        <w:t xml:space="preserve">Amaya-Lara JL. Catastrophic expenditure due to out-of-pocket health payments and </w:t>
      </w:r>
      <w:r w:rsidRPr="004E1E34">
        <w:rPr>
          <w:rFonts w:ascii="Arial" w:eastAsia="SimSun" w:hAnsi="Arial" w:cs="Arial"/>
          <w:kern w:val="0"/>
          <w:sz w:val="24"/>
          <w:szCs w:val="24"/>
        </w:rPr>
        <w:lastRenderedPageBreak/>
        <w:t xml:space="preserve">its determinants in Colombian households. </w:t>
      </w:r>
      <w:proofErr w:type="spellStart"/>
      <w:r w:rsidRPr="004E1E34">
        <w:rPr>
          <w:rFonts w:ascii="Arial" w:eastAsia="SimSun" w:hAnsi="Arial" w:cs="Arial"/>
          <w:kern w:val="0"/>
          <w:sz w:val="24"/>
          <w:szCs w:val="24"/>
        </w:rPr>
        <w:t>Int</w:t>
      </w:r>
      <w:proofErr w:type="spellEnd"/>
      <w:r w:rsidRPr="004E1E34">
        <w:rPr>
          <w:rFonts w:ascii="Arial" w:eastAsia="SimSun" w:hAnsi="Arial" w:cs="Arial"/>
          <w:kern w:val="0"/>
          <w:sz w:val="24"/>
          <w:szCs w:val="24"/>
        </w:rPr>
        <w:t xml:space="preserve"> J Equity Health. 2016</w:t>
      </w:r>
      <w:proofErr w:type="gramStart"/>
      <w:r w:rsidRPr="004E1E34">
        <w:rPr>
          <w:rFonts w:ascii="Arial" w:eastAsia="SimSun" w:hAnsi="Arial" w:cs="Arial"/>
          <w:kern w:val="0"/>
          <w:sz w:val="24"/>
          <w:szCs w:val="24"/>
        </w:rPr>
        <w:t>;15:182</w:t>
      </w:r>
      <w:proofErr w:type="gramEnd"/>
      <w:r w:rsidRPr="004E1E34">
        <w:rPr>
          <w:rFonts w:ascii="Arial" w:eastAsia="SimSun" w:hAnsi="Arial" w:cs="Arial"/>
          <w:kern w:val="0"/>
          <w:sz w:val="24"/>
          <w:szCs w:val="24"/>
        </w:rPr>
        <w:t>-93.</w:t>
      </w:r>
      <w:bookmarkEnd w:id="7"/>
      <w:r w:rsidRPr="004E1E34">
        <w:rPr>
          <w:rFonts w:ascii="Arial" w:hAnsi="Arial" w:cs="Arial"/>
          <w:sz w:val="24"/>
          <w:szCs w:val="24"/>
        </w:rPr>
        <w:t xml:space="preserve"> </w:t>
      </w:r>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rPr>
      </w:pPr>
      <w:r w:rsidRPr="004E1E34">
        <w:rPr>
          <w:rFonts w:ascii="Arial" w:eastAsia="SimSun" w:hAnsi="Arial" w:cs="Arial"/>
          <w:kern w:val="0"/>
          <w:sz w:val="24"/>
          <w:szCs w:val="24"/>
        </w:rPr>
        <w:t xml:space="preserve"> 4.</w:t>
      </w:r>
      <w:r w:rsidRPr="004E1E34">
        <w:rPr>
          <w:rFonts w:ascii="Arial" w:eastAsia="SimSun" w:hAnsi="Arial" w:cs="Arial"/>
          <w:kern w:val="0"/>
          <w:sz w:val="24"/>
          <w:szCs w:val="24"/>
        </w:rPr>
        <w:tab/>
      </w:r>
      <w:bookmarkStart w:id="8" w:name="_neb0648C0B8_8D80_46CB_8CBC_A03712EB37E3"/>
      <w:r w:rsidRPr="004E1E34">
        <w:rPr>
          <w:rFonts w:ascii="Arial" w:eastAsia="SimSun" w:hAnsi="Arial" w:cs="Arial"/>
          <w:kern w:val="0"/>
          <w:sz w:val="24"/>
          <w:szCs w:val="24"/>
        </w:rPr>
        <w:t xml:space="preserve">Huang H, Shi J, </w:t>
      </w:r>
      <w:proofErr w:type="spellStart"/>
      <w:r w:rsidRPr="004E1E34">
        <w:rPr>
          <w:rFonts w:ascii="Arial" w:eastAsia="SimSun" w:hAnsi="Arial" w:cs="Arial"/>
          <w:kern w:val="0"/>
          <w:sz w:val="24"/>
          <w:szCs w:val="24"/>
        </w:rPr>
        <w:t>Guo</w:t>
      </w:r>
      <w:proofErr w:type="spellEnd"/>
      <w:r w:rsidRPr="004E1E34">
        <w:rPr>
          <w:rFonts w:ascii="Arial" w:eastAsia="SimSun" w:hAnsi="Arial" w:cs="Arial"/>
          <w:kern w:val="0"/>
          <w:sz w:val="24"/>
          <w:szCs w:val="24"/>
        </w:rPr>
        <w:t xml:space="preserve"> L, et al. Expenditure and financial burden for common cancers in China: a hospital-based </w:t>
      </w:r>
      <w:proofErr w:type="spellStart"/>
      <w:r w:rsidRPr="004E1E34">
        <w:rPr>
          <w:rFonts w:ascii="Arial" w:eastAsia="SimSun" w:hAnsi="Arial" w:cs="Arial"/>
          <w:kern w:val="0"/>
          <w:sz w:val="24"/>
          <w:szCs w:val="24"/>
        </w:rPr>
        <w:t>multicentre</w:t>
      </w:r>
      <w:proofErr w:type="spellEnd"/>
      <w:r w:rsidRPr="004E1E34">
        <w:rPr>
          <w:rFonts w:ascii="Arial" w:eastAsia="SimSun" w:hAnsi="Arial" w:cs="Arial"/>
          <w:kern w:val="0"/>
          <w:sz w:val="24"/>
          <w:szCs w:val="24"/>
        </w:rPr>
        <w:t xml:space="preserve"> cross-sectional study. Lancet. 2016</w:t>
      </w:r>
      <w:proofErr w:type="gramStart"/>
      <w:r w:rsidRPr="004E1E34">
        <w:rPr>
          <w:rFonts w:ascii="Arial" w:eastAsia="SimSun" w:hAnsi="Arial" w:cs="Arial"/>
          <w:kern w:val="0"/>
          <w:sz w:val="24"/>
          <w:szCs w:val="24"/>
        </w:rPr>
        <w:t>;388:S10</w:t>
      </w:r>
      <w:proofErr w:type="gramEnd"/>
      <w:r w:rsidRPr="004E1E34">
        <w:rPr>
          <w:rFonts w:ascii="Arial" w:eastAsia="SimSun" w:hAnsi="Arial" w:cs="Arial"/>
          <w:kern w:val="0"/>
          <w:sz w:val="24"/>
          <w:szCs w:val="24"/>
        </w:rPr>
        <w:t>.</w:t>
      </w:r>
      <w:bookmarkEnd w:id="8"/>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rPr>
      </w:pPr>
      <w:r w:rsidRPr="004E1E34">
        <w:rPr>
          <w:rFonts w:ascii="Arial" w:eastAsia="SimSun" w:hAnsi="Arial" w:cs="Arial"/>
          <w:kern w:val="0"/>
          <w:sz w:val="24"/>
          <w:szCs w:val="24"/>
        </w:rPr>
        <w:t xml:space="preserve"> 5.</w:t>
      </w:r>
      <w:r w:rsidRPr="004E1E34">
        <w:rPr>
          <w:rFonts w:ascii="Arial" w:eastAsia="SimSun" w:hAnsi="Arial" w:cs="Arial"/>
          <w:kern w:val="0"/>
          <w:sz w:val="24"/>
          <w:szCs w:val="24"/>
        </w:rPr>
        <w:tab/>
      </w:r>
      <w:bookmarkStart w:id="9" w:name="_neb89C2E42A_74F4_49D5_87BA_57D4BD6AB1AC"/>
      <w:proofErr w:type="spellStart"/>
      <w:r w:rsidRPr="004E1E34">
        <w:rPr>
          <w:rFonts w:ascii="Arial" w:eastAsia="SimSun" w:hAnsi="Arial" w:cs="Arial"/>
          <w:kern w:val="0"/>
          <w:sz w:val="24"/>
          <w:szCs w:val="24"/>
        </w:rPr>
        <w:t>Brinda</w:t>
      </w:r>
      <w:proofErr w:type="spellEnd"/>
      <w:r w:rsidRPr="004E1E34">
        <w:rPr>
          <w:rFonts w:ascii="Arial" w:eastAsia="SimSun" w:hAnsi="Arial" w:cs="Arial"/>
          <w:kern w:val="0"/>
          <w:sz w:val="24"/>
          <w:szCs w:val="24"/>
        </w:rPr>
        <w:t xml:space="preserve"> EM, </w:t>
      </w:r>
      <w:proofErr w:type="spellStart"/>
      <w:r w:rsidRPr="004E1E34">
        <w:rPr>
          <w:rFonts w:ascii="Arial" w:eastAsia="SimSun" w:hAnsi="Arial" w:cs="Arial"/>
          <w:kern w:val="0"/>
          <w:sz w:val="24"/>
          <w:szCs w:val="24"/>
        </w:rPr>
        <w:t>Kowal</w:t>
      </w:r>
      <w:proofErr w:type="spellEnd"/>
      <w:r w:rsidRPr="004E1E34">
        <w:rPr>
          <w:rFonts w:ascii="Arial" w:eastAsia="SimSun" w:hAnsi="Arial" w:cs="Arial"/>
          <w:kern w:val="0"/>
          <w:sz w:val="24"/>
          <w:szCs w:val="24"/>
        </w:rPr>
        <w:t xml:space="preserve"> P, </w:t>
      </w:r>
      <w:proofErr w:type="spellStart"/>
      <w:r w:rsidRPr="004E1E34">
        <w:rPr>
          <w:rFonts w:ascii="Arial" w:eastAsia="SimSun" w:hAnsi="Arial" w:cs="Arial"/>
          <w:kern w:val="0"/>
          <w:sz w:val="24"/>
          <w:szCs w:val="24"/>
        </w:rPr>
        <w:t>Attermann</w:t>
      </w:r>
      <w:proofErr w:type="spellEnd"/>
      <w:r w:rsidRPr="004E1E34">
        <w:rPr>
          <w:rFonts w:ascii="Arial" w:eastAsia="SimSun" w:hAnsi="Arial" w:cs="Arial"/>
          <w:kern w:val="0"/>
          <w:sz w:val="24"/>
          <w:szCs w:val="24"/>
        </w:rPr>
        <w:t xml:space="preserve"> J, et al. Health service use, out-of-pocket payments and catastrophic health expenditure among older people in India: </w:t>
      </w:r>
      <w:r>
        <w:rPr>
          <w:rFonts w:ascii="Arial" w:eastAsia="SimSun" w:hAnsi="Arial" w:cs="Arial"/>
          <w:kern w:val="0"/>
          <w:sz w:val="24"/>
          <w:szCs w:val="24"/>
        </w:rPr>
        <w:t>t</w:t>
      </w:r>
      <w:r w:rsidRPr="004E1E34">
        <w:rPr>
          <w:rFonts w:ascii="Arial" w:eastAsia="SimSun" w:hAnsi="Arial" w:cs="Arial"/>
          <w:kern w:val="0"/>
          <w:sz w:val="24"/>
          <w:szCs w:val="24"/>
        </w:rPr>
        <w:t xml:space="preserve">he WHO Study on global </w:t>
      </w:r>
      <w:proofErr w:type="spellStart"/>
      <w:r w:rsidRPr="004E1E34">
        <w:rPr>
          <w:rFonts w:ascii="Arial" w:eastAsia="SimSun" w:hAnsi="Arial" w:cs="Arial"/>
          <w:kern w:val="0"/>
          <w:sz w:val="24"/>
          <w:szCs w:val="24"/>
        </w:rPr>
        <w:t>AGEing</w:t>
      </w:r>
      <w:proofErr w:type="spellEnd"/>
      <w:r w:rsidRPr="004E1E34">
        <w:rPr>
          <w:rFonts w:ascii="Arial" w:eastAsia="SimSun" w:hAnsi="Arial" w:cs="Arial"/>
          <w:kern w:val="0"/>
          <w:sz w:val="24"/>
          <w:szCs w:val="24"/>
        </w:rPr>
        <w:t xml:space="preserve"> and adult health (SAGE). J</w:t>
      </w:r>
      <w:r>
        <w:rPr>
          <w:rFonts w:ascii="Arial" w:eastAsia="SimSun" w:hAnsi="Arial" w:cs="Arial"/>
          <w:kern w:val="0"/>
          <w:sz w:val="24"/>
          <w:szCs w:val="24"/>
        </w:rPr>
        <w:t xml:space="preserve"> </w:t>
      </w:r>
      <w:proofErr w:type="spellStart"/>
      <w:r>
        <w:rPr>
          <w:rFonts w:ascii="Arial" w:eastAsia="SimSun" w:hAnsi="Arial" w:cs="Arial"/>
          <w:kern w:val="0"/>
          <w:sz w:val="24"/>
          <w:szCs w:val="24"/>
        </w:rPr>
        <w:t>E</w:t>
      </w:r>
      <w:r w:rsidRPr="004E1E34">
        <w:rPr>
          <w:rFonts w:ascii="Arial" w:eastAsia="SimSun" w:hAnsi="Arial" w:cs="Arial"/>
          <w:kern w:val="0"/>
          <w:sz w:val="24"/>
          <w:szCs w:val="24"/>
        </w:rPr>
        <w:t>pidemiol</w:t>
      </w:r>
      <w:proofErr w:type="spellEnd"/>
      <w:r w:rsidRPr="004E1E34">
        <w:rPr>
          <w:rFonts w:ascii="Arial" w:eastAsia="SimSun" w:hAnsi="Arial" w:cs="Arial"/>
          <w:kern w:val="0"/>
          <w:sz w:val="24"/>
          <w:szCs w:val="24"/>
        </w:rPr>
        <w:t xml:space="preserve"> </w:t>
      </w:r>
      <w:r>
        <w:rPr>
          <w:rFonts w:ascii="Arial" w:eastAsia="SimSun" w:hAnsi="Arial" w:cs="Arial"/>
          <w:kern w:val="0"/>
          <w:sz w:val="24"/>
          <w:szCs w:val="24"/>
        </w:rPr>
        <w:t>C</w:t>
      </w:r>
      <w:r w:rsidRPr="004E1E34">
        <w:rPr>
          <w:rFonts w:ascii="Arial" w:eastAsia="SimSun" w:hAnsi="Arial" w:cs="Arial"/>
          <w:kern w:val="0"/>
          <w:sz w:val="24"/>
          <w:szCs w:val="24"/>
        </w:rPr>
        <w:t xml:space="preserve">ommunity </w:t>
      </w:r>
      <w:r>
        <w:rPr>
          <w:rFonts w:ascii="Arial" w:eastAsia="SimSun" w:hAnsi="Arial" w:cs="Arial"/>
          <w:kern w:val="0"/>
          <w:sz w:val="24"/>
          <w:szCs w:val="24"/>
        </w:rPr>
        <w:t>H</w:t>
      </w:r>
      <w:r w:rsidRPr="004E1E34">
        <w:rPr>
          <w:rFonts w:ascii="Arial" w:eastAsia="SimSun" w:hAnsi="Arial" w:cs="Arial"/>
          <w:kern w:val="0"/>
          <w:sz w:val="24"/>
          <w:szCs w:val="24"/>
        </w:rPr>
        <w:t>ealth. 2015</w:t>
      </w:r>
      <w:proofErr w:type="gramStart"/>
      <w:r w:rsidRPr="004E1E34">
        <w:rPr>
          <w:rFonts w:ascii="Arial" w:eastAsia="SimSun" w:hAnsi="Arial" w:cs="Arial"/>
          <w:kern w:val="0"/>
          <w:sz w:val="24"/>
          <w:szCs w:val="24"/>
        </w:rPr>
        <w:t>;69:489</w:t>
      </w:r>
      <w:proofErr w:type="gramEnd"/>
      <w:r w:rsidRPr="004E1E34">
        <w:rPr>
          <w:rFonts w:ascii="Arial" w:eastAsia="SimSun" w:hAnsi="Arial" w:cs="Arial"/>
          <w:kern w:val="0"/>
          <w:sz w:val="24"/>
          <w:szCs w:val="24"/>
        </w:rPr>
        <w:t>-94.</w:t>
      </w:r>
      <w:bookmarkEnd w:id="9"/>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rPr>
      </w:pPr>
      <w:r w:rsidRPr="004E1E34">
        <w:rPr>
          <w:rFonts w:ascii="Arial" w:eastAsia="SimSun" w:hAnsi="Arial" w:cs="Arial"/>
          <w:kern w:val="0"/>
          <w:sz w:val="24"/>
          <w:szCs w:val="24"/>
        </w:rPr>
        <w:t xml:space="preserve"> 6.</w:t>
      </w:r>
      <w:r w:rsidRPr="004E1E34">
        <w:rPr>
          <w:rFonts w:ascii="Arial" w:eastAsia="SimSun" w:hAnsi="Arial" w:cs="Arial"/>
          <w:kern w:val="0"/>
          <w:sz w:val="24"/>
          <w:szCs w:val="24"/>
        </w:rPr>
        <w:tab/>
      </w:r>
      <w:bookmarkStart w:id="10" w:name="_nebE4EBE6C5_F2BF_4822_A115_AEBFD76A6A4A"/>
      <w:r w:rsidRPr="004E1E34">
        <w:rPr>
          <w:rFonts w:ascii="Arial" w:eastAsia="SimSun" w:hAnsi="Arial" w:cs="Arial"/>
          <w:kern w:val="0"/>
          <w:sz w:val="24"/>
          <w:szCs w:val="24"/>
        </w:rPr>
        <w:t>Ma R, Huang L, Zhao D, et al. China critical illness insurance policy - the recent developments and prospects. Value Health. 2014</w:t>
      </w:r>
      <w:proofErr w:type="gramStart"/>
      <w:r w:rsidRPr="004E1E34">
        <w:rPr>
          <w:rFonts w:ascii="Arial" w:eastAsia="SimSun" w:hAnsi="Arial" w:cs="Arial"/>
          <w:kern w:val="0"/>
          <w:sz w:val="24"/>
          <w:szCs w:val="24"/>
        </w:rPr>
        <w:t>;17:A795</w:t>
      </w:r>
      <w:proofErr w:type="gramEnd"/>
      <w:r w:rsidRPr="004E1E34">
        <w:rPr>
          <w:rFonts w:ascii="Arial" w:eastAsia="SimSun" w:hAnsi="Arial" w:cs="Arial"/>
          <w:kern w:val="0"/>
          <w:sz w:val="24"/>
          <w:szCs w:val="24"/>
        </w:rPr>
        <w:t>.</w:t>
      </w:r>
      <w:bookmarkEnd w:id="10"/>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rPr>
      </w:pPr>
      <w:r w:rsidRPr="004E1E34">
        <w:rPr>
          <w:rFonts w:ascii="Arial" w:eastAsia="SimSun" w:hAnsi="Arial" w:cs="Arial"/>
          <w:kern w:val="0"/>
          <w:sz w:val="24"/>
          <w:szCs w:val="24"/>
        </w:rPr>
        <w:t xml:space="preserve"> 7.</w:t>
      </w:r>
      <w:r w:rsidRPr="004E1E34">
        <w:rPr>
          <w:rFonts w:ascii="Arial" w:eastAsia="SimSun" w:hAnsi="Arial" w:cs="Arial"/>
          <w:kern w:val="0"/>
          <w:sz w:val="24"/>
          <w:szCs w:val="24"/>
        </w:rPr>
        <w:tab/>
      </w:r>
      <w:bookmarkStart w:id="11" w:name="_neb0F57DDB7_9472_4DF7_B871_8A62243FD06F"/>
      <w:r w:rsidRPr="004E1E34">
        <w:rPr>
          <w:rFonts w:ascii="Arial" w:eastAsia="SimSun" w:hAnsi="Arial" w:cs="Arial"/>
          <w:kern w:val="0"/>
          <w:sz w:val="24"/>
          <w:szCs w:val="24"/>
        </w:rPr>
        <w:t>Yin WM. To accelerate the development of people's health and promote the innovation of medical insurance system. People's Daily. 2016</w:t>
      </w:r>
      <w:r>
        <w:rPr>
          <w:rFonts w:ascii="Arial" w:eastAsia="SimSun" w:hAnsi="Arial" w:cs="Arial"/>
          <w:kern w:val="0"/>
          <w:sz w:val="24"/>
          <w:szCs w:val="24"/>
        </w:rPr>
        <w:t>;</w:t>
      </w:r>
      <w:r w:rsidRPr="004E1E34">
        <w:rPr>
          <w:rFonts w:ascii="Arial" w:eastAsia="SimSun" w:hAnsi="Arial" w:cs="Arial"/>
          <w:kern w:val="0"/>
          <w:sz w:val="24"/>
          <w:szCs w:val="24"/>
        </w:rPr>
        <w:t xml:space="preserve"> 2016-10-10.</w:t>
      </w:r>
      <w:bookmarkEnd w:id="11"/>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rPr>
      </w:pPr>
      <w:r w:rsidRPr="004E1E34">
        <w:rPr>
          <w:rFonts w:ascii="Arial" w:eastAsia="SimSun" w:hAnsi="Arial" w:cs="Arial"/>
          <w:kern w:val="0"/>
          <w:sz w:val="24"/>
          <w:szCs w:val="24"/>
        </w:rPr>
        <w:t xml:space="preserve"> 8.</w:t>
      </w:r>
      <w:r w:rsidRPr="004E1E34">
        <w:rPr>
          <w:rFonts w:ascii="Arial" w:eastAsia="SimSun" w:hAnsi="Arial" w:cs="Arial"/>
          <w:kern w:val="0"/>
          <w:sz w:val="24"/>
          <w:szCs w:val="24"/>
        </w:rPr>
        <w:tab/>
      </w:r>
      <w:bookmarkStart w:id="12" w:name="_neb6213817D_9D13_4346_A6B8_505F77CCFA09"/>
      <w:proofErr w:type="spellStart"/>
      <w:r w:rsidRPr="004E1E34">
        <w:rPr>
          <w:rFonts w:ascii="Arial" w:eastAsia="SimSun" w:hAnsi="Arial" w:cs="Arial"/>
          <w:kern w:val="0"/>
          <w:sz w:val="24"/>
          <w:szCs w:val="24"/>
        </w:rPr>
        <w:t>Zhigang</w:t>
      </w:r>
      <w:proofErr w:type="spellEnd"/>
      <w:r w:rsidRPr="004E1E34">
        <w:rPr>
          <w:rFonts w:ascii="Arial" w:eastAsia="SimSun" w:hAnsi="Arial" w:cs="Arial"/>
          <w:kern w:val="0"/>
          <w:sz w:val="24"/>
          <w:szCs w:val="24"/>
        </w:rPr>
        <w:t xml:space="preserve"> S. Insurance to cover serious illnesses. Beijing: </w:t>
      </w:r>
      <w:proofErr w:type="spellStart"/>
      <w:r w:rsidRPr="004E1E34">
        <w:rPr>
          <w:rFonts w:ascii="Arial" w:eastAsia="SimSun" w:hAnsi="Arial" w:cs="Arial"/>
          <w:kern w:val="0"/>
          <w:sz w:val="24"/>
          <w:szCs w:val="24"/>
        </w:rPr>
        <w:t>Chinadaily</w:t>
      </w:r>
      <w:proofErr w:type="spellEnd"/>
      <w:r w:rsidRPr="004E1E34">
        <w:rPr>
          <w:rFonts w:ascii="Arial" w:eastAsia="SimSun" w:hAnsi="Arial" w:cs="Arial"/>
          <w:kern w:val="0"/>
          <w:sz w:val="24"/>
          <w:szCs w:val="24"/>
        </w:rPr>
        <w:t xml:space="preserve">; 2012. </w:t>
      </w:r>
      <w:r>
        <w:rPr>
          <w:rFonts w:ascii="Arial" w:eastAsia="SimSun" w:hAnsi="Arial" w:cs="Arial"/>
          <w:kern w:val="0"/>
          <w:sz w:val="24"/>
          <w:szCs w:val="24"/>
        </w:rPr>
        <w:t>(Accessed</w:t>
      </w:r>
      <w:r w:rsidRPr="004E1E34">
        <w:rPr>
          <w:rFonts w:ascii="Arial" w:eastAsia="SimSun" w:hAnsi="Arial" w:cs="Arial"/>
          <w:kern w:val="0"/>
          <w:sz w:val="24"/>
          <w:szCs w:val="24"/>
        </w:rPr>
        <w:t xml:space="preserve"> on 28/</w:t>
      </w:r>
      <w:r>
        <w:rPr>
          <w:rFonts w:ascii="Arial" w:eastAsia="SimSun" w:hAnsi="Arial" w:cs="Arial"/>
          <w:kern w:val="0"/>
          <w:sz w:val="24"/>
          <w:szCs w:val="24"/>
        </w:rPr>
        <w:t>0</w:t>
      </w:r>
      <w:r w:rsidRPr="004E1E34">
        <w:rPr>
          <w:rFonts w:ascii="Arial" w:eastAsia="SimSun" w:hAnsi="Arial" w:cs="Arial"/>
          <w:kern w:val="0"/>
          <w:sz w:val="24"/>
          <w:szCs w:val="24"/>
        </w:rPr>
        <w:t>2/2018</w:t>
      </w:r>
      <w:r>
        <w:rPr>
          <w:rFonts w:ascii="Arial" w:eastAsia="SimSun" w:hAnsi="Arial" w:cs="Arial"/>
          <w:kern w:val="0"/>
          <w:sz w:val="24"/>
          <w:szCs w:val="24"/>
        </w:rPr>
        <w:t>.)</w:t>
      </w:r>
      <w:bookmarkEnd w:id="12"/>
      <w:r w:rsidRPr="004E1E34">
        <w:rPr>
          <w:rFonts w:ascii="Arial" w:eastAsia="SimSun" w:hAnsi="Arial" w:cs="Arial"/>
          <w:kern w:val="0"/>
          <w:sz w:val="24"/>
          <w:szCs w:val="24"/>
        </w:rPr>
        <w:t xml:space="preserve"> Available at: http://europe.chinadaily.com.cn/china/2012-08/31/content_15722438.htm</w:t>
      </w:r>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rPr>
      </w:pPr>
      <w:r w:rsidRPr="004E1E34">
        <w:rPr>
          <w:rFonts w:ascii="Arial" w:eastAsia="SimSun" w:hAnsi="Arial" w:cs="Arial"/>
          <w:kern w:val="0"/>
          <w:sz w:val="24"/>
          <w:szCs w:val="24"/>
        </w:rPr>
        <w:t xml:space="preserve"> 9. Xu</w:t>
      </w:r>
      <w:bookmarkStart w:id="13" w:name="_neb3C4EB587_6251_4E9E_8B82_7B7DD653D1E0"/>
      <w:r w:rsidRPr="004E1E34">
        <w:rPr>
          <w:rFonts w:ascii="Arial" w:eastAsia="SimSun" w:hAnsi="Arial" w:cs="Arial"/>
          <w:kern w:val="0"/>
          <w:sz w:val="24"/>
          <w:szCs w:val="24"/>
        </w:rPr>
        <w:t xml:space="preserve"> K, Evans DB, </w:t>
      </w:r>
      <w:proofErr w:type="spellStart"/>
      <w:r w:rsidRPr="004E1E34">
        <w:rPr>
          <w:rFonts w:ascii="Arial" w:eastAsia="SimSun" w:hAnsi="Arial" w:cs="Arial"/>
          <w:kern w:val="0"/>
          <w:sz w:val="24"/>
          <w:szCs w:val="24"/>
        </w:rPr>
        <w:t>Carrin</w:t>
      </w:r>
      <w:proofErr w:type="spellEnd"/>
      <w:r w:rsidRPr="004E1E34">
        <w:rPr>
          <w:rFonts w:ascii="Arial" w:eastAsia="SimSun" w:hAnsi="Arial" w:cs="Arial"/>
          <w:kern w:val="0"/>
          <w:sz w:val="24"/>
          <w:szCs w:val="24"/>
        </w:rPr>
        <w:t xml:space="preserve"> G, et al. Designing health financing systems to reduce catastrophic health expenditure. World Health Organization, Department of Health Systems Financing; 2005. Technical Briefs for Policy-Makers. </w:t>
      </w:r>
      <w:proofErr w:type="gramStart"/>
      <w:r w:rsidRPr="004E1E34">
        <w:rPr>
          <w:rFonts w:ascii="Arial" w:eastAsia="SimSun" w:hAnsi="Arial" w:cs="Arial"/>
          <w:kern w:val="0"/>
          <w:sz w:val="24"/>
          <w:szCs w:val="24"/>
        </w:rPr>
        <w:t>N.º</w:t>
      </w:r>
      <w:proofErr w:type="gramEnd"/>
      <w:r>
        <w:rPr>
          <w:rFonts w:ascii="Arial" w:eastAsia="SimSun" w:hAnsi="Arial" w:cs="Arial"/>
          <w:kern w:val="0"/>
          <w:sz w:val="24"/>
          <w:szCs w:val="24"/>
        </w:rPr>
        <w:t xml:space="preserve"> </w:t>
      </w:r>
      <w:r w:rsidRPr="004E1E34">
        <w:rPr>
          <w:rFonts w:ascii="Arial" w:eastAsia="SimSun" w:hAnsi="Arial" w:cs="Arial"/>
          <w:kern w:val="0"/>
          <w:sz w:val="24"/>
          <w:szCs w:val="24"/>
        </w:rPr>
        <w:t>2.</w:t>
      </w:r>
      <w:bookmarkEnd w:id="13"/>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rPr>
      </w:pPr>
      <w:r w:rsidRPr="004E1E34">
        <w:rPr>
          <w:rFonts w:ascii="Arial" w:eastAsia="SimSun" w:hAnsi="Arial" w:cs="Arial"/>
          <w:kern w:val="0"/>
          <w:sz w:val="24"/>
          <w:szCs w:val="24"/>
        </w:rPr>
        <w:t>10.</w:t>
      </w:r>
      <w:r w:rsidRPr="004E1E34">
        <w:rPr>
          <w:rFonts w:ascii="Arial" w:eastAsia="SimSun" w:hAnsi="Arial" w:cs="Arial"/>
          <w:kern w:val="0"/>
          <w:sz w:val="24"/>
          <w:szCs w:val="24"/>
        </w:rPr>
        <w:tab/>
        <w:t xml:space="preserve">Xu K, Evans DB, Kawabata K, et al. Household catastrophic health expenditure: a </w:t>
      </w:r>
      <w:proofErr w:type="spellStart"/>
      <w:r w:rsidRPr="004E1E34">
        <w:rPr>
          <w:rFonts w:ascii="Arial" w:eastAsia="SimSun" w:hAnsi="Arial" w:cs="Arial"/>
          <w:kern w:val="0"/>
          <w:sz w:val="24"/>
          <w:szCs w:val="24"/>
        </w:rPr>
        <w:t>multicountry</w:t>
      </w:r>
      <w:proofErr w:type="spellEnd"/>
      <w:r w:rsidRPr="004E1E34">
        <w:rPr>
          <w:rFonts w:ascii="Arial" w:eastAsia="SimSun" w:hAnsi="Arial" w:cs="Arial"/>
          <w:kern w:val="0"/>
          <w:sz w:val="24"/>
          <w:szCs w:val="24"/>
        </w:rPr>
        <w:t xml:space="preserve"> analysis.</w:t>
      </w:r>
      <w:r w:rsidRPr="004E1E34">
        <w:rPr>
          <w:rFonts w:ascii="Arial" w:hAnsi="Arial" w:cs="Arial"/>
          <w:sz w:val="24"/>
          <w:szCs w:val="24"/>
        </w:rPr>
        <w:t xml:space="preserve"> </w:t>
      </w:r>
      <w:r w:rsidRPr="004E1E34">
        <w:rPr>
          <w:rFonts w:ascii="Arial" w:eastAsia="SimSun" w:hAnsi="Arial" w:cs="Arial"/>
          <w:kern w:val="0"/>
          <w:sz w:val="24"/>
          <w:szCs w:val="24"/>
        </w:rPr>
        <w:t>Lancet. 2003</w:t>
      </w:r>
      <w:proofErr w:type="gramStart"/>
      <w:r w:rsidRPr="004E1E34">
        <w:rPr>
          <w:rFonts w:ascii="Arial" w:eastAsia="SimSun" w:hAnsi="Arial" w:cs="Arial"/>
          <w:kern w:val="0"/>
          <w:sz w:val="24"/>
          <w:szCs w:val="24"/>
        </w:rPr>
        <w:t>;362:111</w:t>
      </w:r>
      <w:proofErr w:type="gramEnd"/>
      <w:r w:rsidRPr="004E1E34">
        <w:rPr>
          <w:rFonts w:ascii="Arial" w:eastAsia="SimSun" w:hAnsi="Arial" w:cs="Arial"/>
          <w:kern w:val="0"/>
          <w:sz w:val="24"/>
          <w:szCs w:val="24"/>
        </w:rPr>
        <w:t>-7.</w:t>
      </w:r>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rPr>
      </w:pPr>
      <w:r w:rsidRPr="004E1E34">
        <w:rPr>
          <w:rFonts w:ascii="Arial" w:eastAsia="SimSun" w:hAnsi="Arial" w:cs="Arial"/>
          <w:kern w:val="0"/>
          <w:sz w:val="24"/>
          <w:szCs w:val="24"/>
        </w:rPr>
        <w:t>11.</w:t>
      </w:r>
      <w:r w:rsidRPr="004E1E34">
        <w:rPr>
          <w:rFonts w:ascii="Arial" w:eastAsia="SimSun" w:hAnsi="Arial" w:cs="Arial"/>
          <w:kern w:val="0"/>
          <w:sz w:val="24"/>
          <w:szCs w:val="24"/>
        </w:rPr>
        <w:tab/>
      </w:r>
      <w:bookmarkStart w:id="14" w:name="_neb082E058E_BAA3_47EB_A465_410A37173D80"/>
      <w:r w:rsidRPr="004E1E34">
        <w:rPr>
          <w:rFonts w:ascii="Arial" w:eastAsia="SimSun" w:hAnsi="Arial" w:cs="Arial"/>
          <w:kern w:val="0"/>
          <w:sz w:val="24"/>
          <w:szCs w:val="24"/>
        </w:rPr>
        <w:t xml:space="preserve">Kawabata K, Xu K, </w:t>
      </w:r>
      <w:proofErr w:type="spellStart"/>
      <w:r w:rsidRPr="004E1E34">
        <w:rPr>
          <w:rFonts w:ascii="Arial" w:eastAsia="SimSun" w:hAnsi="Arial" w:cs="Arial"/>
          <w:kern w:val="0"/>
          <w:sz w:val="24"/>
          <w:szCs w:val="24"/>
        </w:rPr>
        <w:t>Carrin</w:t>
      </w:r>
      <w:proofErr w:type="spellEnd"/>
      <w:r w:rsidRPr="004E1E34">
        <w:rPr>
          <w:rFonts w:ascii="Arial" w:eastAsia="SimSun" w:hAnsi="Arial" w:cs="Arial"/>
          <w:kern w:val="0"/>
          <w:sz w:val="24"/>
          <w:szCs w:val="24"/>
        </w:rPr>
        <w:t xml:space="preserve"> G. Preventing impoverishment through protection against catastrophic health expenditure. Bull World Health Organ. 2002</w:t>
      </w:r>
      <w:proofErr w:type="gramStart"/>
      <w:r w:rsidRPr="004E1E34">
        <w:rPr>
          <w:rFonts w:ascii="Arial" w:eastAsia="SimSun" w:hAnsi="Arial" w:cs="Arial"/>
          <w:kern w:val="0"/>
          <w:sz w:val="24"/>
          <w:szCs w:val="24"/>
        </w:rPr>
        <w:t>;80:612</w:t>
      </w:r>
      <w:proofErr w:type="gramEnd"/>
      <w:r w:rsidRPr="004E1E34">
        <w:rPr>
          <w:rFonts w:ascii="Arial" w:eastAsia="SimSun" w:hAnsi="Arial" w:cs="Arial"/>
          <w:kern w:val="0"/>
          <w:sz w:val="24"/>
          <w:szCs w:val="24"/>
        </w:rPr>
        <w:t>.</w:t>
      </w:r>
      <w:bookmarkEnd w:id="14"/>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rPr>
      </w:pPr>
      <w:r w:rsidRPr="004E1E34">
        <w:rPr>
          <w:rFonts w:ascii="Arial" w:eastAsia="SimSun" w:hAnsi="Arial" w:cs="Arial"/>
          <w:kern w:val="0"/>
          <w:sz w:val="24"/>
          <w:szCs w:val="24"/>
        </w:rPr>
        <w:t>12.</w:t>
      </w:r>
      <w:r w:rsidRPr="004E1E34">
        <w:rPr>
          <w:rFonts w:ascii="Arial" w:eastAsia="SimSun" w:hAnsi="Arial" w:cs="Arial"/>
          <w:kern w:val="0"/>
          <w:sz w:val="24"/>
          <w:szCs w:val="24"/>
        </w:rPr>
        <w:tab/>
      </w:r>
      <w:bookmarkStart w:id="15" w:name="_neb1F0D082E_295D_4F0B_AB64_F80B316B9C4A"/>
      <w:proofErr w:type="spellStart"/>
      <w:r w:rsidRPr="004E1E34">
        <w:rPr>
          <w:rFonts w:ascii="Arial" w:eastAsia="SimSun" w:hAnsi="Arial" w:cs="Arial"/>
          <w:kern w:val="0"/>
          <w:sz w:val="24"/>
          <w:szCs w:val="24"/>
        </w:rPr>
        <w:t>Ozkok</w:t>
      </w:r>
      <w:proofErr w:type="spellEnd"/>
      <w:r w:rsidRPr="004E1E34">
        <w:rPr>
          <w:rFonts w:ascii="Arial" w:eastAsia="SimSun" w:hAnsi="Arial" w:cs="Arial"/>
          <w:kern w:val="0"/>
          <w:sz w:val="24"/>
          <w:szCs w:val="24"/>
        </w:rPr>
        <w:t xml:space="preserve"> E, </w:t>
      </w:r>
      <w:proofErr w:type="spellStart"/>
      <w:r w:rsidRPr="004E1E34">
        <w:rPr>
          <w:rFonts w:ascii="Arial" w:eastAsia="SimSun" w:hAnsi="Arial" w:cs="Arial"/>
          <w:kern w:val="0"/>
          <w:sz w:val="24"/>
          <w:szCs w:val="24"/>
        </w:rPr>
        <w:t>Streftaris</w:t>
      </w:r>
      <w:proofErr w:type="spellEnd"/>
      <w:r w:rsidRPr="004E1E34">
        <w:rPr>
          <w:rFonts w:ascii="Arial" w:eastAsia="SimSun" w:hAnsi="Arial" w:cs="Arial"/>
          <w:kern w:val="0"/>
          <w:sz w:val="24"/>
          <w:szCs w:val="24"/>
        </w:rPr>
        <w:t xml:space="preserve"> G, Waters HR, et al. </w:t>
      </w:r>
      <w:proofErr w:type="gramStart"/>
      <w:r w:rsidRPr="004E1E34">
        <w:rPr>
          <w:rFonts w:ascii="Arial" w:eastAsia="SimSun" w:hAnsi="Arial" w:cs="Arial"/>
          <w:kern w:val="0"/>
          <w:sz w:val="24"/>
          <w:szCs w:val="24"/>
        </w:rPr>
        <w:t>Modelling</w:t>
      </w:r>
      <w:proofErr w:type="gramEnd"/>
      <w:r w:rsidRPr="004E1E34">
        <w:rPr>
          <w:rFonts w:ascii="Arial" w:eastAsia="SimSun" w:hAnsi="Arial" w:cs="Arial"/>
          <w:kern w:val="0"/>
          <w:sz w:val="24"/>
          <w:szCs w:val="24"/>
        </w:rPr>
        <w:t xml:space="preserve"> critical illness claim diagnosis rates I: methodology. </w:t>
      </w:r>
      <w:proofErr w:type="spellStart"/>
      <w:r w:rsidRPr="004E1E34">
        <w:rPr>
          <w:rFonts w:ascii="Arial" w:eastAsia="SimSun" w:hAnsi="Arial" w:cs="Arial"/>
          <w:kern w:val="0"/>
          <w:sz w:val="24"/>
          <w:szCs w:val="24"/>
        </w:rPr>
        <w:t>Scand</w:t>
      </w:r>
      <w:proofErr w:type="spellEnd"/>
      <w:r w:rsidRPr="004E1E34">
        <w:rPr>
          <w:rFonts w:ascii="Arial" w:eastAsia="SimSun" w:hAnsi="Arial" w:cs="Arial"/>
          <w:kern w:val="0"/>
          <w:sz w:val="24"/>
          <w:szCs w:val="24"/>
        </w:rPr>
        <w:t xml:space="preserve"> </w:t>
      </w:r>
      <w:proofErr w:type="spellStart"/>
      <w:r w:rsidRPr="004E1E34">
        <w:rPr>
          <w:rFonts w:ascii="Arial" w:eastAsia="SimSun" w:hAnsi="Arial" w:cs="Arial"/>
          <w:kern w:val="0"/>
          <w:sz w:val="24"/>
          <w:szCs w:val="24"/>
        </w:rPr>
        <w:t>Actuar</w:t>
      </w:r>
      <w:proofErr w:type="spellEnd"/>
      <w:r w:rsidRPr="004E1E34">
        <w:rPr>
          <w:rFonts w:ascii="Arial" w:eastAsia="SimSun" w:hAnsi="Arial" w:cs="Arial"/>
          <w:kern w:val="0"/>
          <w:sz w:val="24"/>
          <w:szCs w:val="24"/>
        </w:rPr>
        <w:t xml:space="preserve"> J. 2012</w:t>
      </w:r>
      <w:proofErr w:type="gramStart"/>
      <w:r w:rsidRPr="004E1E34">
        <w:rPr>
          <w:rFonts w:ascii="Arial" w:eastAsia="SimSun" w:hAnsi="Arial" w:cs="Arial"/>
          <w:kern w:val="0"/>
          <w:sz w:val="24"/>
          <w:szCs w:val="24"/>
        </w:rPr>
        <w:t>;2014:439</w:t>
      </w:r>
      <w:proofErr w:type="gramEnd"/>
      <w:r w:rsidRPr="004E1E34">
        <w:rPr>
          <w:rFonts w:ascii="Arial" w:eastAsia="SimSun" w:hAnsi="Arial" w:cs="Arial"/>
          <w:kern w:val="0"/>
          <w:sz w:val="24"/>
          <w:szCs w:val="24"/>
        </w:rPr>
        <w:t>-57.</w:t>
      </w:r>
      <w:bookmarkEnd w:id="15"/>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rPr>
      </w:pPr>
      <w:r w:rsidRPr="004E1E34">
        <w:rPr>
          <w:rFonts w:ascii="Arial" w:eastAsia="SimSun" w:hAnsi="Arial" w:cs="Arial"/>
          <w:kern w:val="0"/>
          <w:sz w:val="24"/>
          <w:szCs w:val="24"/>
        </w:rPr>
        <w:t>13.</w:t>
      </w:r>
      <w:r w:rsidRPr="004E1E34">
        <w:rPr>
          <w:rFonts w:ascii="Arial" w:eastAsia="SimSun" w:hAnsi="Arial" w:cs="Arial"/>
          <w:kern w:val="0"/>
          <w:sz w:val="24"/>
          <w:szCs w:val="24"/>
        </w:rPr>
        <w:tab/>
      </w:r>
      <w:bookmarkStart w:id="16" w:name="_neb56B2FA9D_2B4A_4AE7_8DF7_DD3EE454730F"/>
      <w:r w:rsidRPr="004E1E34">
        <w:rPr>
          <w:rFonts w:ascii="Arial" w:eastAsia="SimSun" w:hAnsi="Arial" w:cs="Arial"/>
          <w:kern w:val="0"/>
          <w:sz w:val="24"/>
          <w:szCs w:val="24"/>
        </w:rPr>
        <w:t xml:space="preserve">Dodd E, </w:t>
      </w:r>
      <w:proofErr w:type="spellStart"/>
      <w:r w:rsidRPr="004E1E34">
        <w:rPr>
          <w:rFonts w:ascii="Arial" w:eastAsia="SimSun" w:hAnsi="Arial" w:cs="Arial"/>
          <w:kern w:val="0"/>
          <w:sz w:val="24"/>
          <w:szCs w:val="24"/>
        </w:rPr>
        <w:t>Streftaris</w:t>
      </w:r>
      <w:proofErr w:type="spellEnd"/>
      <w:r w:rsidRPr="004E1E34">
        <w:rPr>
          <w:rFonts w:ascii="Arial" w:eastAsia="SimSun" w:hAnsi="Arial" w:cs="Arial"/>
          <w:kern w:val="0"/>
          <w:sz w:val="24"/>
          <w:szCs w:val="24"/>
        </w:rPr>
        <w:t xml:space="preserve"> G. Prediction of settlement delay in critical illness insurance claims by using the generalized beta of the second kind distribution. J R Stat </w:t>
      </w:r>
      <w:proofErr w:type="spellStart"/>
      <w:r w:rsidRPr="004E1E34">
        <w:rPr>
          <w:rFonts w:ascii="Arial" w:eastAsia="SimSun" w:hAnsi="Arial" w:cs="Arial"/>
          <w:kern w:val="0"/>
          <w:sz w:val="24"/>
          <w:szCs w:val="24"/>
        </w:rPr>
        <w:t>Soc</w:t>
      </w:r>
      <w:proofErr w:type="spellEnd"/>
      <w:r w:rsidRPr="004E1E34">
        <w:rPr>
          <w:rFonts w:ascii="Arial" w:eastAsia="SimSun" w:hAnsi="Arial" w:cs="Arial"/>
          <w:kern w:val="0"/>
          <w:sz w:val="24"/>
          <w:szCs w:val="24"/>
        </w:rPr>
        <w:t xml:space="preserve"> </w:t>
      </w:r>
      <w:proofErr w:type="spellStart"/>
      <w:r w:rsidRPr="004E1E34">
        <w:rPr>
          <w:rFonts w:ascii="Arial" w:eastAsia="SimSun" w:hAnsi="Arial" w:cs="Arial"/>
          <w:kern w:val="0"/>
          <w:sz w:val="24"/>
          <w:szCs w:val="24"/>
        </w:rPr>
        <w:t>Ser</w:t>
      </w:r>
      <w:proofErr w:type="spellEnd"/>
      <w:r w:rsidRPr="004E1E34">
        <w:rPr>
          <w:rFonts w:ascii="Arial" w:eastAsia="SimSun" w:hAnsi="Arial" w:cs="Arial"/>
          <w:kern w:val="0"/>
          <w:sz w:val="24"/>
          <w:szCs w:val="24"/>
        </w:rPr>
        <w:t xml:space="preserve"> C </w:t>
      </w:r>
      <w:proofErr w:type="spellStart"/>
      <w:r w:rsidRPr="004E1E34">
        <w:rPr>
          <w:rFonts w:ascii="Arial" w:eastAsia="SimSun" w:hAnsi="Arial" w:cs="Arial"/>
          <w:kern w:val="0"/>
          <w:sz w:val="24"/>
          <w:szCs w:val="24"/>
        </w:rPr>
        <w:t>Appl</w:t>
      </w:r>
      <w:proofErr w:type="spellEnd"/>
      <w:r w:rsidRPr="004E1E34">
        <w:rPr>
          <w:rFonts w:ascii="Arial" w:eastAsia="SimSun" w:hAnsi="Arial" w:cs="Arial"/>
          <w:kern w:val="0"/>
          <w:sz w:val="24"/>
          <w:szCs w:val="24"/>
        </w:rPr>
        <w:t xml:space="preserve"> Stat. 2017</w:t>
      </w:r>
      <w:proofErr w:type="gramStart"/>
      <w:r w:rsidRPr="004E1E34">
        <w:rPr>
          <w:rFonts w:ascii="Arial" w:eastAsia="SimSun" w:hAnsi="Arial" w:cs="Arial"/>
          <w:kern w:val="0"/>
          <w:sz w:val="24"/>
          <w:szCs w:val="24"/>
        </w:rPr>
        <w:t>;66:273</w:t>
      </w:r>
      <w:proofErr w:type="gramEnd"/>
      <w:r w:rsidRPr="004E1E34">
        <w:rPr>
          <w:rFonts w:ascii="Arial" w:eastAsia="SimSun" w:hAnsi="Arial" w:cs="Arial"/>
          <w:kern w:val="0"/>
          <w:sz w:val="24"/>
          <w:szCs w:val="24"/>
        </w:rPr>
        <w:t>-94.</w:t>
      </w:r>
      <w:bookmarkEnd w:id="16"/>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rPr>
      </w:pPr>
      <w:r w:rsidRPr="004E1E34">
        <w:rPr>
          <w:rFonts w:ascii="Arial" w:eastAsia="SimSun" w:hAnsi="Arial" w:cs="Arial"/>
          <w:kern w:val="0"/>
          <w:sz w:val="24"/>
          <w:szCs w:val="24"/>
        </w:rPr>
        <w:t>14.</w:t>
      </w:r>
      <w:r w:rsidRPr="004E1E34">
        <w:rPr>
          <w:rFonts w:ascii="Arial" w:eastAsia="SimSun" w:hAnsi="Arial" w:cs="Arial"/>
          <w:kern w:val="0"/>
          <w:sz w:val="24"/>
          <w:szCs w:val="24"/>
        </w:rPr>
        <w:tab/>
      </w:r>
      <w:bookmarkStart w:id="17" w:name="_neb74BDB4D8_A7F9_4428_8DA0_63B992CCE1B9"/>
      <w:proofErr w:type="spellStart"/>
      <w:r w:rsidRPr="004E1E34">
        <w:rPr>
          <w:rFonts w:ascii="Arial" w:eastAsia="SimSun" w:hAnsi="Arial" w:cs="Arial"/>
          <w:kern w:val="0"/>
          <w:sz w:val="24"/>
          <w:szCs w:val="24"/>
        </w:rPr>
        <w:t>Langenbrunner</w:t>
      </w:r>
      <w:proofErr w:type="spellEnd"/>
      <w:r w:rsidRPr="004E1E34">
        <w:rPr>
          <w:rFonts w:ascii="Arial" w:eastAsia="SimSun" w:hAnsi="Arial" w:cs="Arial"/>
          <w:kern w:val="0"/>
          <w:sz w:val="24"/>
          <w:szCs w:val="24"/>
        </w:rPr>
        <w:t xml:space="preserve"> J, Patricio V, Wang S. Toward a healthy and harmonious life in China: </w:t>
      </w:r>
      <w:r>
        <w:rPr>
          <w:rFonts w:ascii="Arial" w:eastAsia="SimSun" w:hAnsi="Arial" w:cs="Arial"/>
          <w:kern w:val="0"/>
          <w:sz w:val="24"/>
          <w:szCs w:val="24"/>
        </w:rPr>
        <w:t>s</w:t>
      </w:r>
      <w:r w:rsidRPr="004E1E34">
        <w:rPr>
          <w:rFonts w:ascii="Arial" w:eastAsia="SimSun" w:hAnsi="Arial" w:cs="Arial"/>
          <w:kern w:val="0"/>
          <w:sz w:val="24"/>
          <w:szCs w:val="24"/>
        </w:rPr>
        <w:t>temming the rising tide of non-communicable diseases</w:t>
      </w:r>
      <w:r>
        <w:rPr>
          <w:rFonts w:ascii="Arial" w:eastAsia="SimSun" w:hAnsi="Arial" w:cs="Arial"/>
          <w:kern w:val="0"/>
          <w:sz w:val="24"/>
          <w:szCs w:val="24"/>
        </w:rPr>
        <w:t>.</w:t>
      </w:r>
      <w:r w:rsidRPr="004E1E34">
        <w:rPr>
          <w:rFonts w:ascii="Arial" w:eastAsia="SimSun" w:hAnsi="Arial" w:cs="Arial"/>
          <w:kern w:val="0"/>
          <w:sz w:val="24"/>
          <w:szCs w:val="24"/>
        </w:rPr>
        <w:t xml:space="preserve"> The World Bank; 2011.</w:t>
      </w:r>
      <w:bookmarkEnd w:id="17"/>
      <w:r w:rsidRPr="004E1E34">
        <w:rPr>
          <w:rFonts w:ascii="Arial" w:eastAsia="SimSun" w:hAnsi="Arial" w:cs="Arial"/>
          <w:kern w:val="0"/>
          <w:sz w:val="24"/>
          <w:szCs w:val="24"/>
        </w:rPr>
        <w:t xml:space="preserve"> 50 p.</w:t>
      </w:r>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rPr>
      </w:pPr>
      <w:r w:rsidRPr="004E1E34">
        <w:rPr>
          <w:rFonts w:ascii="Arial" w:eastAsia="SimSun" w:hAnsi="Arial" w:cs="Arial"/>
          <w:kern w:val="0"/>
          <w:sz w:val="24"/>
          <w:szCs w:val="24"/>
        </w:rPr>
        <w:t>15.</w:t>
      </w:r>
      <w:r w:rsidRPr="004E1E34">
        <w:rPr>
          <w:rFonts w:ascii="Arial" w:eastAsia="SimSun" w:hAnsi="Arial" w:cs="Arial"/>
          <w:kern w:val="0"/>
          <w:sz w:val="24"/>
          <w:szCs w:val="24"/>
        </w:rPr>
        <w:tab/>
      </w:r>
      <w:bookmarkStart w:id="18" w:name="_neb3B41FB89_BF87_4CEF_9E30_CF66A5A7CB38"/>
      <w:r w:rsidRPr="004E1E34">
        <w:rPr>
          <w:rFonts w:ascii="Arial" w:eastAsia="SimSun" w:hAnsi="Arial" w:cs="Arial"/>
          <w:kern w:val="0"/>
          <w:sz w:val="24"/>
          <w:szCs w:val="24"/>
        </w:rPr>
        <w:t xml:space="preserve">Bai X, Chen JY, Fang Z, et al. Motivations, challenges and coping strategies for smoking cessation: </w:t>
      </w:r>
      <w:r>
        <w:rPr>
          <w:rFonts w:ascii="Arial" w:eastAsia="SimSun" w:hAnsi="Arial" w:cs="Arial"/>
          <w:kern w:val="0"/>
          <w:sz w:val="24"/>
          <w:szCs w:val="24"/>
        </w:rPr>
        <w:t>b</w:t>
      </w:r>
      <w:r w:rsidRPr="004E1E34">
        <w:rPr>
          <w:rFonts w:ascii="Arial" w:eastAsia="SimSun" w:hAnsi="Arial" w:cs="Arial"/>
          <w:kern w:val="0"/>
          <w:sz w:val="24"/>
          <w:szCs w:val="24"/>
        </w:rPr>
        <w:t xml:space="preserve">ased on multi-ethnic pregnant couples in far western China. Journal </w:t>
      </w:r>
      <w:r w:rsidRPr="004E1E34">
        <w:rPr>
          <w:rFonts w:ascii="Arial" w:eastAsia="SimSun" w:hAnsi="Arial" w:cs="Arial"/>
          <w:kern w:val="0"/>
          <w:sz w:val="24"/>
          <w:szCs w:val="24"/>
        </w:rPr>
        <w:lastRenderedPageBreak/>
        <w:t xml:space="preserve">of </w:t>
      </w:r>
      <w:proofErr w:type="spellStart"/>
      <w:r w:rsidRPr="004E1E34">
        <w:rPr>
          <w:rFonts w:ascii="Arial" w:eastAsia="SimSun" w:hAnsi="Arial" w:cs="Arial"/>
          <w:kern w:val="0"/>
          <w:sz w:val="24"/>
          <w:szCs w:val="24"/>
        </w:rPr>
        <w:t>Huazhong</w:t>
      </w:r>
      <w:proofErr w:type="spellEnd"/>
      <w:r w:rsidRPr="004E1E34">
        <w:rPr>
          <w:rFonts w:ascii="Arial" w:eastAsia="SimSun" w:hAnsi="Arial" w:cs="Arial"/>
          <w:kern w:val="0"/>
          <w:sz w:val="24"/>
          <w:szCs w:val="24"/>
        </w:rPr>
        <w:t xml:space="preserve"> University of Science and Technology-Medical Sciences. 2017</w:t>
      </w:r>
      <w:proofErr w:type="gramStart"/>
      <w:r w:rsidRPr="004E1E34">
        <w:rPr>
          <w:rFonts w:ascii="Arial" w:eastAsia="SimSun" w:hAnsi="Arial" w:cs="Arial"/>
          <w:kern w:val="0"/>
          <w:sz w:val="24"/>
          <w:szCs w:val="24"/>
        </w:rPr>
        <w:t>;37:439</w:t>
      </w:r>
      <w:proofErr w:type="gramEnd"/>
      <w:r w:rsidRPr="004E1E34">
        <w:rPr>
          <w:rFonts w:ascii="Arial" w:eastAsia="SimSun" w:hAnsi="Arial" w:cs="Arial"/>
          <w:kern w:val="0"/>
          <w:sz w:val="24"/>
          <w:szCs w:val="24"/>
        </w:rPr>
        <w:t>-45.</w:t>
      </w:r>
      <w:bookmarkEnd w:id="18"/>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rPr>
      </w:pPr>
      <w:r w:rsidRPr="004E1E34">
        <w:rPr>
          <w:rFonts w:ascii="Arial" w:eastAsia="SimSun" w:hAnsi="Arial" w:cs="Arial"/>
          <w:kern w:val="0"/>
          <w:sz w:val="24"/>
          <w:szCs w:val="24"/>
        </w:rPr>
        <w:t>16.</w:t>
      </w:r>
      <w:r w:rsidRPr="004E1E34">
        <w:rPr>
          <w:rFonts w:ascii="Arial" w:eastAsia="SimSun" w:hAnsi="Arial" w:cs="Arial"/>
          <w:kern w:val="0"/>
          <w:sz w:val="24"/>
          <w:szCs w:val="24"/>
        </w:rPr>
        <w:tab/>
      </w:r>
      <w:bookmarkStart w:id="19" w:name="_neb42085736_5451_459F_8F2C_A40FAF9DF8F1"/>
      <w:r w:rsidRPr="004E1E34">
        <w:rPr>
          <w:rFonts w:ascii="Arial" w:eastAsia="SimSun" w:hAnsi="Arial" w:cs="Arial"/>
          <w:kern w:val="0"/>
          <w:sz w:val="24"/>
          <w:szCs w:val="24"/>
        </w:rPr>
        <w:t xml:space="preserve">Zhang XF, </w:t>
      </w:r>
      <w:proofErr w:type="spellStart"/>
      <w:r w:rsidRPr="004E1E34">
        <w:rPr>
          <w:rFonts w:ascii="Arial" w:eastAsia="SimSun" w:hAnsi="Arial" w:cs="Arial"/>
          <w:kern w:val="0"/>
          <w:sz w:val="24"/>
          <w:szCs w:val="24"/>
        </w:rPr>
        <w:t>Tian</w:t>
      </w:r>
      <w:proofErr w:type="spellEnd"/>
      <w:r w:rsidRPr="004E1E34">
        <w:rPr>
          <w:rFonts w:ascii="Arial" w:eastAsia="SimSun" w:hAnsi="Arial" w:cs="Arial"/>
          <w:kern w:val="0"/>
          <w:sz w:val="24"/>
          <w:szCs w:val="24"/>
        </w:rPr>
        <w:t xml:space="preserve"> XY, Cheng YL, et al. Health disparities among the </w:t>
      </w:r>
      <w:r>
        <w:rPr>
          <w:rFonts w:ascii="Arial" w:eastAsia="SimSun" w:hAnsi="Arial" w:cs="Arial"/>
          <w:kern w:val="0"/>
          <w:sz w:val="24"/>
          <w:szCs w:val="24"/>
        </w:rPr>
        <w:t>W</w:t>
      </w:r>
      <w:r w:rsidRPr="004E1E34">
        <w:rPr>
          <w:rFonts w:ascii="Arial" w:eastAsia="SimSun" w:hAnsi="Arial" w:cs="Arial"/>
          <w:kern w:val="0"/>
          <w:sz w:val="24"/>
          <w:szCs w:val="24"/>
        </w:rPr>
        <w:t xml:space="preserve">estern, </w:t>
      </w:r>
      <w:r>
        <w:rPr>
          <w:rFonts w:ascii="Arial" w:eastAsia="SimSun" w:hAnsi="Arial" w:cs="Arial"/>
          <w:kern w:val="0"/>
          <w:sz w:val="24"/>
          <w:szCs w:val="24"/>
        </w:rPr>
        <w:t>C</w:t>
      </w:r>
      <w:r w:rsidRPr="004E1E34">
        <w:rPr>
          <w:rFonts w:ascii="Arial" w:eastAsia="SimSun" w:hAnsi="Arial" w:cs="Arial"/>
          <w:kern w:val="0"/>
          <w:sz w:val="24"/>
          <w:szCs w:val="24"/>
        </w:rPr>
        <w:t xml:space="preserve">entral and </w:t>
      </w:r>
      <w:r>
        <w:rPr>
          <w:rFonts w:ascii="Arial" w:eastAsia="SimSun" w:hAnsi="Arial" w:cs="Arial"/>
          <w:kern w:val="0"/>
          <w:sz w:val="24"/>
          <w:szCs w:val="24"/>
        </w:rPr>
        <w:t>E</w:t>
      </w:r>
      <w:r w:rsidRPr="004E1E34">
        <w:rPr>
          <w:rFonts w:ascii="Arial" w:eastAsia="SimSun" w:hAnsi="Arial" w:cs="Arial"/>
          <w:kern w:val="0"/>
          <w:sz w:val="24"/>
          <w:szCs w:val="24"/>
        </w:rPr>
        <w:t xml:space="preserve">astern rural regions of China after a decade of health promotion and disease prevention programming. Journal of </w:t>
      </w:r>
      <w:proofErr w:type="spellStart"/>
      <w:r w:rsidRPr="004E1E34">
        <w:rPr>
          <w:rFonts w:ascii="Arial" w:eastAsia="SimSun" w:hAnsi="Arial" w:cs="Arial"/>
          <w:kern w:val="0"/>
          <w:sz w:val="24"/>
          <w:szCs w:val="24"/>
        </w:rPr>
        <w:t>Huazhong</w:t>
      </w:r>
      <w:proofErr w:type="spellEnd"/>
      <w:r w:rsidRPr="004E1E34">
        <w:rPr>
          <w:rFonts w:ascii="Arial" w:eastAsia="SimSun" w:hAnsi="Arial" w:cs="Arial"/>
          <w:kern w:val="0"/>
          <w:sz w:val="24"/>
          <w:szCs w:val="24"/>
        </w:rPr>
        <w:t xml:space="preserve"> University of Science and Technology. Medical sciences. 2015</w:t>
      </w:r>
      <w:proofErr w:type="gramStart"/>
      <w:r w:rsidRPr="004E1E34">
        <w:rPr>
          <w:rFonts w:ascii="Arial" w:eastAsia="SimSun" w:hAnsi="Arial" w:cs="Arial"/>
          <w:kern w:val="0"/>
          <w:sz w:val="24"/>
          <w:szCs w:val="24"/>
        </w:rPr>
        <w:t>;35:606</w:t>
      </w:r>
      <w:proofErr w:type="gramEnd"/>
      <w:r w:rsidRPr="004E1E34">
        <w:rPr>
          <w:rFonts w:ascii="Arial" w:eastAsia="SimSun" w:hAnsi="Arial" w:cs="Arial"/>
          <w:kern w:val="0"/>
          <w:sz w:val="24"/>
          <w:szCs w:val="24"/>
        </w:rPr>
        <w:t>-14.</w:t>
      </w:r>
      <w:bookmarkEnd w:id="19"/>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rPr>
      </w:pPr>
      <w:r w:rsidRPr="004E1E34">
        <w:rPr>
          <w:rFonts w:ascii="Arial" w:eastAsia="SimSun" w:hAnsi="Arial" w:cs="Arial"/>
          <w:kern w:val="0"/>
          <w:sz w:val="24"/>
          <w:szCs w:val="24"/>
        </w:rPr>
        <w:t>17.</w:t>
      </w:r>
      <w:r w:rsidRPr="004E1E34">
        <w:rPr>
          <w:rFonts w:ascii="Arial" w:eastAsia="SimSun" w:hAnsi="Arial" w:cs="Arial"/>
          <w:kern w:val="0"/>
          <w:sz w:val="24"/>
          <w:szCs w:val="24"/>
        </w:rPr>
        <w:tab/>
      </w:r>
      <w:bookmarkStart w:id="20" w:name="_neb289DB0A8_445E_4F2F_8152_5E707EFE6C51"/>
      <w:r w:rsidRPr="004E1E34">
        <w:rPr>
          <w:rFonts w:ascii="Arial" w:eastAsia="SimSun" w:hAnsi="Arial" w:cs="Arial"/>
          <w:kern w:val="0"/>
          <w:sz w:val="24"/>
          <w:szCs w:val="24"/>
        </w:rPr>
        <w:t>Statistics Bureau QP. Qinghai statistical year book: China Statistics Press; 2016.</w:t>
      </w:r>
      <w:bookmarkEnd w:id="20"/>
      <w:r w:rsidRPr="004E1E34">
        <w:rPr>
          <w:rFonts w:ascii="Arial" w:eastAsia="SimSun" w:hAnsi="Arial" w:cs="Arial"/>
          <w:kern w:val="0"/>
          <w:sz w:val="24"/>
          <w:szCs w:val="24"/>
        </w:rPr>
        <w:t xml:space="preserve"> 326 p.</w:t>
      </w:r>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rPr>
      </w:pPr>
      <w:r w:rsidRPr="004E1E34">
        <w:rPr>
          <w:rFonts w:ascii="Arial" w:eastAsia="SimSun" w:hAnsi="Arial" w:cs="Arial"/>
          <w:kern w:val="0"/>
          <w:sz w:val="24"/>
          <w:szCs w:val="24"/>
        </w:rPr>
        <w:t>18.</w:t>
      </w:r>
      <w:r w:rsidRPr="004E1E34">
        <w:rPr>
          <w:rFonts w:ascii="Arial" w:eastAsia="SimSun" w:hAnsi="Arial" w:cs="Arial"/>
          <w:kern w:val="0"/>
          <w:sz w:val="24"/>
          <w:szCs w:val="24"/>
        </w:rPr>
        <w:tab/>
      </w:r>
      <w:bookmarkStart w:id="21" w:name="_neb6DC2DDFF_3DF7_42E6_A32B_CB3F9C2B86C9"/>
      <w:r w:rsidRPr="004E1E34">
        <w:rPr>
          <w:rFonts w:ascii="Arial" w:eastAsia="SimSun" w:hAnsi="Arial" w:cs="Arial"/>
          <w:kern w:val="0"/>
          <w:sz w:val="24"/>
          <w:szCs w:val="24"/>
        </w:rPr>
        <w:t xml:space="preserve">Mao W, Tang S, Zhu Y, et al. Financial burden of healthcare for cancer patients with social medical insurance: a multi-centered study in urban China. </w:t>
      </w:r>
      <w:proofErr w:type="spellStart"/>
      <w:r w:rsidRPr="004E1E34">
        <w:rPr>
          <w:rFonts w:ascii="Arial" w:eastAsia="SimSun" w:hAnsi="Arial" w:cs="Arial"/>
          <w:kern w:val="0"/>
          <w:sz w:val="24"/>
          <w:szCs w:val="24"/>
        </w:rPr>
        <w:t>Int</w:t>
      </w:r>
      <w:proofErr w:type="spellEnd"/>
      <w:r w:rsidRPr="004E1E34">
        <w:rPr>
          <w:rFonts w:ascii="Arial" w:eastAsia="SimSun" w:hAnsi="Arial" w:cs="Arial"/>
          <w:kern w:val="0"/>
          <w:sz w:val="24"/>
          <w:szCs w:val="24"/>
        </w:rPr>
        <w:t xml:space="preserve"> J Equity Health. 2017</w:t>
      </w:r>
      <w:proofErr w:type="gramStart"/>
      <w:r w:rsidRPr="004E1E34">
        <w:rPr>
          <w:rFonts w:ascii="Arial" w:eastAsia="SimSun" w:hAnsi="Arial" w:cs="Arial"/>
          <w:kern w:val="0"/>
          <w:sz w:val="24"/>
          <w:szCs w:val="24"/>
        </w:rPr>
        <w:t>;16:180</w:t>
      </w:r>
      <w:proofErr w:type="gramEnd"/>
      <w:r w:rsidRPr="004E1E34">
        <w:rPr>
          <w:rFonts w:ascii="Arial" w:eastAsia="SimSun" w:hAnsi="Arial" w:cs="Arial"/>
          <w:kern w:val="0"/>
          <w:sz w:val="24"/>
          <w:szCs w:val="24"/>
        </w:rPr>
        <w:t>-92.</w:t>
      </w:r>
      <w:bookmarkEnd w:id="21"/>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rPr>
      </w:pPr>
      <w:r w:rsidRPr="004E1E34">
        <w:rPr>
          <w:rFonts w:ascii="Arial" w:eastAsia="SimSun" w:hAnsi="Arial" w:cs="Arial"/>
          <w:kern w:val="0"/>
          <w:sz w:val="24"/>
          <w:szCs w:val="24"/>
        </w:rPr>
        <w:t>19.</w:t>
      </w:r>
      <w:r w:rsidRPr="004E1E34">
        <w:rPr>
          <w:rFonts w:ascii="Arial" w:eastAsia="SimSun" w:hAnsi="Arial" w:cs="Arial"/>
          <w:kern w:val="0"/>
          <w:sz w:val="24"/>
          <w:szCs w:val="24"/>
        </w:rPr>
        <w:tab/>
      </w:r>
      <w:bookmarkStart w:id="22" w:name="_neb7BE72DAB_59F8_4673_8605_F260005E23AF"/>
      <w:r w:rsidRPr="004E1E34">
        <w:rPr>
          <w:rFonts w:ascii="Arial" w:eastAsia="SimSun" w:hAnsi="Arial" w:cs="Arial"/>
          <w:kern w:val="0"/>
          <w:sz w:val="24"/>
          <w:szCs w:val="24"/>
        </w:rPr>
        <w:t xml:space="preserve">Liu P, Jiang L, Li C, et al. How to deal with burden of critical illness: </w:t>
      </w:r>
      <w:r>
        <w:rPr>
          <w:rFonts w:ascii="Arial" w:eastAsia="SimSun" w:hAnsi="Arial" w:cs="Arial"/>
          <w:kern w:val="0"/>
          <w:sz w:val="24"/>
          <w:szCs w:val="24"/>
        </w:rPr>
        <w:t>a</w:t>
      </w:r>
      <w:r w:rsidRPr="004E1E34">
        <w:rPr>
          <w:rFonts w:ascii="Arial" w:eastAsia="SimSun" w:hAnsi="Arial" w:cs="Arial"/>
          <w:kern w:val="0"/>
          <w:sz w:val="24"/>
          <w:szCs w:val="24"/>
        </w:rPr>
        <w:t xml:space="preserve"> comparison of strategies in different areas of China. Pak J Med Sci. 2014</w:t>
      </w:r>
      <w:proofErr w:type="gramStart"/>
      <w:r w:rsidRPr="004E1E34">
        <w:rPr>
          <w:rFonts w:ascii="Arial" w:eastAsia="SimSun" w:hAnsi="Arial" w:cs="Arial"/>
          <w:kern w:val="0"/>
          <w:sz w:val="24"/>
          <w:szCs w:val="24"/>
        </w:rPr>
        <w:t>;30:659</w:t>
      </w:r>
      <w:proofErr w:type="gramEnd"/>
      <w:r w:rsidRPr="004E1E34">
        <w:rPr>
          <w:rFonts w:ascii="Arial" w:eastAsia="SimSun" w:hAnsi="Arial" w:cs="Arial"/>
          <w:kern w:val="0"/>
          <w:sz w:val="24"/>
          <w:szCs w:val="24"/>
        </w:rPr>
        <w:t>-63.</w:t>
      </w:r>
      <w:bookmarkEnd w:id="22"/>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rPr>
      </w:pPr>
      <w:r w:rsidRPr="004E1E34">
        <w:rPr>
          <w:rFonts w:ascii="Arial" w:eastAsia="SimSun" w:hAnsi="Arial" w:cs="Arial"/>
          <w:kern w:val="0"/>
          <w:sz w:val="24"/>
          <w:szCs w:val="24"/>
        </w:rPr>
        <w:t>20.</w:t>
      </w:r>
      <w:r w:rsidRPr="004E1E34">
        <w:rPr>
          <w:rFonts w:ascii="Arial" w:eastAsia="SimSun" w:hAnsi="Arial" w:cs="Arial"/>
          <w:kern w:val="0"/>
          <w:sz w:val="24"/>
          <w:szCs w:val="24"/>
        </w:rPr>
        <w:tab/>
      </w:r>
      <w:bookmarkStart w:id="23" w:name="_nebE218DE02_90E8_478E_A367_55177402BF10"/>
      <w:r w:rsidRPr="004E1E34">
        <w:rPr>
          <w:rFonts w:ascii="Arial" w:eastAsia="SimSun" w:hAnsi="Arial" w:cs="Arial"/>
          <w:kern w:val="0"/>
          <w:sz w:val="24"/>
          <w:szCs w:val="24"/>
        </w:rPr>
        <w:t xml:space="preserve">Zhou C, Long Q, Chen J, et al. The effect of NCMS on catastrophic health expenditure and impoverishment from tuberculosis care in China. </w:t>
      </w:r>
      <w:proofErr w:type="spellStart"/>
      <w:r w:rsidRPr="004E1E34">
        <w:rPr>
          <w:rFonts w:ascii="Arial" w:eastAsia="SimSun" w:hAnsi="Arial" w:cs="Arial"/>
          <w:kern w:val="0"/>
          <w:sz w:val="24"/>
          <w:szCs w:val="24"/>
        </w:rPr>
        <w:t>Int</w:t>
      </w:r>
      <w:proofErr w:type="spellEnd"/>
      <w:r w:rsidRPr="004E1E34">
        <w:rPr>
          <w:rFonts w:ascii="Arial" w:eastAsia="SimSun" w:hAnsi="Arial" w:cs="Arial"/>
          <w:kern w:val="0"/>
          <w:sz w:val="24"/>
          <w:szCs w:val="24"/>
        </w:rPr>
        <w:t xml:space="preserve"> J Equity Health. 2016</w:t>
      </w:r>
      <w:proofErr w:type="gramStart"/>
      <w:r w:rsidRPr="004E1E34">
        <w:rPr>
          <w:rFonts w:ascii="Arial" w:eastAsia="SimSun" w:hAnsi="Arial" w:cs="Arial"/>
          <w:kern w:val="0"/>
          <w:sz w:val="24"/>
          <w:szCs w:val="24"/>
        </w:rPr>
        <w:t>;15:172</w:t>
      </w:r>
      <w:proofErr w:type="gramEnd"/>
      <w:r w:rsidRPr="004E1E34">
        <w:rPr>
          <w:rFonts w:ascii="Arial" w:eastAsia="SimSun" w:hAnsi="Arial" w:cs="Arial"/>
          <w:kern w:val="0"/>
          <w:sz w:val="24"/>
          <w:szCs w:val="24"/>
        </w:rPr>
        <w:t>-84.</w:t>
      </w:r>
      <w:bookmarkEnd w:id="23"/>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lang w:val="es-ES"/>
        </w:rPr>
      </w:pPr>
      <w:r w:rsidRPr="004E1E34">
        <w:rPr>
          <w:rFonts w:ascii="Arial" w:eastAsia="SimSun" w:hAnsi="Arial" w:cs="Arial"/>
          <w:kern w:val="0"/>
          <w:sz w:val="24"/>
          <w:szCs w:val="24"/>
        </w:rPr>
        <w:t>21.</w:t>
      </w:r>
      <w:r w:rsidRPr="004E1E34">
        <w:rPr>
          <w:rFonts w:ascii="Arial" w:eastAsia="SimSun" w:hAnsi="Arial" w:cs="Arial"/>
          <w:kern w:val="0"/>
          <w:sz w:val="24"/>
          <w:szCs w:val="24"/>
        </w:rPr>
        <w:tab/>
      </w:r>
      <w:bookmarkStart w:id="24" w:name="_nebBBFD83A4_9CDE_40FD_87B7_5B3D69DDE259"/>
      <w:proofErr w:type="spellStart"/>
      <w:r w:rsidRPr="004E1E34">
        <w:rPr>
          <w:rFonts w:ascii="Arial" w:eastAsia="SimSun" w:hAnsi="Arial" w:cs="Arial"/>
          <w:kern w:val="0"/>
          <w:sz w:val="24"/>
          <w:szCs w:val="24"/>
        </w:rPr>
        <w:t>Garc</w:t>
      </w:r>
      <w:r>
        <w:rPr>
          <w:rFonts w:ascii="Arial" w:eastAsia="SimSun" w:hAnsi="Arial" w:cs="Arial"/>
          <w:kern w:val="0"/>
          <w:sz w:val="24"/>
          <w:szCs w:val="24"/>
        </w:rPr>
        <w:t>í</w:t>
      </w:r>
      <w:r w:rsidRPr="004E1E34">
        <w:rPr>
          <w:rFonts w:ascii="Arial" w:eastAsia="SimSun" w:hAnsi="Arial" w:cs="Arial"/>
          <w:kern w:val="0"/>
          <w:sz w:val="24"/>
          <w:szCs w:val="24"/>
        </w:rPr>
        <w:t>a-Subirats</w:t>
      </w:r>
      <w:proofErr w:type="spellEnd"/>
      <w:r w:rsidRPr="004E1E34">
        <w:rPr>
          <w:rFonts w:ascii="Arial" w:eastAsia="SimSun" w:hAnsi="Arial" w:cs="Arial"/>
          <w:kern w:val="0"/>
          <w:sz w:val="24"/>
          <w:szCs w:val="24"/>
        </w:rPr>
        <w:t xml:space="preserve"> I, Vargas Lorenzo I, </w:t>
      </w:r>
      <w:proofErr w:type="spellStart"/>
      <w:r w:rsidRPr="004E1E34">
        <w:rPr>
          <w:rFonts w:ascii="Arial" w:eastAsia="SimSun" w:hAnsi="Arial" w:cs="Arial"/>
          <w:kern w:val="0"/>
          <w:sz w:val="24"/>
          <w:szCs w:val="24"/>
        </w:rPr>
        <w:t>Mogollón</w:t>
      </w:r>
      <w:proofErr w:type="spellEnd"/>
      <w:r w:rsidRPr="004E1E34">
        <w:rPr>
          <w:rFonts w:ascii="Arial" w:eastAsia="SimSun" w:hAnsi="Arial" w:cs="Arial"/>
          <w:kern w:val="0"/>
          <w:sz w:val="24"/>
          <w:szCs w:val="24"/>
        </w:rPr>
        <w:t xml:space="preserve">-Pérez AS, et al. </w:t>
      </w:r>
      <w:r w:rsidRPr="004E1E34">
        <w:rPr>
          <w:rFonts w:ascii="Arial" w:eastAsia="SimSun" w:hAnsi="Arial" w:cs="Arial"/>
          <w:kern w:val="0"/>
          <w:sz w:val="24"/>
          <w:szCs w:val="24"/>
          <w:lang w:val="es-ES"/>
        </w:rPr>
        <w:t xml:space="preserve">Determinantes del uso de distintos niveles asistenciales en el Sistema General de Seguridad Social en Salud y Sistema Único de Salud en Colombia y Brasil. </w:t>
      </w:r>
      <w:proofErr w:type="spellStart"/>
      <w:r w:rsidRPr="004E1E34">
        <w:rPr>
          <w:rFonts w:ascii="Arial" w:eastAsia="SimSun" w:hAnsi="Arial" w:cs="Arial"/>
          <w:kern w:val="0"/>
          <w:sz w:val="24"/>
          <w:szCs w:val="24"/>
          <w:lang w:val="es-ES"/>
        </w:rPr>
        <w:t>Gac</w:t>
      </w:r>
      <w:proofErr w:type="spellEnd"/>
      <w:r w:rsidRPr="004E1E34">
        <w:rPr>
          <w:rFonts w:ascii="Arial" w:eastAsia="SimSun" w:hAnsi="Arial" w:cs="Arial"/>
          <w:kern w:val="0"/>
          <w:sz w:val="24"/>
          <w:szCs w:val="24"/>
          <w:lang w:val="es-ES"/>
        </w:rPr>
        <w:t xml:space="preserve"> </w:t>
      </w:r>
      <w:proofErr w:type="spellStart"/>
      <w:r w:rsidRPr="004E1E34">
        <w:rPr>
          <w:rFonts w:ascii="Arial" w:eastAsia="SimSun" w:hAnsi="Arial" w:cs="Arial"/>
          <w:kern w:val="0"/>
          <w:sz w:val="24"/>
          <w:szCs w:val="24"/>
          <w:lang w:val="es-ES"/>
        </w:rPr>
        <w:t>Sanit</w:t>
      </w:r>
      <w:proofErr w:type="spellEnd"/>
      <w:r w:rsidRPr="004E1E34">
        <w:rPr>
          <w:rFonts w:ascii="Arial" w:eastAsia="SimSun" w:hAnsi="Arial" w:cs="Arial"/>
          <w:kern w:val="0"/>
          <w:sz w:val="24"/>
          <w:szCs w:val="24"/>
          <w:lang w:val="es-ES"/>
        </w:rPr>
        <w:t>. 2014</w:t>
      </w:r>
      <w:proofErr w:type="gramStart"/>
      <w:r w:rsidRPr="004E1E34">
        <w:rPr>
          <w:rFonts w:ascii="Arial" w:eastAsia="SimSun" w:hAnsi="Arial" w:cs="Arial"/>
          <w:kern w:val="0"/>
          <w:sz w:val="24"/>
          <w:szCs w:val="24"/>
          <w:lang w:val="es-ES"/>
        </w:rPr>
        <w:t>;28:480</w:t>
      </w:r>
      <w:proofErr w:type="gramEnd"/>
      <w:r w:rsidRPr="004E1E34">
        <w:rPr>
          <w:rFonts w:ascii="Arial" w:eastAsia="SimSun" w:hAnsi="Arial" w:cs="Arial"/>
          <w:kern w:val="0"/>
          <w:sz w:val="24"/>
          <w:szCs w:val="24"/>
          <w:lang w:val="es-ES"/>
        </w:rPr>
        <w:t>-8.</w:t>
      </w:r>
      <w:bookmarkEnd w:id="24"/>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rPr>
      </w:pPr>
      <w:r w:rsidRPr="004E1E34">
        <w:rPr>
          <w:rFonts w:ascii="Arial" w:eastAsia="SimSun" w:hAnsi="Arial" w:cs="Arial"/>
          <w:kern w:val="0"/>
          <w:sz w:val="24"/>
          <w:szCs w:val="24"/>
          <w:lang w:val="es-ES"/>
        </w:rPr>
        <w:t>22.</w:t>
      </w:r>
      <w:r w:rsidRPr="004E1E34">
        <w:rPr>
          <w:rFonts w:ascii="Arial" w:eastAsia="SimSun" w:hAnsi="Arial" w:cs="Arial"/>
          <w:kern w:val="0"/>
          <w:sz w:val="24"/>
          <w:szCs w:val="24"/>
          <w:lang w:val="es-ES"/>
        </w:rPr>
        <w:tab/>
      </w:r>
      <w:bookmarkStart w:id="25" w:name="_neb35F0DF54_F1EA_48D4_B918_914761B6ACBE"/>
      <w:proofErr w:type="spellStart"/>
      <w:r w:rsidRPr="004E1E34">
        <w:rPr>
          <w:rFonts w:ascii="Arial" w:eastAsia="SimSun" w:hAnsi="Arial" w:cs="Arial"/>
          <w:kern w:val="0"/>
          <w:sz w:val="24"/>
          <w:szCs w:val="24"/>
          <w:lang w:val="es-ES"/>
        </w:rPr>
        <w:t>Gu</w:t>
      </w:r>
      <w:proofErr w:type="spellEnd"/>
      <w:r w:rsidRPr="004E1E34">
        <w:rPr>
          <w:rFonts w:ascii="Arial" w:eastAsia="SimSun" w:hAnsi="Arial" w:cs="Arial"/>
          <w:kern w:val="0"/>
          <w:sz w:val="24"/>
          <w:szCs w:val="24"/>
          <w:lang w:val="es-ES"/>
        </w:rPr>
        <w:t xml:space="preserve"> H, </w:t>
      </w:r>
      <w:proofErr w:type="spellStart"/>
      <w:r w:rsidRPr="004E1E34">
        <w:rPr>
          <w:rFonts w:ascii="Arial" w:eastAsia="SimSun" w:hAnsi="Arial" w:cs="Arial"/>
          <w:kern w:val="0"/>
          <w:sz w:val="24"/>
          <w:szCs w:val="24"/>
          <w:lang w:val="es-ES"/>
        </w:rPr>
        <w:t>Kou</w:t>
      </w:r>
      <w:proofErr w:type="spellEnd"/>
      <w:r w:rsidRPr="004E1E34">
        <w:rPr>
          <w:rFonts w:ascii="Arial" w:eastAsia="SimSun" w:hAnsi="Arial" w:cs="Arial"/>
          <w:kern w:val="0"/>
          <w:sz w:val="24"/>
          <w:szCs w:val="24"/>
          <w:lang w:val="es-ES"/>
        </w:rPr>
        <w:t xml:space="preserve"> Y, </w:t>
      </w:r>
      <w:proofErr w:type="spellStart"/>
      <w:r w:rsidRPr="004E1E34">
        <w:rPr>
          <w:rFonts w:ascii="Arial" w:eastAsia="SimSun" w:hAnsi="Arial" w:cs="Arial"/>
          <w:kern w:val="0"/>
          <w:sz w:val="24"/>
          <w:szCs w:val="24"/>
          <w:lang w:val="es-ES"/>
        </w:rPr>
        <w:t>Yan</w:t>
      </w:r>
      <w:proofErr w:type="spellEnd"/>
      <w:r w:rsidRPr="004E1E34">
        <w:rPr>
          <w:rFonts w:ascii="Arial" w:eastAsia="SimSun" w:hAnsi="Arial" w:cs="Arial"/>
          <w:kern w:val="0"/>
          <w:sz w:val="24"/>
          <w:szCs w:val="24"/>
          <w:lang w:val="es-ES"/>
        </w:rPr>
        <w:t xml:space="preserve"> Z, et al. </w:t>
      </w:r>
      <w:r w:rsidRPr="004E1E34">
        <w:rPr>
          <w:rFonts w:ascii="Arial" w:eastAsia="SimSun" w:hAnsi="Arial" w:cs="Arial"/>
          <w:kern w:val="0"/>
          <w:sz w:val="24"/>
          <w:szCs w:val="24"/>
        </w:rPr>
        <w:t>Income related inequality and influencing factors: a study for the incidence of catastrophic health expenditure in rural China. BMC Public Health. 2017</w:t>
      </w:r>
      <w:proofErr w:type="gramStart"/>
      <w:r w:rsidRPr="004E1E34">
        <w:rPr>
          <w:rFonts w:ascii="Arial" w:eastAsia="SimSun" w:hAnsi="Arial" w:cs="Arial"/>
          <w:kern w:val="0"/>
          <w:sz w:val="24"/>
          <w:szCs w:val="24"/>
        </w:rPr>
        <w:t>;17:727</w:t>
      </w:r>
      <w:proofErr w:type="gramEnd"/>
      <w:r w:rsidRPr="004E1E34">
        <w:rPr>
          <w:rFonts w:ascii="Arial" w:eastAsia="SimSun" w:hAnsi="Arial" w:cs="Arial"/>
          <w:kern w:val="0"/>
          <w:sz w:val="24"/>
          <w:szCs w:val="24"/>
        </w:rPr>
        <w:t>-39.</w:t>
      </w:r>
      <w:bookmarkEnd w:id="25"/>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rPr>
      </w:pPr>
      <w:r w:rsidRPr="004E1E34">
        <w:rPr>
          <w:rFonts w:ascii="Arial" w:eastAsia="SimSun" w:hAnsi="Arial" w:cs="Arial"/>
          <w:kern w:val="0"/>
          <w:sz w:val="24"/>
          <w:szCs w:val="24"/>
        </w:rPr>
        <w:t>23.</w:t>
      </w:r>
      <w:r w:rsidRPr="004E1E34">
        <w:rPr>
          <w:rFonts w:ascii="Arial" w:eastAsia="SimSun" w:hAnsi="Arial" w:cs="Arial"/>
          <w:kern w:val="0"/>
          <w:sz w:val="24"/>
          <w:szCs w:val="24"/>
        </w:rPr>
        <w:tab/>
      </w:r>
      <w:bookmarkStart w:id="26" w:name="_neb405D4C2F_30C7_4E37_9CBF_6F7B7F1AC3A9"/>
      <w:proofErr w:type="spellStart"/>
      <w:r w:rsidRPr="004E1E34">
        <w:rPr>
          <w:rFonts w:ascii="Arial" w:eastAsia="SimSun" w:hAnsi="Arial" w:cs="Arial"/>
          <w:kern w:val="0"/>
          <w:sz w:val="24"/>
          <w:szCs w:val="24"/>
        </w:rPr>
        <w:t>Chertorivski-Woldenberg</w:t>
      </w:r>
      <w:proofErr w:type="spellEnd"/>
      <w:r w:rsidRPr="004E1E34">
        <w:rPr>
          <w:rFonts w:ascii="Arial" w:eastAsia="SimSun" w:hAnsi="Arial" w:cs="Arial"/>
          <w:kern w:val="0"/>
          <w:sz w:val="24"/>
          <w:szCs w:val="24"/>
        </w:rPr>
        <w:t xml:space="preserve"> S. </w:t>
      </w:r>
      <w:proofErr w:type="spellStart"/>
      <w:r w:rsidRPr="004E1E34">
        <w:rPr>
          <w:rFonts w:ascii="Arial" w:eastAsia="SimSun" w:hAnsi="Arial" w:cs="Arial"/>
          <w:kern w:val="0"/>
          <w:sz w:val="24"/>
          <w:szCs w:val="24"/>
        </w:rPr>
        <w:t>Seguro</w:t>
      </w:r>
      <w:proofErr w:type="spellEnd"/>
      <w:r w:rsidRPr="004E1E34">
        <w:rPr>
          <w:rFonts w:ascii="Arial" w:eastAsia="SimSun" w:hAnsi="Arial" w:cs="Arial"/>
          <w:kern w:val="0"/>
          <w:sz w:val="24"/>
          <w:szCs w:val="24"/>
        </w:rPr>
        <w:t xml:space="preserve"> popular: achievements and perspectives. </w:t>
      </w:r>
      <w:proofErr w:type="spellStart"/>
      <w:r w:rsidRPr="004E1E34">
        <w:rPr>
          <w:rFonts w:ascii="Arial" w:eastAsia="SimSun" w:hAnsi="Arial" w:cs="Arial"/>
          <w:kern w:val="0"/>
          <w:sz w:val="24"/>
          <w:szCs w:val="24"/>
        </w:rPr>
        <w:t>Gac</w:t>
      </w:r>
      <w:proofErr w:type="spellEnd"/>
      <w:r w:rsidRPr="004E1E34">
        <w:rPr>
          <w:rFonts w:ascii="Arial" w:eastAsia="SimSun" w:hAnsi="Arial" w:cs="Arial"/>
          <w:kern w:val="0"/>
          <w:sz w:val="24"/>
          <w:szCs w:val="24"/>
        </w:rPr>
        <w:t xml:space="preserve"> Med Mex. 2011</w:t>
      </w:r>
      <w:proofErr w:type="gramStart"/>
      <w:r w:rsidRPr="004E1E34">
        <w:rPr>
          <w:rFonts w:ascii="Arial" w:eastAsia="SimSun" w:hAnsi="Arial" w:cs="Arial"/>
          <w:kern w:val="0"/>
          <w:sz w:val="24"/>
          <w:szCs w:val="24"/>
        </w:rPr>
        <w:t>;147:487</w:t>
      </w:r>
      <w:proofErr w:type="gramEnd"/>
      <w:r w:rsidRPr="004E1E34">
        <w:rPr>
          <w:rFonts w:ascii="Arial" w:eastAsia="SimSun" w:hAnsi="Arial" w:cs="Arial"/>
          <w:kern w:val="0"/>
          <w:sz w:val="24"/>
          <w:szCs w:val="24"/>
        </w:rPr>
        <w:t>.</w:t>
      </w:r>
      <w:bookmarkEnd w:id="26"/>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rPr>
      </w:pPr>
      <w:r w:rsidRPr="00E557FE">
        <w:rPr>
          <w:rFonts w:ascii="Arial" w:eastAsia="SimSun" w:hAnsi="Arial" w:cs="Arial"/>
          <w:kern w:val="0"/>
          <w:sz w:val="24"/>
          <w:szCs w:val="24"/>
          <w:lang w:val="es-ES"/>
        </w:rPr>
        <w:t>24.</w:t>
      </w:r>
      <w:r w:rsidRPr="00E557FE">
        <w:rPr>
          <w:rFonts w:ascii="Arial" w:eastAsia="SimSun" w:hAnsi="Arial" w:cs="Arial"/>
          <w:kern w:val="0"/>
          <w:sz w:val="24"/>
          <w:szCs w:val="24"/>
          <w:lang w:val="es-ES"/>
        </w:rPr>
        <w:tab/>
      </w:r>
      <w:bookmarkStart w:id="27" w:name="_nebB97963E4_0215_4738_8F59_EC91C9208A32"/>
      <w:r w:rsidRPr="00E557FE">
        <w:rPr>
          <w:rFonts w:ascii="Arial" w:eastAsia="SimSun" w:hAnsi="Arial" w:cs="Arial"/>
          <w:kern w:val="0"/>
          <w:sz w:val="24"/>
          <w:szCs w:val="24"/>
          <w:lang w:val="es-ES"/>
        </w:rPr>
        <w:t>Pavón-Le</w:t>
      </w:r>
      <w:r>
        <w:rPr>
          <w:rFonts w:ascii="Arial" w:eastAsia="SimSun" w:hAnsi="Arial" w:cs="Arial"/>
          <w:kern w:val="0"/>
          <w:sz w:val="24"/>
          <w:szCs w:val="24"/>
          <w:lang w:val="es-ES"/>
        </w:rPr>
        <w:t>ó</w:t>
      </w:r>
      <w:r w:rsidRPr="00E557FE">
        <w:rPr>
          <w:rFonts w:ascii="Arial" w:eastAsia="SimSun" w:hAnsi="Arial" w:cs="Arial"/>
          <w:kern w:val="0"/>
          <w:sz w:val="24"/>
          <w:szCs w:val="24"/>
          <w:lang w:val="es-ES"/>
        </w:rPr>
        <w:t>n P, Reyes-Morales H, Mart</w:t>
      </w:r>
      <w:r>
        <w:rPr>
          <w:rFonts w:ascii="Arial" w:eastAsia="SimSun" w:hAnsi="Arial" w:cs="Arial"/>
          <w:kern w:val="0"/>
          <w:sz w:val="24"/>
          <w:szCs w:val="24"/>
          <w:lang w:val="es-ES"/>
        </w:rPr>
        <w:t>í</w:t>
      </w:r>
      <w:r w:rsidRPr="00E557FE">
        <w:rPr>
          <w:rFonts w:ascii="Arial" w:eastAsia="SimSun" w:hAnsi="Arial" w:cs="Arial"/>
          <w:kern w:val="0"/>
          <w:sz w:val="24"/>
          <w:szCs w:val="24"/>
          <w:lang w:val="es-ES"/>
        </w:rPr>
        <w:t xml:space="preserve">nez AJ, et al. </w:t>
      </w:r>
      <w:r w:rsidRPr="004E1E34">
        <w:rPr>
          <w:rFonts w:ascii="Arial" w:eastAsia="SimSun" w:hAnsi="Arial" w:cs="Arial"/>
          <w:kern w:val="0"/>
          <w:sz w:val="24"/>
          <w:szCs w:val="24"/>
        </w:rPr>
        <w:t xml:space="preserve">Out-of-pocket expenditure by elderly adults enrolled in a public health insurance </w:t>
      </w:r>
      <w:proofErr w:type="spellStart"/>
      <w:r w:rsidRPr="004E1E34">
        <w:rPr>
          <w:rFonts w:ascii="Arial" w:eastAsia="SimSun" w:hAnsi="Arial" w:cs="Arial"/>
          <w:kern w:val="0"/>
          <w:sz w:val="24"/>
          <w:szCs w:val="24"/>
        </w:rPr>
        <w:t>programme</w:t>
      </w:r>
      <w:proofErr w:type="spellEnd"/>
      <w:r w:rsidRPr="004E1E34">
        <w:rPr>
          <w:rFonts w:ascii="Arial" w:eastAsia="SimSun" w:hAnsi="Arial" w:cs="Arial"/>
          <w:kern w:val="0"/>
          <w:sz w:val="24"/>
          <w:szCs w:val="24"/>
        </w:rPr>
        <w:t xml:space="preserve"> in Mexico. </w:t>
      </w:r>
      <w:proofErr w:type="spellStart"/>
      <w:r w:rsidRPr="004E1E34">
        <w:rPr>
          <w:rFonts w:ascii="Arial" w:eastAsia="SimSun" w:hAnsi="Arial" w:cs="Arial"/>
          <w:kern w:val="0"/>
          <w:sz w:val="24"/>
          <w:szCs w:val="24"/>
        </w:rPr>
        <w:t>Gac</w:t>
      </w:r>
      <w:proofErr w:type="spellEnd"/>
      <w:r w:rsidRPr="004E1E34">
        <w:rPr>
          <w:rFonts w:ascii="Arial" w:eastAsia="SimSun" w:hAnsi="Arial" w:cs="Arial"/>
          <w:kern w:val="0"/>
          <w:sz w:val="24"/>
          <w:szCs w:val="24"/>
        </w:rPr>
        <w:t xml:space="preserve"> Sanit. 2017</w:t>
      </w:r>
      <w:proofErr w:type="gramStart"/>
      <w:r w:rsidRPr="004E1E34">
        <w:rPr>
          <w:rFonts w:ascii="Arial" w:eastAsia="SimSun" w:hAnsi="Arial" w:cs="Arial"/>
          <w:kern w:val="0"/>
          <w:sz w:val="24"/>
          <w:szCs w:val="24"/>
        </w:rPr>
        <w:t>;31:286</w:t>
      </w:r>
      <w:proofErr w:type="gramEnd"/>
      <w:r w:rsidRPr="004E1E34">
        <w:rPr>
          <w:rFonts w:ascii="Arial" w:eastAsia="SimSun" w:hAnsi="Arial" w:cs="Arial"/>
          <w:kern w:val="0"/>
          <w:sz w:val="24"/>
          <w:szCs w:val="24"/>
        </w:rPr>
        <w:t>-91.</w:t>
      </w:r>
      <w:bookmarkEnd w:id="27"/>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lang w:val="es-ES"/>
        </w:rPr>
      </w:pPr>
      <w:r w:rsidRPr="004E1E34">
        <w:rPr>
          <w:rFonts w:ascii="Arial" w:eastAsia="SimSun" w:hAnsi="Arial" w:cs="Arial"/>
          <w:kern w:val="0"/>
          <w:sz w:val="24"/>
          <w:szCs w:val="24"/>
        </w:rPr>
        <w:t>25.</w:t>
      </w:r>
      <w:r w:rsidRPr="004E1E34">
        <w:rPr>
          <w:rFonts w:ascii="Arial" w:eastAsia="SimSun" w:hAnsi="Arial" w:cs="Arial"/>
          <w:kern w:val="0"/>
          <w:sz w:val="24"/>
          <w:szCs w:val="24"/>
        </w:rPr>
        <w:tab/>
        <w:t xml:space="preserve">Goss PE, </w:t>
      </w:r>
      <w:proofErr w:type="spellStart"/>
      <w:r w:rsidRPr="004E1E34">
        <w:rPr>
          <w:rFonts w:ascii="Arial" w:eastAsia="SimSun" w:hAnsi="Arial" w:cs="Arial"/>
          <w:kern w:val="0"/>
          <w:sz w:val="24"/>
          <w:szCs w:val="24"/>
        </w:rPr>
        <w:t>Strasser-Weippl</w:t>
      </w:r>
      <w:proofErr w:type="spellEnd"/>
      <w:r w:rsidRPr="004E1E34">
        <w:rPr>
          <w:rFonts w:ascii="Arial" w:eastAsia="SimSun" w:hAnsi="Arial" w:cs="Arial"/>
          <w:kern w:val="0"/>
          <w:sz w:val="24"/>
          <w:szCs w:val="24"/>
        </w:rPr>
        <w:t xml:space="preserve"> K, Lee-</w:t>
      </w:r>
      <w:proofErr w:type="spellStart"/>
      <w:r w:rsidRPr="004E1E34">
        <w:rPr>
          <w:rFonts w:ascii="Arial" w:eastAsia="SimSun" w:hAnsi="Arial" w:cs="Arial"/>
          <w:kern w:val="0"/>
          <w:sz w:val="24"/>
          <w:szCs w:val="24"/>
        </w:rPr>
        <w:t>Bychkovsky</w:t>
      </w:r>
      <w:proofErr w:type="spellEnd"/>
      <w:r w:rsidRPr="004E1E34">
        <w:rPr>
          <w:rFonts w:ascii="Arial" w:eastAsia="SimSun" w:hAnsi="Arial" w:cs="Arial"/>
          <w:kern w:val="0"/>
          <w:sz w:val="24"/>
          <w:szCs w:val="24"/>
        </w:rPr>
        <w:t xml:space="preserve"> BL, et al. Challenges to effective cancer control in China, India, and Russia. </w:t>
      </w:r>
      <w:proofErr w:type="spellStart"/>
      <w:r w:rsidRPr="004E1E34">
        <w:rPr>
          <w:rFonts w:ascii="Arial" w:eastAsia="SimSun" w:hAnsi="Arial" w:cs="Arial"/>
          <w:kern w:val="0"/>
          <w:sz w:val="24"/>
          <w:szCs w:val="24"/>
          <w:lang w:val="es-ES"/>
        </w:rPr>
        <w:t>Lancet</w:t>
      </w:r>
      <w:proofErr w:type="spellEnd"/>
      <w:r w:rsidRPr="004E1E34">
        <w:rPr>
          <w:rFonts w:ascii="Arial" w:eastAsia="SimSun" w:hAnsi="Arial" w:cs="Arial"/>
          <w:kern w:val="0"/>
          <w:sz w:val="24"/>
          <w:szCs w:val="24"/>
          <w:lang w:val="es-ES"/>
        </w:rPr>
        <w:t xml:space="preserve"> </w:t>
      </w:r>
      <w:proofErr w:type="spellStart"/>
      <w:r w:rsidRPr="004E1E34">
        <w:rPr>
          <w:rFonts w:ascii="Arial" w:eastAsia="SimSun" w:hAnsi="Arial" w:cs="Arial"/>
          <w:kern w:val="0"/>
          <w:sz w:val="24"/>
          <w:szCs w:val="24"/>
          <w:lang w:val="es-ES"/>
        </w:rPr>
        <w:t>Oncol</w:t>
      </w:r>
      <w:proofErr w:type="spellEnd"/>
      <w:r w:rsidRPr="004E1E34">
        <w:rPr>
          <w:rFonts w:ascii="Arial" w:eastAsia="SimSun" w:hAnsi="Arial" w:cs="Arial"/>
          <w:kern w:val="0"/>
          <w:sz w:val="24"/>
          <w:szCs w:val="24"/>
          <w:lang w:val="es-ES"/>
        </w:rPr>
        <w:t>. 2014</w:t>
      </w:r>
      <w:proofErr w:type="gramStart"/>
      <w:r w:rsidRPr="004E1E34">
        <w:rPr>
          <w:rFonts w:ascii="Arial" w:eastAsia="SimSun" w:hAnsi="Arial" w:cs="Arial"/>
          <w:kern w:val="0"/>
          <w:sz w:val="24"/>
          <w:szCs w:val="24"/>
          <w:lang w:val="es-ES"/>
        </w:rPr>
        <w:t>;15:489</w:t>
      </w:r>
      <w:proofErr w:type="gramEnd"/>
      <w:r w:rsidRPr="004E1E34">
        <w:rPr>
          <w:rFonts w:ascii="Arial" w:eastAsia="SimSun" w:hAnsi="Arial" w:cs="Arial"/>
          <w:kern w:val="0"/>
          <w:sz w:val="24"/>
          <w:szCs w:val="24"/>
          <w:lang w:val="es-ES"/>
        </w:rPr>
        <w:t>-538.</w:t>
      </w:r>
    </w:p>
    <w:p w:rsidR="003D36FF" w:rsidRPr="004E1E34" w:rsidRDefault="003D36FF" w:rsidP="003D36FF">
      <w:pPr>
        <w:tabs>
          <w:tab w:val="left" w:pos="284"/>
        </w:tabs>
        <w:autoSpaceDE w:val="0"/>
        <w:autoSpaceDN w:val="0"/>
        <w:adjustRightInd w:val="0"/>
        <w:spacing w:line="360" w:lineRule="auto"/>
        <w:ind w:firstLine="0"/>
        <w:rPr>
          <w:rFonts w:ascii="Arial" w:eastAsia="SimSun" w:hAnsi="Arial" w:cs="Arial"/>
          <w:kern w:val="0"/>
          <w:sz w:val="24"/>
          <w:szCs w:val="24"/>
        </w:rPr>
      </w:pPr>
      <w:r w:rsidRPr="004E1E34">
        <w:rPr>
          <w:rFonts w:ascii="Arial" w:eastAsia="SimSun" w:hAnsi="Arial" w:cs="Arial"/>
          <w:kern w:val="0"/>
          <w:sz w:val="24"/>
          <w:szCs w:val="24"/>
          <w:lang w:val="es-ES"/>
        </w:rPr>
        <w:t>26.</w:t>
      </w:r>
      <w:r w:rsidRPr="004E1E34">
        <w:rPr>
          <w:rFonts w:ascii="Arial" w:eastAsia="SimSun" w:hAnsi="Arial" w:cs="Arial"/>
          <w:kern w:val="0"/>
          <w:sz w:val="24"/>
          <w:szCs w:val="24"/>
          <w:lang w:val="es-ES"/>
        </w:rPr>
        <w:tab/>
      </w:r>
      <w:proofErr w:type="spellStart"/>
      <w:r w:rsidRPr="004E1E34">
        <w:rPr>
          <w:rFonts w:ascii="Arial" w:eastAsia="SimSun" w:hAnsi="Arial" w:cs="Arial"/>
          <w:kern w:val="0"/>
          <w:sz w:val="24"/>
          <w:szCs w:val="24"/>
          <w:lang w:val="es-ES"/>
        </w:rPr>
        <w:t>Knaul</w:t>
      </w:r>
      <w:proofErr w:type="spellEnd"/>
      <w:r w:rsidRPr="004E1E34">
        <w:rPr>
          <w:rFonts w:ascii="Arial" w:eastAsia="SimSun" w:hAnsi="Arial" w:cs="Arial"/>
          <w:kern w:val="0"/>
          <w:sz w:val="24"/>
          <w:szCs w:val="24"/>
          <w:lang w:val="es-ES"/>
        </w:rPr>
        <w:t xml:space="preserve"> FM, González-</w:t>
      </w:r>
      <w:proofErr w:type="spellStart"/>
      <w:r w:rsidRPr="004E1E34">
        <w:rPr>
          <w:rFonts w:ascii="Arial" w:eastAsia="SimSun" w:hAnsi="Arial" w:cs="Arial"/>
          <w:kern w:val="0"/>
          <w:sz w:val="24"/>
          <w:szCs w:val="24"/>
          <w:lang w:val="es-ES"/>
        </w:rPr>
        <w:t>Pier</w:t>
      </w:r>
      <w:proofErr w:type="spellEnd"/>
      <w:r w:rsidRPr="004E1E34">
        <w:rPr>
          <w:rFonts w:ascii="Arial" w:eastAsia="SimSun" w:hAnsi="Arial" w:cs="Arial"/>
          <w:kern w:val="0"/>
          <w:sz w:val="24"/>
          <w:szCs w:val="24"/>
          <w:lang w:val="es-ES"/>
        </w:rPr>
        <w:t xml:space="preserve"> E, Gómez-Dantés O, et al. </w:t>
      </w:r>
      <w:r w:rsidRPr="004E1E34">
        <w:rPr>
          <w:rFonts w:ascii="Arial" w:eastAsia="SimSun" w:hAnsi="Arial" w:cs="Arial"/>
          <w:kern w:val="0"/>
          <w:sz w:val="24"/>
          <w:szCs w:val="24"/>
        </w:rPr>
        <w:t>The quest for universal health coverage: achieving social protection for all in Mexico. Lancet. 2012</w:t>
      </w:r>
      <w:proofErr w:type="gramStart"/>
      <w:r w:rsidRPr="004E1E34">
        <w:rPr>
          <w:rFonts w:ascii="Arial" w:eastAsia="SimSun" w:hAnsi="Arial" w:cs="Arial"/>
          <w:kern w:val="0"/>
          <w:sz w:val="24"/>
          <w:szCs w:val="24"/>
        </w:rPr>
        <w:t>;380:1259</w:t>
      </w:r>
      <w:proofErr w:type="gramEnd"/>
      <w:r w:rsidRPr="004E1E34">
        <w:rPr>
          <w:rFonts w:ascii="Arial" w:eastAsia="SimSun" w:hAnsi="Arial" w:cs="Arial"/>
          <w:kern w:val="0"/>
          <w:sz w:val="24"/>
          <w:szCs w:val="24"/>
        </w:rPr>
        <w:t>-79.</w:t>
      </w:r>
    </w:p>
    <w:p w:rsidR="003D36FF" w:rsidRPr="004E1E34" w:rsidRDefault="003D36FF" w:rsidP="003D36FF">
      <w:pPr>
        <w:tabs>
          <w:tab w:val="left" w:pos="284"/>
        </w:tabs>
        <w:autoSpaceDE w:val="0"/>
        <w:autoSpaceDN w:val="0"/>
        <w:adjustRightInd w:val="0"/>
        <w:spacing w:line="360" w:lineRule="auto"/>
        <w:ind w:firstLine="0"/>
        <w:rPr>
          <w:rFonts w:ascii="Arial" w:hAnsi="Arial" w:cs="Arial"/>
          <w:sz w:val="24"/>
          <w:szCs w:val="24"/>
        </w:rPr>
      </w:pPr>
      <w:r w:rsidRPr="004E1E34">
        <w:rPr>
          <w:rFonts w:ascii="Arial" w:eastAsia="SimSun" w:hAnsi="Arial" w:cs="Arial"/>
          <w:kern w:val="0"/>
          <w:sz w:val="24"/>
          <w:szCs w:val="24"/>
        </w:rPr>
        <w:t>27.</w:t>
      </w:r>
      <w:r w:rsidRPr="004E1E34">
        <w:rPr>
          <w:rFonts w:ascii="Arial" w:eastAsia="SimSun" w:hAnsi="Arial" w:cs="Arial"/>
          <w:kern w:val="0"/>
          <w:sz w:val="24"/>
          <w:szCs w:val="24"/>
        </w:rPr>
        <w:tab/>
      </w:r>
      <w:bookmarkStart w:id="28" w:name="_neb4BDDF62A_8981_4B02_AA95_B6A6A7211595"/>
      <w:r w:rsidRPr="004E1E34">
        <w:rPr>
          <w:rFonts w:ascii="Arial" w:eastAsia="SimSun" w:hAnsi="Arial" w:cs="Arial"/>
          <w:kern w:val="0"/>
          <w:sz w:val="24"/>
          <w:szCs w:val="24"/>
        </w:rPr>
        <w:t xml:space="preserve">Qin X, Luo H, Feng J, et al. Equity in health financing of Guangxi after China’s </w:t>
      </w:r>
      <w:r w:rsidRPr="004E1E34">
        <w:rPr>
          <w:rFonts w:ascii="Arial" w:eastAsia="SimSun" w:hAnsi="Arial" w:cs="Arial"/>
          <w:kern w:val="0"/>
          <w:sz w:val="24"/>
          <w:szCs w:val="24"/>
        </w:rPr>
        <w:lastRenderedPageBreak/>
        <w:t xml:space="preserve">universal health coverage: evidence based on health expenditure comparison in rural Guangxi Zhuang autonomous region from 2009 to 2013. </w:t>
      </w:r>
      <w:proofErr w:type="spellStart"/>
      <w:r w:rsidRPr="004E1E34">
        <w:rPr>
          <w:rFonts w:ascii="Arial" w:eastAsia="SimSun" w:hAnsi="Arial" w:cs="Arial"/>
          <w:kern w:val="0"/>
          <w:sz w:val="24"/>
          <w:szCs w:val="24"/>
        </w:rPr>
        <w:t>Int</w:t>
      </w:r>
      <w:proofErr w:type="spellEnd"/>
      <w:r w:rsidRPr="004E1E34">
        <w:rPr>
          <w:rFonts w:ascii="Arial" w:eastAsia="SimSun" w:hAnsi="Arial" w:cs="Arial"/>
          <w:kern w:val="0"/>
          <w:sz w:val="24"/>
          <w:szCs w:val="24"/>
        </w:rPr>
        <w:t xml:space="preserve"> J Equity Health. 2017</w:t>
      </w:r>
      <w:proofErr w:type="gramStart"/>
      <w:r w:rsidRPr="004E1E34">
        <w:rPr>
          <w:rFonts w:ascii="Arial" w:eastAsia="SimSun" w:hAnsi="Arial" w:cs="Arial"/>
          <w:kern w:val="0"/>
          <w:sz w:val="24"/>
          <w:szCs w:val="24"/>
        </w:rPr>
        <w:t>;16:174</w:t>
      </w:r>
      <w:proofErr w:type="gramEnd"/>
      <w:r w:rsidRPr="004E1E34">
        <w:rPr>
          <w:rFonts w:ascii="Arial" w:eastAsia="SimSun" w:hAnsi="Arial" w:cs="Arial"/>
          <w:kern w:val="0"/>
          <w:sz w:val="24"/>
          <w:szCs w:val="24"/>
        </w:rPr>
        <w:t>-86.</w:t>
      </w:r>
      <w:bookmarkEnd w:id="28"/>
      <w:r w:rsidRPr="00ED019C">
        <w:rPr>
          <w:rFonts w:ascii="Arial" w:hAnsi="Arial" w:cs="Arial"/>
          <w:sz w:val="24"/>
          <w:szCs w:val="24"/>
        </w:rPr>
        <w:fldChar w:fldCharType="end"/>
      </w:r>
      <w:r w:rsidRPr="004E1E34">
        <w:rPr>
          <w:rFonts w:ascii="Arial" w:hAnsi="Arial" w:cs="Arial"/>
          <w:sz w:val="24"/>
          <w:szCs w:val="24"/>
        </w:rPr>
        <w:t xml:space="preserve"> </w:t>
      </w:r>
    </w:p>
    <w:p w:rsidR="00B76BC7" w:rsidRDefault="003D36FF">
      <w:r>
        <w:softHyphen/>
      </w:r>
    </w:p>
    <w:sectPr w:rsidR="00B76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6FF"/>
    <w:rsid w:val="003D36FF"/>
    <w:rsid w:val="00B76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5ED0E-8643-4255-ACFE-3786F648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6FF"/>
    <w:pPr>
      <w:widowControl w:val="0"/>
      <w:spacing w:after="0" w:line="480" w:lineRule="auto"/>
      <w:ind w:firstLine="425"/>
      <w:jc w:val="both"/>
    </w:pPr>
    <w:rPr>
      <w:rFonts w:ascii="Times New Roman" w:eastAsia="Times New Roman" w:hAnsi="Times New Roman"/>
      <w:kern w:val="2"/>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x.doi.org/10.1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all</cp:lastModifiedBy>
  <cp:revision>1</cp:revision>
  <dcterms:created xsi:type="dcterms:W3CDTF">2018-12-19T05:10:00Z</dcterms:created>
  <dcterms:modified xsi:type="dcterms:W3CDTF">2018-12-19T05:12:00Z</dcterms:modified>
</cp:coreProperties>
</file>