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566"/>
        <w:gridCol w:w="1560"/>
        <w:gridCol w:w="1842"/>
        <w:gridCol w:w="1310"/>
      </w:tblGrid>
      <w:tr w:rsidR="0066432A" w:rsidRPr="0066432A" w:rsidTr="000E4C12">
        <w:tc>
          <w:tcPr>
            <w:tcW w:w="9674" w:type="dxa"/>
            <w:gridSpan w:val="5"/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bookmarkStart w:id="0" w:name="_GoBack"/>
            <w:bookmarkEnd w:id="0"/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Apéndice</w:t>
            </w:r>
          </w:p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Consumo de bebidas energéticas en una muestra de estudiantes de 4</w:t>
            </w:r>
            <w:r w:rsidR="00F56AC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º curso</w:t>
            </w: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de E</w:t>
            </w:r>
            <w:r w:rsidR="00F56AC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ducación </w:t>
            </w: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</w:t>
            </w:r>
            <w:r w:rsidR="00F56AC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ecundaria </w:t>
            </w: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</w:t>
            </w:r>
            <w:r w:rsidR="00F56AC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bligatoria</w:t>
            </w: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, según variables de perfil de salud y hábitos relacionados</w:t>
            </w:r>
            <w:r w:rsidR="00F56AC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Barcelona, 2016 </w:t>
            </w:r>
          </w:p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c>
          <w:tcPr>
            <w:tcW w:w="3396" w:type="dxa"/>
            <w:vMerge w:val="restart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Consumo de bebidas energéticas</w:t>
            </w:r>
          </w:p>
        </w:tc>
        <w:tc>
          <w:tcPr>
            <w:tcW w:w="1310" w:type="dxa"/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493"/>
        </w:trPr>
        <w:tc>
          <w:tcPr>
            <w:tcW w:w="3396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66" w:type="dxa"/>
            <w:vAlign w:val="center"/>
          </w:tcPr>
          <w:p w:rsidR="00F56AC9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Diario</w:t>
            </w:r>
          </w:p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N (%)</w:t>
            </w:r>
          </w:p>
        </w:tc>
        <w:tc>
          <w:tcPr>
            <w:tcW w:w="1560" w:type="dxa"/>
            <w:vAlign w:val="center"/>
          </w:tcPr>
          <w:p w:rsidR="00F56AC9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Semanal</w:t>
            </w:r>
          </w:p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N (%)</w:t>
            </w:r>
          </w:p>
        </w:tc>
        <w:tc>
          <w:tcPr>
            <w:tcW w:w="1842" w:type="dxa"/>
            <w:vAlign w:val="center"/>
          </w:tcPr>
          <w:p w:rsidR="00F56AC9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No consumo</w:t>
            </w:r>
          </w:p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N (%)</w:t>
            </w:r>
          </w:p>
        </w:tc>
        <w:tc>
          <w:tcPr>
            <w:tcW w:w="1310" w:type="dxa"/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</w:t>
            </w: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 xml:space="preserve">Ocio nocturno en días </w:t>
            </w:r>
            <w:proofErr w:type="spellStart"/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laborales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a</w:t>
            </w:r>
            <w:proofErr w:type="spellEnd"/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Sí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47 (27,6)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53 (31,2)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70 (41,2)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&lt;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0,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0001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No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801 (10,7)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1385 (18,5)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5282 (70,7)</w:t>
            </w:r>
          </w:p>
        </w:tc>
        <w:tc>
          <w:tcPr>
            <w:tcW w:w="1310" w:type="dxa"/>
            <w:vMerge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 xml:space="preserve">Hora de regreso a </w:t>
            </w:r>
            <w:proofErr w:type="spellStart"/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casa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a</w:t>
            </w:r>
            <w:proofErr w:type="spellEnd"/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Antes de las 12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144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230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18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881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&lt;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0,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0001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Entre las 12 y las 2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220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419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1512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Entre las 2 y las 4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327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1106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68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Después de las 4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263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306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23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759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57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Nunca ha salido de noche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132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243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14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1284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77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Percepción del consumo de alcohol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a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Negativa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227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359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1815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75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&lt;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0,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0001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Neutra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423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695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2321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67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Positiva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235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13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408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22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1169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64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 xml:space="preserve">Amigos consumidores de </w:t>
            </w:r>
            <w:proofErr w:type="spellStart"/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sustancias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a</w:t>
            </w:r>
            <w:proofErr w:type="spellEnd"/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Ninguno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178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286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16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1291 (73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&lt;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0,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0001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Alguno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394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749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2711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Todos o casi todos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300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402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1259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64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  <w:t>Bullying o acoso escolar</w:t>
            </w:r>
            <w:r w:rsidRPr="000E4C12">
              <w:rPr>
                <w:rFonts w:ascii="Arial" w:hAnsi="Arial" w:cs="Arial"/>
                <w:bCs/>
                <w:iCs/>
                <w:sz w:val="24"/>
                <w:szCs w:val="24"/>
                <w:vertAlign w:val="superscript"/>
                <w:lang w:val="es-ES"/>
              </w:rPr>
              <w:t>a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No afectado/a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723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1255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18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4898 (71,2)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&lt;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0,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0001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Víctima de acoso escolar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76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13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87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384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Agresor/a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122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25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151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215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44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Víctima y agresor/a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37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27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58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43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 xml:space="preserve">Víctima de acoso </w:t>
            </w:r>
            <w:proofErr w:type="spellStart"/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sexual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a</w:t>
            </w:r>
            <w:proofErr w:type="spellEnd"/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Sí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126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148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700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71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0040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No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801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1362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4809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keepNext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 xml:space="preserve">Relación con los </w:t>
            </w:r>
            <w:proofErr w:type="spellStart"/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padres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a</w:t>
            </w:r>
            <w:proofErr w:type="spellEnd"/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Muy buena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428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691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2507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0,0021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Buena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259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488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18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1830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71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Regular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166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13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235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829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67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Mala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88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102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18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362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65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 xml:space="preserve">Índice de masa </w:t>
            </w:r>
            <w:proofErr w:type="spellStart"/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corporal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b</w:t>
            </w:r>
            <w:proofErr w:type="spellEnd"/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Bajo peso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81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118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18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450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0478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Normopeso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620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1078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3969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Sobrepeso/</w:t>
            </w:r>
            <w:r w:rsidR="00F56AC9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besidad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179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13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250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870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67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 xml:space="preserve">Adherencia a la dieta </w:t>
            </w:r>
            <w:proofErr w:type="spellStart"/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mediterránea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b</w:t>
            </w:r>
            <w:proofErr w:type="spellEnd"/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Baja adherencia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250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389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1342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67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0041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Adherencia moderada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399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745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2589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Alta adherencia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197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275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16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1213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72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0)</w:t>
            </w:r>
          </w:p>
        </w:tc>
        <w:tc>
          <w:tcPr>
            <w:tcW w:w="1310" w:type="dxa"/>
            <w:vMerge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 xml:space="preserve">Estado </w:t>
            </w:r>
            <w:proofErr w:type="spellStart"/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anímico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b</w:t>
            </w:r>
            <w:proofErr w:type="spellEnd"/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Positivo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657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1165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4203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&lt;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0,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0001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Negativo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256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14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309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17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1188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67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8)</w:t>
            </w:r>
          </w:p>
        </w:tc>
        <w:tc>
          <w:tcPr>
            <w:tcW w:w="1310" w:type="dxa"/>
            <w:vMerge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 xml:space="preserve">Consumo de </w:t>
            </w:r>
            <w:proofErr w:type="spellStart"/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cánnabis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b</w:t>
            </w:r>
            <w:proofErr w:type="spellEnd"/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Sí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435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16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653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25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1483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57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&lt;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0,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0001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No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367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706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16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3294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75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 xml:space="preserve">Víctima de maltrato </w:t>
            </w:r>
            <w:proofErr w:type="spellStart"/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físico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b</w:t>
            </w:r>
            <w:proofErr w:type="spellEnd"/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Sí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174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227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706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63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&lt;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0,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0001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No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726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1256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18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4665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432A" w:rsidRPr="0066432A" w:rsidTr="000E4C12">
        <w:trPr>
          <w:trHeight w:val="227"/>
        </w:trPr>
        <w:tc>
          <w:tcPr>
            <w:tcW w:w="9674" w:type="dxa"/>
            <w:gridSpan w:val="5"/>
            <w:vAlign w:val="center"/>
          </w:tcPr>
          <w:p w:rsidR="0066432A" w:rsidRPr="000E4C12" w:rsidRDefault="0066432A" w:rsidP="0066432A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</w:pPr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 xml:space="preserve">Víctima de maltrato </w:t>
            </w:r>
            <w:proofErr w:type="spellStart"/>
            <w:r w:rsidRPr="000E4C12">
              <w:rPr>
                <w:rFonts w:ascii="Arial" w:hAnsi="Arial" w:cs="Arial"/>
                <w:bCs/>
                <w:i/>
                <w:iCs/>
                <w:sz w:val="24"/>
                <w:szCs w:val="24"/>
                <w:lang w:val="es-ES"/>
              </w:rPr>
              <w:t>psicológico</w:t>
            </w:r>
            <w:r w:rsidRPr="000E4C12">
              <w:rPr>
                <w:rFonts w:ascii="Arial" w:hAnsi="Arial" w:cs="Arial"/>
                <w:bCs/>
                <w:sz w:val="24"/>
                <w:szCs w:val="24"/>
                <w:vertAlign w:val="superscript"/>
                <w:lang w:val="es-ES"/>
              </w:rPr>
              <w:t>b</w:t>
            </w:r>
            <w:proofErr w:type="spellEnd"/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Sí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285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410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16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1731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71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4)</w:t>
            </w:r>
          </w:p>
        </w:tc>
        <w:tc>
          <w:tcPr>
            <w:tcW w:w="1310" w:type="dxa"/>
            <w:vMerge w:val="restart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0071</w:t>
            </w:r>
          </w:p>
        </w:tc>
      </w:tr>
      <w:tr w:rsidR="0066432A" w:rsidRPr="0066432A" w:rsidTr="000E4C12">
        <w:trPr>
          <w:trHeight w:val="227"/>
        </w:trPr>
        <w:tc>
          <w:tcPr>
            <w:tcW w:w="339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>No</w:t>
            </w:r>
          </w:p>
        </w:tc>
        <w:tc>
          <w:tcPr>
            <w:tcW w:w="1566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561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8)</w:t>
            </w:r>
          </w:p>
        </w:tc>
        <w:tc>
          <w:tcPr>
            <w:tcW w:w="1560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1031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9)</w:t>
            </w:r>
          </w:p>
        </w:tc>
        <w:tc>
          <w:tcPr>
            <w:tcW w:w="1842" w:type="dxa"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3601</w:t>
            </w:r>
            <w:r w:rsidRPr="0066432A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69</w:t>
            </w:r>
            <w:r w:rsidR="00F56AC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Pr="0066432A">
              <w:rPr>
                <w:rFonts w:ascii="Arial" w:hAnsi="Arial" w:cs="Arial"/>
                <w:sz w:val="24"/>
                <w:szCs w:val="24"/>
                <w:lang w:val="en-GB"/>
              </w:rPr>
              <w:t>3)</w:t>
            </w:r>
          </w:p>
        </w:tc>
        <w:tc>
          <w:tcPr>
            <w:tcW w:w="1310" w:type="dxa"/>
            <w:vMerge/>
            <w:vAlign w:val="center"/>
          </w:tcPr>
          <w:p w:rsidR="0066432A" w:rsidRPr="0066432A" w:rsidRDefault="0066432A" w:rsidP="006643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66432A" w:rsidRPr="0066432A" w:rsidRDefault="0066432A" w:rsidP="0066432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</w:pPr>
    </w:p>
    <w:p w:rsidR="00F56AC9" w:rsidRDefault="0066432A" w:rsidP="0066432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66432A"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  <w:t xml:space="preserve">a </w:t>
      </w:r>
      <w:r w:rsidRPr="0066432A">
        <w:rPr>
          <w:rFonts w:ascii="Arial" w:eastAsia="Calibri" w:hAnsi="Arial" w:cs="Arial"/>
          <w:sz w:val="24"/>
          <w:szCs w:val="24"/>
          <w:lang w:val="es-ES" w:eastAsia="en-US"/>
        </w:rPr>
        <w:t>Variables que no resultaron estadísticamente significativas una vez ajustadas en el modelo.</w:t>
      </w:r>
    </w:p>
    <w:p w:rsidR="0066432A" w:rsidRPr="0066432A" w:rsidRDefault="0066432A" w:rsidP="0066432A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proofErr w:type="gramStart"/>
      <w:r w:rsidRPr="0066432A"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  <w:t>b</w:t>
      </w:r>
      <w:proofErr w:type="gramEnd"/>
      <w:r w:rsidRPr="0066432A"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  <w:t xml:space="preserve"> </w:t>
      </w:r>
      <w:r w:rsidRPr="0066432A">
        <w:rPr>
          <w:rFonts w:ascii="Arial" w:eastAsia="Calibri" w:hAnsi="Arial" w:cs="Arial"/>
          <w:sz w:val="24"/>
          <w:szCs w:val="24"/>
          <w:lang w:val="es-ES" w:eastAsia="en-US"/>
        </w:rPr>
        <w:t xml:space="preserve">Variables que no se introdujeron en el modelo debido a su elevado número de </w:t>
      </w:r>
      <w:proofErr w:type="spellStart"/>
      <w:r w:rsidRPr="0066432A">
        <w:rPr>
          <w:rFonts w:ascii="Arial" w:eastAsia="Calibri" w:hAnsi="Arial" w:cs="Arial"/>
          <w:i/>
          <w:sz w:val="24"/>
          <w:szCs w:val="24"/>
          <w:lang w:val="es-ES" w:eastAsia="en-US"/>
        </w:rPr>
        <w:t>missings</w:t>
      </w:r>
      <w:proofErr w:type="spellEnd"/>
      <w:r w:rsidRPr="0066432A">
        <w:rPr>
          <w:rFonts w:ascii="Arial" w:eastAsia="Calibri" w:hAnsi="Arial" w:cs="Arial"/>
          <w:sz w:val="24"/>
          <w:szCs w:val="24"/>
          <w:lang w:val="es-ES" w:eastAsia="en-US"/>
        </w:rPr>
        <w:t>.</w:t>
      </w:r>
    </w:p>
    <w:p w:rsidR="00A47699" w:rsidRDefault="00A47699"/>
    <w:sectPr w:rsidR="00A47699" w:rsidSect="00F07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2A"/>
    <w:rsid w:val="000A07C7"/>
    <w:rsid w:val="000E4C12"/>
    <w:rsid w:val="0066432A"/>
    <w:rsid w:val="008620AC"/>
    <w:rsid w:val="00A47699"/>
    <w:rsid w:val="00E33377"/>
    <w:rsid w:val="00F5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D1920-6D26-47AB-A409-6496EAB1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32A"/>
    <w:pPr>
      <w:spacing w:after="0" w:line="240" w:lineRule="auto"/>
    </w:pPr>
    <w:rPr>
      <w:rFonts w:eastAsia="Calibri" w:hAnsi="Calibri"/>
      <w:lang w:val="ca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company</dc:creator>
  <cp:keywords/>
  <dc:description/>
  <cp:lastModifiedBy>Bandana Sharma</cp:lastModifiedBy>
  <cp:revision>2</cp:revision>
  <dcterms:created xsi:type="dcterms:W3CDTF">2019-11-21T07:14:00Z</dcterms:created>
  <dcterms:modified xsi:type="dcterms:W3CDTF">2019-11-21T07:14:00Z</dcterms:modified>
</cp:coreProperties>
</file>