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3AE23" w14:textId="77777777" w:rsidR="00920F90" w:rsidRDefault="00A823ED" w:rsidP="00920F90">
      <w:pPr>
        <w:pStyle w:val="Heading2"/>
        <w:spacing w:line="360" w:lineRule="auto"/>
        <w:jc w:val="both"/>
        <w:rPr>
          <w:rFonts w:ascii="Arial" w:hAnsi="Arial" w:cs="Arial"/>
          <w:i w:val="0"/>
          <w:iCs w:val="0"/>
          <w:sz w:val="24"/>
          <w:szCs w:val="24"/>
        </w:rPr>
      </w:pPr>
      <w:bookmarkStart w:id="0" w:name="_Toc419008093"/>
      <w:bookmarkStart w:id="1" w:name="_GoBack"/>
      <w:bookmarkEnd w:id="1"/>
      <w:r w:rsidRPr="00ED5D1C">
        <w:rPr>
          <w:rFonts w:ascii="Arial" w:hAnsi="Arial" w:cs="Arial"/>
          <w:i w:val="0"/>
          <w:iCs w:val="0"/>
          <w:sz w:val="24"/>
          <w:szCs w:val="24"/>
        </w:rPr>
        <w:t>A</w:t>
      </w:r>
      <w:r w:rsidR="00920F90">
        <w:rPr>
          <w:rFonts w:ascii="Arial" w:hAnsi="Arial" w:cs="Arial"/>
          <w:i w:val="0"/>
          <w:iCs w:val="0"/>
          <w:sz w:val="24"/>
          <w:szCs w:val="24"/>
        </w:rPr>
        <w:t>péndice</w:t>
      </w:r>
    </w:p>
    <w:p w14:paraId="6FBE1EDD" w14:textId="1FF1CD95" w:rsidR="00A823ED" w:rsidRPr="00ED5D1C" w:rsidRDefault="00A823ED" w:rsidP="00920F90">
      <w:pPr>
        <w:pStyle w:val="Heading2"/>
        <w:spacing w:line="360" w:lineRule="auto"/>
        <w:jc w:val="both"/>
        <w:rPr>
          <w:rFonts w:ascii="Arial" w:hAnsi="Arial" w:cs="Arial"/>
          <w:i w:val="0"/>
          <w:iCs w:val="0"/>
          <w:sz w:val="24"/>
          <w:szCs w:val="24"/>
        </w:rPr>
      </w:pPr>
      <w:r w:rsidRPr="00ED5D1C">
        <w:rPr>
          <w:rFonts w:ascii="Arial" w:hAnsi="Arial" w:cs="Arial"/>
          <w:i w:val="0"/>
          <w:iCs w:val="0"/>
          <w:sz w:val="24"/>
          <w:szCs w:val="24"/>
        </w:rPr>
        <w:t>Descripción de contenido</w:t>
      </w:r>
      <w:bookmarkEnd w:id="0"/>
    </w:p>
    <w:p w14:paraId="6BB2EA56" w14:textId="77777777" w:rsidR="00A823ED" w:rsidRPr="00920F90" w:rsidRDefault="00A823ED" w:rsidP="00920F90">
      <w:pPr>
        <w:spacing w:line="360" w:lineRule="auto"/>
        <w:jc w:val="both"/>
        <w:rPr>
          <w:rFonts w:ascii="Arial" w:hAnsi="Arial" w:cs="Arial"/>
        </w:rPr>
      </w:pPr>
    </w:p>
    <w:p w14:paraId="49D4CE5E" w14:textId="77777777" w:rsidR="00A823ED" w:rsidRPr="00920F90" w:rsidRDefault="00A823ED" w:rsidP="00920F90">
      <w:pPr>
        <w:spacing w:line="360" w:lineRule="auto"/>
        <w:ind w:left="567"/>
        <w:jc w:val="both"/>
        <w:rPr>
          <w:rFonts w:ascii="Arial" w:hAnsi="Arial" w:cs="Arial"/>
        </w:rPr>
      </w:pPr>
    </w:p>
    <w:p w14:paraId="03FDBFFF" w14:textId="0D593FF4" w:rsidR="00A823ED" w:rsidRPr="00ED5D1C" w:rsidRDefault="00A823ED" w:rsidP="00920F90">
      <w:pPr>
        <w:numPr>
          <w:ilvl w:val="0"/>
          <w:numId w:val="2"/>
        </w:numPr>
        <w:spacing w:line="360" w:lineRule="auto"/>
        <w:contextualSpacing/>
        <w:jc w:val="both"/>
        <w:rPr>
          <w:rFonts w:ascii="Arial" w:hAnsi="Arial" w:cs="Arial"/>
          <w:bCs/>
        </w:rPr>
      </w:pPr>
      <w:r w:rsidRPr="00ED5D1C">
        <w:rPr>
          <w:rFonts w:ascii="Arial" w:hAnsi="Arial" w:cs="Arial"/>
          <w:bCs/>
        </w:rPr>
        <w:t>Diario de publicación</w:t>
      </w:r>
      <w:r w:rsidR="00920F90">
        <w:rPr>
          <w:rFonts w:ascii="Arial" w:hAnsi="Arial" w:cs="Arial"/>
          <w:bCs/>
        </w:rPr>
        <w:t>.</w:t>
      </w:r>
    </w:p>
    <w:p w14:paraId="38BB56EE" w14:textId="33F7332E" w:rsidR="00A823ED" w:rsidRPr="00ED5D1C" w:rsidRDefault="00A823ED" w:rsidP="00920F90">
      <w:pPr>
        <w:numPr>
          <w:ilvl w:val="0"/>
          <w:numId w:val="2"/>
        </w:numPr>
        <w:spacing w:line="360" w:lineRule="auto"/>
        <w:contextualSpacing/>
        <w:jc w:val="both"/>
        <w:rPr>
          <w:rFonts w:ascii="Arial" w:hAnsi="Arial" w:cs="Arial"/>
          <w:bCs/>
        </w:rPr>
      </w:pPr>
      <w:r w:rsidRPr="00ED5D1C">
        <w:rPr>
          <w:rFonts w:ascii="Arial" w:hAnsi="Arial" w:cs="Arial"/>
          <w:bCs/>
        </w:rPr>
        <w:t>Título del texto</w:t>
      </w:r>
      <w:r w:rsidR="00920F90">
        <w:rPr>
          <w:rFonts w:ascii="Arial" w:hAnsi="Arial" w:cs="Arial"/>
          <w:bCs/>
        </w:rPr>
        <w:t>.</w:t>
      </w:r>
    </w:p>
    <w:p w14:paraId="0602B245" w14:textId="2D7346C0" w:rsidR="00A823ED" w:rsidRPr="00ED5D1C" w:rsidRDefault="00A823ED" w:rsidP="00920F90">
      <w:pPr>
        <w:numPr>
          <w:ilvl w:val="0"/>
          <w:numId w:val="2"/>
        </w:numPr>
        <w:spacing w:line="360" w:lineRule="auto"/>
        <w:contextualSpacing/>
        <w:jc w:val="both"/>
        <w:rPr>
          <w:rFonts w:ascii="Arial" w:hAnsi="Arial" w:cs="Arial"/>
          <w:bCs/>
        </w:rPr>
      </w:pPr>
      <w:r w:rsidRPr="00ED5D1C">
        <w:rPr>
          <w:rFonts w:ascii="Arial" w:hAnsi="Arial" w:cs="Arial"/>
          <w:bCs/>
        </w:rPr>
        <w:t>Fecha de publicación</w:t>
      </w:r>
      <w:r w:rsidR="00920F90">
        <w:rPr>
          <w:rFonts w:ascii="Arial" w:hAnsi="Arial" w:cs="Arial"/>
          <w:bCs/>
        </w:rPr>
        <w:t>.</w:t>
      </w:r>
    </w:p>
    <w:p w14:paraId="307DB152" w14:textId="6BBFC299" w:rsidR="00A823ED" w:rsidRPr="00ED5D1C" w:rsidRDefault="00A823ED" w:rsidP="00920F90">
      <w:pPr>
        <w:numPr>
          <w:ilvl w:val="0"/>
          <w:numId w:val="2"/>
        </w:numPr>
        <w:spacing w:line="360" w:lineRule="auto"/>
        <w:contextualSpacing/>
        <w:jc w:val="both"/>
        <w:rPr>
          <w:rFonts w:ascii="Arial" w:hAnsi="Arial" w:cs="Arial"/>
          <w:bCs/>
        </w:rPr>
      </w:pPr>
      <w:r w:rsidRPr="00ED5D1C">
        <w:rPr>
          <w:rFonts w:ascii="Arial" w:hAnsi="Arial" w:cs="Arial"/>
          <w:bCs/>
        </w:rPr>
        <w:t xml:space="preserve">Enfoque del texto según </w:t>
      </w:r>
      <w:r w:rsidR="00920F90">
        <w:rPr>
          <w:rFonts w:ascii="Arial" w:hAnsi="Arial" w:cs="Arial"/>
          <w:bCs/>
        </w:rPr>
        <w:t xml:space="preserve">la </w:t>
      </w:r>
      <w:r w:rsidRPr="00ED5D1C">
        <w:rPr>
          <w:rFonts w:ascii="Arial" w:hAnsi="Arial" w:cs="Arial"/>
          <w:bCs/>
        </w:rPr>
        <w:t>presentación del problema:</w:t>
      </w:r>
    </w:p>
    <w:p w14:paraId="61086FBA" w14:textId="74C01E84" w:rsidR="00A823ED" w:rsidRPr="00920F90" w:rsidRDefault="00A823ED" w:rsidP="00920F90">
      <w:pPr>
        <w:numPr>
          <w:ilvl w:val="0"/>
          <w:numId w:val="1"/>
        </w:numPr>
        <w:spacing w:line="360" w:lineRule="auto"/>
        <w:contextualSpacing/>
        <w:jc w:val="both"/>
        <w:rPr>
          <w:rFonts w:ascii="Arial" w:hAnsi="Arial" w:cs="Arial"/>
        </w:rPr>
      </w:pPr>
      <w:r w:rsidRPr="00ED5D1C">
        <w:rPr>
          <w:rFonts w:ascii="Arial" w:hAnsi="Arial" w:cs="Arial"/>
          <w:bCs/>
        </w:rPr>
        <w:t>Individual:</w:t>
      </w:r>
      <w:r w:rsidRPr="00920F90">
        <w:rPr>
          <w:rFonts w:ascii="Arial" w:hAnsi="Arial" w:cs="Arial"/>
        </w:rPr>
        <w:t xml:space="preserve"> todas aquellas publicaciones que enfoquen las causas de la obesidad responsabilizando al sujeto, poniendo el énfasis en los hábitos alimentarios y/o estilo de vida sedentario de la persona sin hacer referencia a los determinantes sociopolíticos subyacentes (</w:t>
      </w:r>
      <w:r w:rsidR="00920F90">
        <w:rPr>
          <w:rFonts w:ascii="Arial" w:hAnsi="Arial" w:cs="Arial"/>
        </w:rPr>
        <w:t xml:space="preserve">p. </w:t>
      </w:r>
      <w:r w:rsidRPr="00920F90">
        <w:rPr>
          <w:rFonts w:ascii="Arial" w:hAnsi="Arial" w:cs="Arial"/>
        </w:rPr>
        <w:t>ej.</w:t>
      </w:r>
      <w:r w:rsidR="00920F90">
        <w:rPr>
          <w:rFonts w:ascii="Arial" w:hAnsi="Arial" w:cs="Arial"/>
        </w:rPr>
        <w:t>,</w:t>
      </w:r>
      <w:r w:rsidRPr="00920F90">
        <w:rPr>
          <w:rFonts w:ascii="Arial" w:hAnsi="Arial" w:cs="Arial"/>
        </w:rPr>
        <w:t xml:space="preserve"> el bajo nivel socioeconómico favorece un mayor consumo de comida hipercalórica debido a su bajo precio) u otros (</w:t>
      </w:r>
      <w:r w:rsidR="00920F90">
        <w:rPr>
          <w:rFonts w:ascii="Arial" w:hAnsi="Arial" w:cs="Arial"/>
        </w:rPr>
        <w:t xml:space="preserve">p. </w:t>
      </w:r>
      <w:r w:rsidRPr="00920F90">
        <w:rPr>
          <w:rFonts w:ascii="Arial" w:hAnsi="Arial" w:cs="Arial"/>
        </w:rPr>
        <w:t>ej.</w:t>
      </w:r>
      <w:r w:rsidR="00920F90">
        <w:rPr>
          <w:rFonts w:ascii="Arial" w:hAnsi="Arial" w:cs="Arial"/>
        </w:rPr>
        <w:t>,</w:t>
      </w:r>
      <w:r w:rsidRPr="00920F90">
        <w:rPr>
          <w:rFonts w:ascii="Arial" w:hAnsi="Arial" w:cs="Arial"/>
        </w:rPr>
        <w:t xml:space="preserve"> publicidad engañosa y estrategias de </w:t>
      </w:r>
      <w:r w:rsidRPr="00ED5D1C">
        <w:rPr>
          <w:rFonts w:ascii="Arial" w:hAnsi="Arial" w:cs="Arial"/>
          <w:i/>
          <w:iCs/>
        </w:rPr>
        <w:t>marketing</w:t>
      </w:r>
      <w:r w:rsidRPr="00920F90">
        <w:rPr>
          <w:rFonts w:ascii="Arial" w:hAnsi="Arial" w:cs="Arial"/>
        </w:rPr>
        <w:t xml:space="preserve"> agresivas). También incluimos en este apartado aquellos artículos sobre medidas de intervención basadas en la acción individual para afrontar el problema, como pueda ser el cambio de hábitos (realizar ejercicio físico, comer </w:t>
      </w:r>
      <w:r w:rsidR="00920F90">
        <w:rPr>
          <w:rFonts w:ascii="Arial" w:hAnsi="Arial" w:cs="Arial"/>
        </w:rPr>
        <w:t>«</w:t>
      </w:r>
      <w:r w:rsidRPr="00920F90">
        <w:rPr>
          <w:rFonts w:ascii="Arial" w:hAnsi="Arial" w:cs="Arial"/>
        </w:rPr>
        <w:t>sano</w:t>
      </w:r>
      <w:r w:rsidR="00920F90">
        <w:rPr>
          <w:rFonts w:ascii="Arial" w:hAnsi="Arial" w:cs="Arial"/>
        </w:rPr>
        <w:t>»</w:t>
      </w:r>
      <w:r w:rsidRPr="00920F90">
        <w:rPr>
          <w:rFonts w:ascii="Arial" w:hAnsi="Arial" w:cs="Arial"/>
        </w:rPr>
        <w:t xml:space="preserve">) o la educación en salud (promoción de estilos de vida saludables: educación en nutrición y actividad física). </w:t>
      </w:r>
    </w:p>
    <w:p w14:paraId="426DE199" w14:textId="36474AAD" w:rsidR="00A823ED" w:rsidRPr="00920F90" w:rsidRDefault="00A823ED" w:rsidP="00920F90">
      <w:pPr>
        <w:numPr>
          <w:ilvl w:val="0"/>
          <w:numId w:val="1"/>
        </w:numPr>
        <w:spacing w:line="360" w:lineRule="auto"/>
        <w:contextualSpacing/>
        <w:jc w:val="both"/>
        <w:rPr>
          <w:rFonts w:ascii="Arial" w:hAnsi="Arial" w:cs="Arial"/>
        </w:rPr>
      </w:pPr>
      <w:r w:rsidRPr="00ED5D1C">
        <w:rPr>
          <w:rFonts w:ascii="Arial" w:hAnsi="Arial" w:cs="Arial"/>
          <w:bCs/>
        </w:rPr>
        <w:t>Colectivo:</w:t>
      </w:r>
      <w:r w:rsidRPr="00920F90">
        <w:rPr>
          <w:rFonts w:ascii="Arial" w:hAnsi="Arial" w:cs="Arial"/>
        </w:rPr>
        <w:t xml:space="preserve"> causas de la obesidad desde el punto de vista comunitario, teniendo en cuenta los factores socioeconómicos, políticos y el papel de la propia industria alimentaria como determinantes de la obesidad. Del mismo modo, incluimos aquellas publicaciones sobre medidas de intervención político-sanitarias destinadas a la toma de decisiones con objetivo regulador de los determinantes de obesidad (</w:t>
      </w:r>
      <w:r w:rsidR="00920F90">
        <w:rPr>
          <w:rFonts w:ascii="Arial" w:hAnsi="Arial" w:cs="Arial"/>
        </w:rPr>
        <w:t xml:space="preserve">p. </w:t>
      </w:r>
      <w:r w:rsidRPr="00920F90">
        <w:rPr>
          <w:rFonts w:ascii="Arial" w:hAnsi="Arial" w:cs="Arial"/>
        </w:rPr>
        <w:t>ej.</w:t>
      </w:r>
      <w:r w:rsidR="00920F90">
        <w:rPr>
          <w:rFonts w:ascii="Arial" w:hAnsi="Arial" w:cs="Arial"/>
        </w:rPr>
        <w:t>,</w:t>
      </w:r>
      <w:r w:rsidRPr="00920F90">
        <w:rPr>
          <w:rFonts w:ascii="Arial" w:hAnsi="Arial" w:cs="Arial"/>
        </w:rPr>
        <w:t xml:space="preserve"> impuestos a las bebidas azucaradas, regulación de la publicidad, etc.).</w:t>
      </w:r>
    </w:p>
    <w:p w14:paraId="6A9EF0B6" w14:textId="77777777" w:rsidR="00A823ED" w:rsidRPr="00ED5D1C" w:rsidRDefault="00A823ED" w:rsidP="00920F90">
      <w:pPr>
        <w:numPr>
          <w:ilvl w:val="0"/>
          <w:numId w:val="1"/>
        </w:numPr>
        <w:spacing w:line="360" w:lineRule="auto"/>
        <w:contextualSpacing/>
        <w:jc w:val="both"/>
        <w:rPr>
          <w:rFonts w:ascii="Arial" w:hAnsi="Arial" w:cs="Arial"/>
          <w:bCs/>
        </w:rPr>
      </w:pPr>
      <w:r w:rsidRPr="00ED5D1C">
        <w:rPr>
          <w:rFonts w:ascii="Arial" w:hAnsi="Arial" w:cs="Arial"/>
          <w:bCs/>
        </w:rPr>
        <w:t>Ambos enfoques:</w:t>
      </w:r>
    </w:p>
    <w:p w14:paraId="6E85532D" w14:textId="77777777" w:rsidR="00A823ED" w:rsidRPr="00920F90" w:rsidRDefault="00A823ED" w:rsidP="00920F90">
      <w:pPr>
        <w:numPr>
          <w:ilvl w:val="0"/>
          <w:numId w:val="3"/>
        </w:numPr>
        <w:spacing w:line="360" w:lineRule="auto"/>
        <w:contextualSpacing/>
        <w:jc w:val="both"/>
        <w:rPr>
          <w:rFonts w:ascii="Arial" w:hAnsi="Arial" w:cs="Arial"/>
        </w:rPr>
      </w:pPr>
      <w:r w:rsidRPr="00ED5D1C">
        <w:rPr>
          <w:rFonts w:ascii="Arial" w:hAnsi="Arial" w:cs="Arial"/>
          <w:bCs/>
        </w:rPr>
        <w:lastRenderedPageBreak/>
        <w:t>Acentuación en lo individual:</w:t>
      </w:r>
      <w:r w:rsidRPr="00920F90">
        <w:rPr>
          <w:rFonts w:ascii="Arial" w:hAnsi="Arial" w:cs="Arial"/>
        </w:rPr>
        <w:t xml:space="preserve"> cumple las características anteriormente citadas del enfoque individual y cumple alguno de los siguientes criterios:</w:t>
      </w:r>
    </w:p>
    <w:p w14:paraId="0BD4D61E" w14:textId="6808A1DE" w:rsidR="00A823ED" w:rsidRPr="00920F90" w:rsidRDefault="00A823ED" w:rsidP="00920F90">
      <w:pPr>
        <w:numPr>
          <w:ilvl w:val="1"/>
          <w:numId w:val="3"/>
        </w:numPr>
        <w:spacing w:line="360" w:lineRule="auto"/>
        <w:contextualSpacing/>
        <w:jc w:val="both"/>
        <w:rPr>
          <w:rFonts w:ascii="Arial" w:hAnsi="Arial" w:cs="Arial"/>
        </w:rPr>
      </w:pPr>
      <w:r w:rsidRPr="00920F90">
        <w:rPr>
          <w:rFonts w:ascii="Arial" w:hAnsi="Arial" w:cs="Arial"/>
        </w:rPr>
        <w:t>S</w:t>
      </w:r>
      <w:r w:rsidR="00920F90">
        <w:rPr>
          <w:rFonts w:ascii="Arial" w:hAnsi="Arial" w:cs="Arial"/>
        </w:rPr>
        <w:t>o</w:t>
      </w:r>
      <w:r w:rsidRPr="00920F90">
        <w:rPr>
          <w:rFonts w:ascii="Arial" w:hAnsi="Arial" w:cs="Arial"/>
        </w:rPr>
        <w:t>lo mención de políticas de acción de carácter colectivo sin mencionar explícitamente el sujeto y/o la identidad responsable de llevarlas a cabo.</w:t>
      </w:r>
    </w:p>
    <w:p w14:paraId="7F26FE9B" w14:textId="77777777" w:rsidR="00A823ED" w:rsidRPr="00920F90" w:rsidRDefault="00A823ED" w:rsidP="00920F90">
      <w:pPr>
        <w:numPr>
          <w:ilvl w:val="1"/>
          <w:numId w:val="3"/>
        </w:numPr>
        <w:spacing w:line="360" w:lineRule="auto"/>
        <w:contextualSpacing/>
        <w:jc w:val="both"/>
        <w:rPr>
          <w:rFonts w:ascii="Arial" w:hAnsi="Arial" w:cs="Arial"/>
        </w:rPr>
      </w:pPr>
      <w:r w:rsidRPr="00920F90">
        <w:rPr>
          <w:rFonts w:ascii="Arial" w:hAnsi="Arial" w:cs="Arial"/>
        </w:rPr>
        <w:t>Propuestas explícitas de políticas de carácter colectivo (mención del sujeto ejecutor).</w:t>
      </w:r>
    </w:p>
    <w:p w14:paraId="16028BFA" w14:textId="77777777" w:rsidR="00A823ED" w:rsidRPr="00920F90" w:rsidRDefault="00A823ED" w:rsidP="00920F90">
      <w:pPr>
        <w:numPr>
          <w:ilvl w:val="1"/>
          <w:numId w:val="3"/>
        </w:numPr>
        <w:spacing w:line="360" w:lineRule="auto"/>
        <w:contextualSpacing/>
        <w:jc w:val="both"/>
        <w:rPr>
          <w:rFonts w:ascii="Arial" w:hAnsi="Arial" w:cs="Arial"/>
        </w:rPr>
      </w:pPr>
      <w:r w:rsidRPr="00920F90">
        <w:rPr>
          <w:rFonts w:ascii="Arial" w:hAnsi="Arial" w:cs="Arial"/>
        </w:rPr>
        <w:t xml:space="preserve">Mención del sujeto ejecutor sin concretar medidas de actuación. </w:t>
      </w:r>
    </w:p>
    <w:p w14:paraId="7AC0BF79" w14:textId="77777777" w:rsidR="00A823ED" w:rsidRPr="00920F90" w:rsidRDefault="00A823ED" w:rsidP="00920F90">
      <w:pPr>
        <w:numPr>
          <w:ilvl w:val="1"/>
          <w:numId w:val="3"/>
        </w:numPr>
        <w:spacing w:line="360" w:lineRule="auto"/>
        <w:contextualSpacing/>
        <w:jc w:val="both"/>
        <w:rPr>
          <w:rFonts w:ascii="Arial" w:hAnsi="Arial" w:cs="Arial"/>
        </w:rPr>
      </w:pPr>
      <w:r w:rsidRPr="00920F90">
        <w:rPr>
          <w:rFonts w:ascii="Arial" w:hAnsi="Arial" w:cs="Arial"/>
        </w:rPr>
        <w:t xml:space="preserve">Mención del estilo de vida (dieta y/o actividad física) como causa de obesidad sin tener en cuenta los determinantes sociales, económicos y políticos subyacentes. </w:t>
      </w:r>
    </w:p>
    <w:p w14:paraId="4F7E7400" w14:textId="2E36A561" w:rsidR="00A823ED" w:rsidRPr="00920F90" w:rsidRDefault="00A823ED" w:rsidP="00920F90">
      <w:pPr>
        <w:numPr>
          <w:ilvl w:val="0"/>
          <w:numId w:val="3"/>
        </w:numPr>
        <w:spacing w:line="360" w:lineRule="auto"/>
        <w:contextualSpacing/>
        <w:jc w:val="both"/>
        <w:rPr>
          <w:rFonts w:ascii="Arial" w:hAnsi="Arial" w:cs="Arial"/>
          <w:b/>
        </w:rPr>
      </w:pPr>
      <w:r w:rsidRPr="00ED5D1C">
        <w:rPr>
          <w:rFonts w:ascii="Arial" w:hAnsi="Arial" w:cs="Arial"/>
          <w:bCs/>
        </w:rPr>
        <w:t>Acentuación en lo colectivo:</w:t>
      </w:r>
      <w:r w:rsidR="00920F90">
        <w:rPr>
          <w:rFonts w:ascii="Arial" w:hAnsi="Arial" w:cs="Arial"/>
          <w:b/>
        </w:rPr>
        <w:t xml:space="preserve"> </w:t>
      </w:r>
      <w:r w:rsidRPr="00920F90">
        <w:rPr>
          <w:rFonts w:ascii="Arial" w:hAnsi="Arial" w:cs="Arial"/>
        </w:rPr>
        <w:t xml:space="preserve">cumple las características anteriormente citadas del enfoque colectivo, mencionando algunos de los determinantes individuales de obesidad o medidas de prevención centradas en el individuo. </w:t>
      </w:r>
    </w:p>
    <w:p w14:paraId="41350555" w14:textId="77777777" w:rsidR="00A823ED" w:rsidRPr="00920F90" w:rsidRDefault="00A823ED" w:rsidP="00920F90">
      <w:pPr>
        <w:numPr>
          <w:ilvl w:val="0"/>
          <w:numId w:val="3"/>
        </w:numPr>
        <w:spacing w:line="360" w:lineRule="auto"/>
        <w:contextualSpacing/>
        <w:jc w:val="both"/>
        <w:rPr>
          <w:rFonts w:ascii="Arial" w:hAnsi="Arial" w:cs="Arial"/>
        </w:rPr>
      </w:pPr>
      <w:r w:rsidRPr="00920F90">
        <w:rPr>
          <w:rFonts w:ascii="Arial" w:hAnsi="Arial" w:cs="Arial"/>
        </w:rPr>
        <w:t>I</w:t>
      </w:r>
      <w:r w:rsidRPr="00ED5D1C">
        <w:rPr>
          <w:rFonts w:ascii="Arial" w:hAnsi="Arial" w:cs="Arial"/>
        </w:rPr>
        <w:t>ndeterminado.</w:t>
      </w:r>
    </w:p>
    <w:p w14:paraId="2A1A65D9" w14:textId="77777777" w:rsidR="00A823ED" w:rsidRPr="00920F90" w:rsidRDefault="00A823ED" w:rsidP="00920F90">
      <w:pPr>
        <w:spacing w:line="360" w:lineRule="auto"/>
        <w:ind w:left="2160"/>
        <w:contextualSpacing/>
        <w:jc w:val="both"/>
        <w:rPr>
          <w:rFonts w:ascii="Arial" w:hAnsi="Arial" w:cs="Arial"/>
        </w:rPr>
      </w:pPr>
    </w:p>
    <w:p w14:paraId="51C1F2BF" w14:textId="77777777" w:rsidR="00A823ED" w:rsidRPr="00ED5D1C" w:rsidRDefault="00A823ED" w:rsidP="00920F90">
      <w:pPr>
        <w:numPr>
          <w:ilvl w:val="0"/>
          <w:numId w:val="2"/>
        </w:numPr>
        <w:spacing w:line="360" w:lineRule="auto"/>
        <w:contextualSpacing/>
        <w:jc w:val="both"/>
        <w:rPr>
          <w:rFonts w:ascii="Arial" w:hAnsi="Arial" w:cs="Arial"/>
          <w:bCs/>
        </w:rPr>
      </w:pPr>
      <w:r w:rsidRPr="00ED5D1C">
        <w:rPr>
          <w:rFonts w:ascii="Arial" w:hAnsi="Arial" w:cs="Arial"/>
          <w:bCs/>
        </w:rPr>
        <w:t xml:space="preserve">Medidas propuestas para combatir la obesidad: </w:t>
      </w:r>
    </w:p>
    <w:p w14:paraId="188A7D14" w14:textId="77777777" w:rsidR="00A823ED" w:rsidRPr="00ED5D1C" w:rsidRDefault="00A823ED" w:rsidP="00920F90">
      <w:pPr>
        <w:numPr>
          <w:ilvl w:val="0"/>
          <w:numId w:val="5"/>
        </w:numPr>
        <w:spacing w:line="360" w:lineRule="auto"/>
        <w:contextualSpacing/>
        <w:jc w:val="both"/>
        <w:rPr>
          <w:rFonts w:ascii="Arial" w:hAnsi="Arial" w:cs="Arial"/>
          <w:bCs/>
        </w:rPr>
      </w:pPr>
      <w:r w:rsidRPr="00ED5D1C">
        <w:rPr>
          <w:rFonts w:ascii="Arial" w:hAnsi="Arial" w:cs="Arial"/>
          <w:bCs/>
        </w:rPr>
        <w:t xml:space="preserve">Políticas públicas de salud o de otro ámbito dirigidas a la prevención de la obesidad o intervenciones de las Administraciones Públicas en el mismo sentido (entendidas como iniciativas gubernamentales o estrategias políticas contra la obesidad llevadas a cabo por el gobierno o una institución pública a nivel local, regional, nacional o internacional), que pueden ser: </w:t>
      </w:r>
    </w:p>
    <w:p w14:paraId="13ED2D21" w14:textId="3F118496" w:rsidR="00A823ED" w:rsidRPr="00ED5D1C" w:rsidRDefault="00A823ED" w:rsidP="00920F90">
      <w:pPr>
        <w:numPr>
          <w:ilvl w:val="0"/>
          <w:numId w:val="4"/>
        </w:numPr>
        <w:spacing w:line="360" w:lineRule="auto"/>
        <w:contextualSpacing/>
        <w:jc w:val="both"/>
        <w:rPr>
          <w:rFonts w:ascii="Arial" w:hAnsi="Arial" w:cs="Arial"/>
          <w:bCs/>
        </w:rPr>
      </w:pPr>
      <w:r w:rsidRPr="00ED5D1C">
        <w:rPr>
          <w:rFonts w:ascii="Arial" w:hAnsi="Arial" w:cs="Arial"/>
          <w:bCs/>
        </w:rPr>
        <w:t>1. Medidas reguladoras legislativas que favorezcan un entorno saludable en el que las elecciones saludables sean las más fáciles: tasas a productos no saludables</w:t>
      </w:r>
      <w:r w:rsidR="00920F90">
        <w:rPr>
          <w:rFonts w:ascii="Arial" w:hAnsi="Arial" w:cs="Arial"/>
          <w:bCs/>
        </w:rPr>
        <w:t>,</w:t>
      </w:r>
      <w:r w:rsidRPr="00ED5D1C">
        <w:rPr>
          <w:rFonts w:ascii="Arial" w:hAnsi="Arial" w:cs="Arial"/>
          <w:bCs/>
        </w:rPr>
        <w:t xml:space="preserve"> prohibición de la publicidad </w:t>
      </w:r>
      <w:r w:rsidR="00920F90">
        <w:rPr>
          <w:rFonts w:ascii="Arial" w:hAnsi="Arial" w:cs="Arial"/>
          <w:bCs/>
        </w:rPr>
        <w:t>par</w:t>
      </w:r>
      <w:r w:rsidRPr="00ED5D1C">
        <w:rPr>
          <w:rFonts w:ascii="Arial" w:hAnsi="Arial" w:cs="Arial"/>
          <w:bCs/>
        </w:rPr>
        <w:t>a menores</w:t>
      </w:r>
      <w:r w:rsidR="00920F90">
        <w:rPr>
          <w:rFonts w:ascii="Arial" w:hAnsi="Arial" w:cs="Arial"/>
          <w:bCs/>
        </w:rPr>
        <w:t>,</w:t>
      </w:r>
      <w:r w:rsidRPr="00ED5D1C">
        <w:rPr>
          <w:rFonts w:ascii="Arial" w:hAnsi="Arial" w:cs="Arial"/>
          <w:bCs/>
        </w:rPr>
        <w:t xml:space="preserve"> etc.</w:t>
      </w:r>
    </w:p>
    <w:p w14:paraId="0CE8FBB2" w14:textId="77777777" w:rsidR="00A823ED" w:rsidRPr="00ED5D1C" w:rsidRDefault="00A823ED" w:rsidP="00920F90">
      <w:pPr>
        <w:spacing w:line="360" w:lineRule="auto"/>
        <w:ind w:left="2880"/>
        <w:jc w:val="both"/>
        <w:rPr>
          <w:rFonts w:ascii="Arial" w:hAnsi="Arial" w:cs="Arial"/>
          <w:bCs/>
        </w:rPr>
      </w:pPr>
      <w:r w:rsidRPr="00ED5D1C">
        <w:rPr>
          <w:rFonts w:ascii="Arial" w:hAnsi="Arial" w:cs="Arial"/>
          <w:bCs/>
        </w:rPr>
        <w:lastRenderedPageBreak/>
        <w:t>2. Modificaciones del entorno mediante políticas sanitarias y no sanitarias: disponibilidad de espacios para la actividad física, planes de movilidad, etc.</w:t>
      </w:r>
    </w:p>
    <w:p w14:paraId="610C91B0" w14:textId="2487A2EC" w:rsidR="00A823ED" w:rsidRPr="00ED5D1C" w:rsidRDefault="00A823ED" w:rsidP="00920F90">
      <w:pPr>
        <w:numPr>
          <w:ilvl w:val="0"/>
          <w:numId w:val="4"/>
        </w:numPr>
        <w:spacing w:line="360" w:lineRule="auto"/>
        <w:contextualSpacing/>
        <w:jc w:val="both"/>
        <w:rPr>
          <w:rFonts w:ascii="Arial" w:hAnsi="Arial" w:cs="Arial"/>
          <w:bCs/>
        </w:rPr>
      </w:pPr>
      <w:r w:rsidRPr="00ED5D1C">
        <w:rPr>
          <w:rFonts w:ascii="Arial" w:hAnsi="Arial" w:cs="Arial"/>
          <w:bCs/>
        </w:rPr>
        <w:t>Campañas o iniciativas para mejorar los hábitos alimentarios y actividad física dirigidas a los individuos: iniciativas para informar al público a fin de que adopte conductas saludables.</w:t>
      </w:r>
    </w:p>
    <w:p w14:paraId="3A3DE55B" w14:textId="77777777" w:rsidR="00A823ED" w:rsidRPr="00ED5D1C" w:rsidRDefault="00A823ED" w:rsidP="00920F90">
      <w:pPr>
        <w:numPr>
          <w:ilvl w:val="0"/>
          <w:numId w:val="5"/>
        </w:numPr>
        <w:spacing w:line="360" w:lineRule="auto"/>
        <w:jc w:val="both"/>
        <w:rPr>
          <w:rFonts w:ascii="Arial" w:hAnsi="Arial" w:cs="Arial"/>
          <w:bCs/>
        </w:rPr>
      </w:pPr>
      <w:r w:rsidRPr="00ED5D1C">
        <w:rPr>
          <w:rFonts w:ascii="Arial" w:hAnsi="Arial" w:cs="Arial"/>
          <w:bCs/>
        </w:rPr>
        <w:t>Acciones dirigidas a los individuos para estimular que acudan a los servicios sanitarios: consejos preventivos, pautas dietéticas, tratamiento (cirugía bariátrica).</w:t>
      </w:r>
    </w:p>
    <w:p w14:paraId="260ECE33" w14:textId="77777777" w:rsidR="00A823ED" w:rsidRPr="00ED5D1C" w:rsidRDefault="00A823ED" w:rsidP="00920F90">
      <w:pPr>
        <w:numPr>
          <w:ilvl w:val="0"/>
          <w:numId w:val="5"/>
        </w:numPr>
        <w:spacing w:line="360" w:lineRule="auto"/>
        <w:jc w:val="both"/>
        <w:rPr>
          <w:rFonts w:ascii="Arial" w:hAnsi="Arial" w:cs="Arial"/>
          <w:bCs/>
        </w:rPr>
      </w:pPr>
      <w:r w:rsidRPr="00ED5D1C">
        <w:rPr>
          <w:rFonts w:ascii="Arial" w:hAnsi="Arial" w:cs="Arial"/>
          <w:bCs/>
        </w:rPr>
        <w:t xml:space="preserve">Campañas o iniciativas llevadas a cabo por entidades privadas: </w:t>
      </w:r>
    </w:p>
    <w:p w14:paraId="210941C9" w14:textId="77777777" w:rsidR="00A823ED" w:rsidRPr="00ED5D1C" w:rsidRDefault="00A823ED" w:rsidP="00920F90">
      <w:pPr>
        <w:numPr>
          <w:ilvl w:val="0"/>
          <w:numId w:val="6"/>
        </w:numPr>
        <w:spacing w:line="360" w:lineRule="auto"/>
        <w:jc w:val="both"/>
        <w:rPr>
          <w:rFonts w:ascii="Arial" w:hAnsi="Arial" w:cs="Arial"/>
          <w:bCs/>
        </w:rPr>
      </w:pPr>
      <w:r w:rsidRPr="00ED5D1C">
        <w:rPr>
          <w:rFonts w:ascii="Arial" w:hAnsi="Arial" w:cs="Arial"/>
          <w:bCs/>
        </w:rPr>
        <w:t xml:space="preserve">Centradas en el individuo con el objetivo de modificar los estilos de vida individuales, promocionando y educando en salud. </w:t>
      </w:r>
    </w:p>
    <w:p w14:paraId="7B2D8BE4" w14:textId="3A627E6F" w:rsidR="00A823ED" w:rsidRPr="00ED5D1C" w:rsidRDefault="00A823ED" w:rsidP="00920F90">
      <w:pPr>
        <w:numPr>
          <w:ilvl w:val="0"/>
          <w:numId w:val="6"/>
        </w:numPr>
        <w:spacing w:line="360" w:lineRule="auto"/>
        <w:jc w:val="both"/>
        <w:rPr>
          <w:rFonts w:ascii="Arial" w:hAnsi="Arial" w:cs="Arial"/>
          <w:bCs/>
        </w:rPr>
      </w:pPr>
      <w:r w:rsidRPr="00ED5D1C">
        <w:rPr>
          <w:rFonts w:ascii="Arial" w:hAnsi="Arial" w:cs="Arial"/>
          <w:bCs/>
        </w:rPr>
        <w:t xml:space="preserve">Centradas en el entorno: disminución de los estímulos </w:t>
      </w:r>
      <w:proofErr w:type="spellStart"/>
      <w:r w:rsidRPr="00ED5D1C">
        <w:rPr>
          <w:rFonts w:ascii="Arial" w:hAnsi="Arial" w:cs="Arial"/>
          <w:bCs/>
        </w:rPr>
        <w:t>obesogénicos</w:t>
      </w:r>
      <w:proofErr w:type="spellEnd"/>
      <w:r w:rsidRPr="00ED5D1C">
        <w:rPr>
          <w:rFonts w:ascii="Arial" w:hAnsi="Arial" w:cs="Arial"/>
          <w:bCs/>
        </w:rPr>
        <w:t xml:space="preserve"> (limitar </w:t>
      </w:r>
      <w:r w:rsidR="00920F90">
        <w:rPr>
          <w:rFonts w:ascii="Arial" w:hAnsi="Arial" w:cs="Arial"/>
          <w:bCs/>
        </w:rPr>
        <w:t xml:space="preserve">el </w:t>
      </w:r>
      <w:r w:rsidRPr="00ED5D1C">
        <w:rPr>
          <w:rFonts w:ascii="Arial" w:hAnsi="Arial" w:cs="Arial"/>
          <w:bCs/>
        </w:rPr>
        <w:t xml:space="preserve">acceso a </w:t>
      </w:r>
      <w:r w:rsidR="00920F90">
        <w:rPr>
          <w:rFonts w:ascii="Arial" w:hAnsi="Arial" w:cs="Arial"/>
          <w:bCs/>
        </w:rPr>
        <w:t xml:space="preserve">la </w:t>
      </w:r>
      <w:r w:rsidRPr="00ED5D1C">
        <w:rPr>
          <w:rFonts w:ascii="Arial" w:hAnsi="Arial" w:cs="Arial"/>
          <w:bCs/>
        </w:rPr>
        <w:t>comida hipercalórica, política de movilidad de las empresas…).</w:t>
      </w:r>
    </w:p>
    <w:p w14:paraId="04D19F3B" w14:textId="77777777" w:rsidR="00A823ED" w:rsidRPr="00ED5D1C" w:rsidRDefault="00A823ED" w:rsidP="00920F90">
      <w:pPr>
        <w:numPr>
          <w:ilvl w:val="0"/>
          <w:numId w:val="6"/>
        </w:numPr>
        <w:spacing w:line="360" w:lineRule="auto"/>
        <w:jc w:val="both"/>
        <w:rPr>
          <w:rFonts w:ascii="Arial" w:hAnsi="Arial" w:cs="Arial"/>
          <w:bCs/>
        </w:rPr>
      </w:pPr>
      <w:r w:rsidRPr="00ED5D1C">
        <w:rPr>
          <w:rFonts w:ascii="Arial" w:hAnsi="Arial" w:cs="Arial"/>
          <w:bCs/>
        </w:rPr>
        <w:t xml:space="preserve">Medidas </w:t>
      </w:r>
      <w:proofErr w:type="spellStart"/>
      <w:r w:rsidRPr="00ED5D1C">
        <w:rPr>
          <w:rFonts w:ascii="Arial" w:hAnsi="Arial" w:cs="Arial"/>
          <w:bCs/>
        </w:rPr>
        <w:t>autorreguladoras</w:t>
      </w:r>
      <w:proofErr w:type="spellEnd"/>
      <w:r w:rsidRPr="00ED5D1C">
        <w:rPr>
          <w:rFonts w:ascii="Arial" w:hAnsi="Arial" w:cs="Arial"/>
          <w:bCs/>
        </w:rPr>
        <w:t xml:space="preserve"> de la industria o actuaciones de prevención de la obesidad llevadas a cabo por las industrias o en alianza con otras organizaciones.</w:t>
      </w:r>
    </w:p>
    <w:p w14:paraId="78D63DCC" w14:textId="77777777" w:rsidR="00A823ED" w:rsidRPr="00ED5D1C" w:rsidRDefault="00A823ED" w:rsidP="00920F90">
      <w:pPr>
        <w:numPr>
          <w:ilvl w:val="0"/>
          <w:numId w:val="5"/>
        </w:numPr>
        <w:spacing w:line="360" w:lineRule="auto"/>
        <w:contextualSpacing/>
        <w:jc w:val="both"/>
        <w:rPr>
          <w:rFonts w:ascii="Arial" w:hAnsi="Arial" w:cs="Arial"/>
          <w:bCs/>
        </w:rPr>
      </w:pPr>
      <w:r w:rsidRPr="00ED5D1C">
        <w:rPr>
          <w:rFonts w:ascii="Arial" w:hAnsi="Arial" w:cs="Arial"/>
          <w:bCs/>
        </w:rPr>
        <w:t xml:space="preserve">Medidas médico-quirúrgicas: cirugía bariátrica o tratamiento farmacológico. </w:t>
      </w:r>
    </w:p>
    <w:p w14:paraId="4E0DB11F" w14:textId="77777777" w:rsidR="00A823ED" w:rsidRPr="00ED5D1C" w:rsidRDefault="00A823ED" w:rsidP="00920F90">
      <w:pPr>
        <w:numPr>
          <w:ilvl w:val="0"/>
          <w:numId w:val="5"/>
        </w:numPr>
        <w:spacing w:line="360" w:lineRule="auto"/>
        <w:contextualSpacing/>
        <w:jc w:val="both"/>
        <w:rPr>
          <w:rFonts w:ascii="Arial" w:hAnsi="Arial" w:cs="Arial"/>
          <w:bCs/>
        </w:rPr>
      </w:pPr>
      <w:r w:rsidRPr="00ED5D1C">
        <w:rPr>
          <w:rFonts w:ascii="Arial" w:hAnsi="Arial" w:cs="Arial"/>
          <w:bCs/>
        </w:rPr>
        <w:t>Recomendaciones o consejos individuales para prevenir o controlar la obesidad.</w:t>
      </w:r>
    </w:p>
    <w:p w14:paraId="7D314D6C" w14:textId="77777777" w:rsidR="00A823ED" w:rsidRPr="00ED5D1C" w:rsidRDefault="00A823ED" w:rsidP="00920F90">
      <w:pPr>
        <w:numPr>
          <w:ilvl w:val="0"/>
          <w:numId w:val="2"/>
        </w:numPr>
        <w:spacing w:line="360" w:lineRule="auto"/>
        <w:contextualSpacing/>
        <w:jc w:val="both"/>
        <w:rPr>
          <w:rFonts w:ascii="Arial" w:hAnsi="Arial" w:cs="Arial"/>
          <w:bCs/>
        </w:rPr>
      </w:pPr>
      <w:r w:rsidRPr="00ED5D1C">
        <w:rPr>
          <w:rFonts w:ascii="Arial" w:hAnsi="Arial" w:cs="Arial"/>
          <w:bCs/>
        </w:rPr>
        <w:t xml:space="preserve">Causas: </w:t>
      </w:r>
    </w:p>
    <w:p w14:paraId="677432A0" w14:textId="77777777" w:rsidR="00A823ED" w:rsidRPr="00920F90" w:rsidRDefault="00A823ED" w:rsidP="00920F90">
      <w:pPr>
        <w:numPr>
          <w:ilvl w:val="1"/>
          <w:numId w:val="2"/>
        </w:numPr>
        <w:spacing w:line="360" w:lineRule="auto"/>
        <w:contextualSpacing/>
        <w:jc w:val="both"/>
        <w:rPr>
          <w:rFonts w:ascii="Arial" w:hAnsi="Arial" w:cs="Arial"/>
          <w:b/>
        </w:rPr>
      </w:pPr>
      <w:r w:rsidRPr="00920F90">
        <w:rPr>
          <w:rFonts w:ascii="Arial" w:hAnsi="Arial" w:cs="Arial"/>
        </w:rPr>
        <w:t>Hábitos de vida: mala alimentación, entendida como un exceso de consumo de productos hipercalóricos ricos en grasas y azúcares, y sedentarismo.</w:t>
      </w:r>
    </w:p>
    <w:p w14:paraId="6FC710D8" w14:textId="77777777" w:rsidR="00A823ED" w:rsidRPr="00920F90" w:rsidRDefault="00A823ED" w:rsidP="00920F90">
      <w:pPr>
        <w:numPr>
          <w:ilvl w:val="1"/>
          <w:numId w:val="2"/>
        </w:numPr>
        <w:spacing w:line="360" w:lineRule="auto"/>
        <w:contextualSpacing/>
        <w:jc w:val="both"/>
        <w:rPr>
          <w:rFonts w:ascii="Arial" w:hAnsi="Arial" w:cs="Arial"/>
          <w:b/>
        </w:rPr>
      </w:pPr>
      <w:r w:rsidRPr="00920F90">
        <w:rPr>
          <w:rFonts w:ascii="Arial" w:hAnsi="Arial" w:cs="Arial"/>
        </w:rPr>
        <w:t>Falta de tiempo (estrés, poco tiempo para comer o cocinar).</w:t>
      </w:r>
    </w:p>
    <w:p w14:paraId="42DE1DD0" w14:textId="77777777" w:rsidR="00A823ED" w:rsidRPr="00920F90" w:rsidRDefault="00A823ED" w:rsidP="00920F90">
      <w:pPr>
        <w:numPr>
          <w:ilvl w:val="1"/>
          <w:numId w:val="2"/>
        </w:numPr>
        <w:spacing w:line="360" w:lineRule="auto"/>
        <w:contextualSpacing/>
        <w:jc w:val="both"/>
        <w:rPr>
          <w:rFonts w:ascii="Arial" w:hAnsi="Arial" w:cs="Arial"/>
          <w:b/>
        </w:rPr>
      </w:pPr>
      <w:r w:rsidRPr="00920F90">
        <w:rPr>
          <w:rFonts w:ascii="Arial" w:hAnsi="Arial" w:cs="Arial"/>
        </w:rPr>
        <w:t xml:space="preserve">Estrategias de </w:t>
      </w:r>
      <w:r w:rsidRPr="00ED5D1C">
        <w:rPr>
          <w:rFonts w:ascii="Arial" w:hAnsi="Arial" w:cs="Arial"/>
          <w:i/>
          <w:iCs/>
        </w:rPr>
        <w:t>marketing</w:t>
      </w:r>
      <w:r w:rsidRPr="00920F90">
        <w:rPr>
          <w:rFonts w:ascii="Arial" w:hAnsi="Arial" w:cs="Arial"/>
        </w:rPr>
        <w:t xml:space="preserve"> de la industria alimentaria.</w:t>
      </w:r>
    </w:p>
    <w:p w14:paraId="5E2A8B67" w14:textId="77777777" w:rsidR="00A823ED" w:rsidRPr="00920F90" w:rsidRDefault="00A823ED" w:rsidP="00920F90">
      <w:pPr>
        <w:numPr>
          <w:ilvl w:val="1"/>
          <w:numId w:val="2"/>
        </w:numPr>
        <w:spacing w:line="360" w:lineRule="auto"/>
        <w:contextualSpacing/>
        <w:jc w:val="both"/>
        <w:rPr>
          <w:rFonts w:ascii="Arial" w:hAnsi="Arial" w:cs="Arial"/>
          <w:b/>
        </w:rPr>
      </w:pPr>
      <w:r w:rsidRPr="00920F90">
        <w:rPr>
          <w:rFonts w:ascii="Arial" w:hAnsi="Arial" w:cs="Arial"/>
        </w:rPr>
        <w:lastRenderedPageBreak/>
        <w:t>Ambientales: entorno obesogénico, globalización, bajo nivel socioeconómico.</w:t>
      </w:r>
    </w:p>
    <w:p w14:paraId="2132DC44" w14:textId="0281FF98" w:rsidR="00A823ED" w:rsidRPr="00920F90" w:rsidRDefault="00A823ED" w:rsidP="00920F90">
      <w:pPr>
        <w:numPr>
          <w:ilvl w:val="1"/>
          <w:numId w:val="2"/>
        </w:numPr>
        <w:spacing w:line="360" w:lineRule="auto"/>
        <w:contextualSpacing/>
        <w:jc w:val="both"/>
        <w:rPr>
          <w:rFonts w:ascii="Arial" w:hAnsi="Arial" w:cs="Arial"/>
          <w:b/>
        </w:rPr>
      </w:pPr>
      <w:r w:rsidRPr="00920F90">
        <w:rPr>
          <w:rFonts w:ascii="Arial" w:hAnsi="Arial" w:cs="Arial"/>
        </w:rPr>
        <w:t xml:space="preserve">Hábitos </w:t>
      </w:r>
      <w:r w:rsidR="00920F90">
        <w:rPr>
          <w:rFonts w:ascii="Arial" w:hAnsi="Arial" w:cs="Arial"/>
        </w:rPr>
        <w:t>de vida</w:t>
      </w:r>
      <w:r w:rsidRPr="00920F90">
        <w:rPr>
          <w:rFonts w:ascii="Arial" w:hAnsi="Arial" w:cs="Arial"/>
        </w:rPr>
        <w:t xml:space="preserve"> u obesidad</w:t>
      </w:r>
      <w:r w:rsidR="00920F90">
        <w:rPr>
          <w:rFonts w:ascii="Arial" w:hAnsi="Arial" w:cs="Arial"/>
        </w:rPr>
        <w:t xml:space="preserve"> de los</w:t>
      </w:r>
      <w:r w:rsidRPr="00920F90">
        <w:rPr>
          <w:rFonts w:ascii="Arial" w:hAnsi="Arial" w:cs="Arial"/>
        </w:rPr>
        <w:t xml:space="preserve"> progenitores.</w:t>
      </w:r>
    </w:p>
    <w:p w14:paraId="3738DB1F" w14:textId="77777777" w:rsidR="00A823ED" w:rsidRPr="00920F90" w:rsidRDefault="00A823ED" w:rsidP="00920F90">
      <w:pPr>
        <w:numPr>
          <w:ilvl w:val="1"/>
          <w:numId w:val="2"/>
        </w:numPr>
        <w:spacing w:line="360" w:lineRule="auto"/>
        <w:contextualSpacing/>
        <w:jc w:val="both"/>
        <w:rPr>
          <w:rFonts w:ascii="Arial" w:hAnsi="Arial" w:cs="Arial"/>
          <w:b/>
        </w:rPr>
      </w:pPr>
      <w:r w:rsidRPr="00920F90">
        <w:rPr>
          <w:rFonts w:ascii="Arial" w:hAnsi="Arial" w:cs="Arial"/>
        </w:rPr>
        <w:t>Componente genético.</w:t>
      </w:r>
    </w:p>
    <w:p w14:paraId="1B3AF381" w14:textId="5037251D" w:rsidR="00A823ED" w:rsidRPr="00920F90" w:rsidRDefault="00A823ED" w:rsidP="00920F90">
      <w:pPr>
        <w:numPr>
          <w:ilvl w:val="1"/>
          <w:numId w:val="2"/>
        </w:numPr>
        <w:spacing w:line="360" w:lineRule="auto"/>
        <w:contextualSpacing/>
        <w:jc w:val="both"/>
        <w:rPr>
          <w:rFonts w:ascii="Arial" w:hAnsi="Arial" w:cs="Arial"/>
          <w:b/>
        </w:rPr>
      </w:pPr>
      <w:r w:rsidRPr="00920F90">
        <w:rPr>
          <w:rFonts w:ascii="Arial" w:hAnsi="Arial" w:cs="Arial"/>
        </w:rPr>
        <w:t xml:space="preserve">Otras: falta de información </w:t>
      </w:r>
      <w:r w:rsidR="00920F90">
        <w:rPr>
          <w:rFonts w:ascii="Arial" w:hAnsi="Arial" w:cs="Arial"/>
        </w:rPr>
        <w:t>de los progenitores</w:t>
      </w:r>
      <w:r w:rsidRPr="00920F90">
        <w:rPr>
          <w:rFonts w:ascii="Arial" w:hAnsi="Arial" w:cs="Arial"/>
        </w:rPr>
        <w:t xml:space="preserve">, falta de actualización </w:t>
      </w:r>
      <w:r w:rsidR="00920F90">
        <w:rPr>
          <w:rFonts w:ascii="Arial" w:hAnsi="Arial" w:cs="Arial"/>
        </w:rPr>
        <w:t xml:space="preserve">de </w:t>
      </w:r>
      <w:r w:rsidRPr="00920F90">
        <w:rPr>
          <w:rFonts w:ascii="Arial" w:hAnsi="Arial" w:cs="Arial"/>
        </w:rPr>
        <w:t>personal pediátrico o nutricionistas.</w:t>
      </w:r>
    </w:p>
    <w:p w14:paraId="3F9C5B07" w14:textId="77777777" w:rsidR="00A823ED" w:rsidRPr="00920F90" w:rsidRDefault="00A823ED" w:rsidP="00920F90">
      <w:pPr>
        <w:numPr>
          <w:ilvl w:val="1"/>
          <w:numId w:val="2"/>
        </w:numPr>
        <w:spacing w:line="360" w:lineRule="auto"/>
        <w:contextualSpacing/>
        <w:jc w:val="both"/>
        <w:rPr>
          <w:rFonts w:ascii="Arial" w:hAnsi="Arial" w:cs="Arial"/>
          <w:b/>
        </w:rPr>
      </w:pPr>
      <w:r w:rsidRPr="00920F90">
        <w:rPr>
          <w:rFonts w:ascii="Arial" w:hAnsi="Arial" w:cs="Arial"/>
        </w:rPr>
        <w:t>No se especifican.</w:t>
      </w:r>
    </w:p>
    <w:p w14:paraId="45F39A20" w14:textId="77777777" w:rsidR="00A823ED" w:rsidRPr="00920F90" w:rsidRDefault="00A823ED" w:rsidP="00920F90">
      <w:pPr>
        <w:numPr>
          <w:ilvl w:val="0"/>
          <w:numId w:val="2"/>
        </w:numPr>
        <w:spacing w:line="360" w:lineRule="auto"/>
        <w:contextualSpacing/>
        <w:jc w:val="both"/>
        <w:rPr>
          <w:rFonts w:ascii="Arial" w:hAnsi="Arial" w:cs="Arial"/>
        </w:rPr>
      </w:pPr>
      <w:r w:rsidRPr="00920F90">
        <w:rPr>
          <w:rFonts w:ascii="Arial" w:hAnsi="Arial" w:cs="Arial"/>
          <w:b/>
        </w:rPr>
        <w:t xml:space="preserve"> </w:t>
      </w:r>
      <w:r w:rsidRPr="00ED5D1C">
        <w:rPr>
          <w:rFonts w:ascii="Arial" w:hAnsi="Arial" w:cs="Arial"/>
          <w:bCs/>
        </w:rPr>
        <w:t>Influencia de la industria alimentaria en la generación del documento o apariencia de publirreportaje:</w:t>
      </w:r>
      <w:r w:rsidRPr="00920F90" w:rsidDel="0091126F">
        <w:rPr>
          <w:rFonts w:ascii="Arial" w:hAnsi="Arial" w:cs="Arial"/>
          <w:b/>
        </w:rPr>
        <w:t xml:space="preserve"> </w:t>
      </w:r>
      <w:r w:rsidRPr="00920F90">
        <w:rPr>
          <w:rFonts w:ascii="Arial" w:hAnsi="Arial" w:cs="Arial"/>
        </w:rPr>
        <w:t xml:space="preserve">mención de aquellas noticias en las que hay elevados indicios de promoción por parte de la industria alimentaria. </w:t>
      </w:r>
    </w:p>
    <w:p w14:paraId="2D6CA002" w14:textId="77777777" w:rsidR="00641A90" w:rsidRPr="00920F90" w:rsidRDefault="00ED5D1C" w:rsidP="00920F90">
      <w:pPr>
        <w:spacing w:line="360" w:lineRule="auto"/>
        <w:jc w:val="both"/>
        <w:rPr>
          <w:rFonts w:ascii="Arial" w:hAnsi="Arial" w:cs="Arial"/>
        </w:rPr>
      </w:pPr>
    </w:p>
    <w:sectPr w:rsidR="00641A90" w:rsidRPr="00920F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65EEA"/>
    <w:multiLevelType w:val="hybridMultilevel"/>
    <w:tmpl w:val="F5B26606"/>
    <w:lvl w:ilvl="0" w:tplc="FEE68036">
      <w:start w:val="1"/>
      <w:numFmt w:val="decimal"/>
      <w:lvlText w:val="%1)"/>
      <w:lvlJc w:val="left"/>
      <w:pPr>
        <w:ind w:left="927" w:hanging="360"/>
      </w:pPr>
      <w:rPr>
        <w:rFonts w:hint="default"/>
        <w:b w:val="0"/>
        <w:bCs w:val="0"/>
      </w:rPr>
    </w:lvl>
    <w:lvl w:ilvl="1" w:tplc="0C0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1029F"/>
    <w:multiLevelType w:val="hybridMultilevel"/>
    <w:tmpl w:val="F0B017AA"/>
    <w:lvl w:ilvl="0" w:tplc="2B6C3C14">
      <w:start w:val="1"/>
      <w:numFmt w:val="upperLetter"/>
      <w:lvlText w:val="%1)"/>
      <w:lvlJc w:val="left"/>
      <w:pPr>
        <w:ind w:left="2895" w:hanging="375"/>
      </w:pPr>
      <w:rPr>
        <w:rFonts w:hint="default"/>
        <w:b w:val="0"/>
        <w:bCs w:val="0"/>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
    <w:nsid w:val="4FDE5025"/>
    <w:multiLevelType w:val="hybridMultilevel"/>
    <w:tmpl w:val="BDB21146"/>
    <w:lvl w:ilvl="0" w:tplc="EE561700">
      <w:start w:val="1"/>
      <w:numFmt w:val="lowerLetter"/>
      <w:lvlText w:val="%1)"/>
      <w:lvlJc w:val="left"/>
      <w:pPr>
        <w:ind w:left="2160" w:hanging="360"/>
      </w:pPr>
      <w:rPr>
        <w:b w:val="0"/>
        <w:bCs/>
      </w:rPr>
    </w:lvl>
    <w:lvl w:ilvl="1" w:tplc="1CD69952">
      <w:start w:val="1"/>
      <w:numFmt w:val="bullet"/>
      <w:lvlText w:val="–"/>
      <w:lvlJc w:val="left"/>
      <w:pPr>
        <w:ind w:left="2880" w:hanging="360"/>
      </w:pPr>
      <w:rPr>
        <w:rFonts w:ascii="Verdana" w:hAnsi="Verdana"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DB9421C"/>
    <w:multiLevelType w:val="hybridMultilevel"/>
    <w:tmpl w:val="A74824B4"/>
    <w:lvl w:ilvl="0" w:tplc="0C0A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7A86243"/>
    <w:multiLevelType w:val="hybridMultilevel"/>
    <w:tmpl w:val="3E689C5E"/>
    <w:lvl w:ilvl="0" w:tplc="32E04A0E">
      <w:start w:val="1"/>
      <w:numFmt w:val="upperLetter"/>
      <w:lvlText w:val="%1)"/>
      <w:lvlJc w:val="left"/>
      <w:pPr>
        <w:ind w:left="2880" w:hanging="360"/>
      </w:pPr>
      <w:rPr>
        <w:rFonts w:hint="default"/>
        <w:b w:val="0"/>
        <w:bCs w:val="0"/>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5">
    <w:nsid w:val="6BC83676"/>
    <w:multiLevelType w:val="hybridMultilevel"/>
    <w:tmpl w:val="6DB4F108"/>
    <w:lvl w:ilvl="0" w:tplc="0C0A0001">
      <w:start w:val="1"/>
      <w:numFmt w:val="bullet"/>
      <w:lvlText w:val=""/>
      <w:lvlJc w:val="left"/>
      <w:pPr>
        <w:ind w:left="2520" w:hanging="360"/>
      </w:pPr>
      <w:rPr>
        <w:rFonts w:ascii="Symbol" w:hAnsi="Symbol"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ED"/>
    <w:rsid w:val="00560F13"/>
    <w:rsid w:val="00920F90"/>
    <w:rsid w:val="0092233F"/>
    <w:rsid w:val="00A823ED"/>
    <w:rsid w:val="00A83EAE"/>
    <w:rsid w:val="00EA038C"/>
    <w:rsid w:val="00ED5D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7BD8"/>
  <w15:chartTrackingRefBased/>
  <w15:docId w15:val="{B130C62D-6634-40DA-9D4E-19364463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3ED"/>
    <w:pPr>
      <w:spacing w:after="0" w:line="240" w:lineRule="auto"/>
    </w:pPr>
    <w:rPr>
      <w:rFonts w:ascii="Cambria" w:eastAsia="MS Mincho" w:hAnsi="Cambria" w:cs="Times New Roman"/>
      <w:sz w:val="24"/>
      <w:szCs w:val="24"/>
      <w:lang w:val="es-ES_tradnl"/>
    </w:rPr>
  </w:style>
  <w:style w:type="paragraph" w:styleId="Heading2">
    <w:name w:val="heading 2"/>
    <w:basedOn w:val="Normal"/>
    <w:next w:val="Normal"/>
    <w:link w:val="Heading2Char"/>
    <w:uiPriority w:val="9"/>
    <w:qFormat/>
    <w:rsid w:val="00A823ED"/>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3ED"/>
    <w:rPr>
      <w:rFonts w:ascii="Calibri" w:eastAsia="MS Gothic" w:hAnsi="Calibri" w:cs="Times New Roman"/>
      <w:b/>
      <w:bCs/>
      <w:i/>
      <w:iCs/>
      <w:sz w:val="28"/>
      <w:szCs w:val="28"/>
      <w:lang w:val="es-ES_tradnl"/>
    </w:rPr>
  </w:style>
  <w:style w:type="paragraph" w:styleId="BalloonText">
    <w:name w:val="Balloon Text"/>
    <w:basedOn w:val="Normal"/>
    <w:link w:val="BalloonTextChar"/>
    <w:uiPriority w:val="99"/>
    <w:semiHidden/>
    <w:unhideWhenUsed/>
    <w:rsid w:val="00ED5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D1C"/>
    <w:rPr>
      <w:rFonts w:ascii="Segoe UI" w:eastAsia="MS Mincho"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722</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Chilet Rosell, Elisa</dc:creator>
  <cp:keywords/>
  <dc:description/>
  <cp:lastModifiedBy>Bandana Sharma</cp:lastModifiedBy>
  <cp:revision>2</cp:revision>
  <dcterms:created xsi:type="dcterms:W3CDTF">2019-11-21T08:30:00Z</dcterms:created>
  <dcterms:modified xsi:type="dcterms:W3CDTF">2019-11-21T08:30:00Z</dcterms:modified>
</cp:coreProperties>
</file>