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74ECB" w14:textId="77777777" w:rsidR="00AF642B" w:rsidRDefault="00AF642B" w:rsidP="00AF642B">
      <w:pPr>
        <w:keepNext/>
        <w:keepLines/>
        <w:spacing w:before="480" w:after="0" w:line="360" w:lineRule="auto"/>
        <w:jc w:val="both"/>
        <w:outlineLvl w:val="0"/>
        <w:rPr>
          <w:rFonts w:ascii="Arial" w:eastAsia="Calibri" w:hAnsi="Arial" w:cs="Arial"/>
          <w:b/>
          <w:color w:val="000000"/>
          <w:sz w:val="24"/>
          <w:szCs w:val="24"/>
          <w:lang w:val="en-US" w:eastAsia="es-ES"/>
        </w:rPr>
      </w:pPr>
      <w:r w:rsidRPr="00AF642B">
        <w:rPr>
          <w:rFonts w:ascii="Arial" w:eastAsia="Calibri" w:hAnsi="Arial" w:cs="Arial"/>
          <w:b/>
          <w:color w:val="000000"/>
          <w:sz w:val="24"/>
          <w:szCs w:val="24"/>
          <w:lang w:val="en-US" w:eastAsia="es-ES"/>
        </w:rPr>
        <w:t>Appendix</w:t>
      </w:r>
    </w:p>
    <w:p w14:paraId="43443B15" w14:textId="705E6BCB" w:rsidR="00AF642B" w:rsidRPr="00AF642B" w:rsidRDefault="00AF642B" w:rsidP="00AF642B">
      <w:pPr>
        <w:keepNext/>
        <w:keepLines/>
        <w:spacing w:before="480" w:after="0" w:line="360" w:lineRule="auto"/>
        <w:jc w:val="both"/>
        <w:outlineLvl w:val="0"/>
        <w:rPr>
          <w:rFonts w:ascii="Arial" w:eastAsia="Calibri" w:hAnsi="Arial" w:cs="Arial"/>
          <w:b/>
          <w:color w:val="000000"/>
          <w:sz w:val="24"/>
          <w:szCs w:val="24"/>
          <w:lang w:val="en-US" w:eastAsia="es-ES"/>
        </w:rPr>
      </w:pPr>
      <w:bookmarkStart w:id="0" w:name="26in1rg" w:colFirst="0" w:colLast="0"/>
      <w:bookmarkEnd w:id="0"/>
      <w:r w:rsidRPr="00AF642B">
        <w:rPr>
          <w:rFonts w:ascii="Arial" w:eastAsia="Calibri" w:hAnsi="Arial" w:cs="Arial"/>
          <w:b/>
          <w:color w:val="000000"/>
          <w:sz w:val="24"/>
          <w:szCs w:val="24"/>
          <w:lang w:val="en-US" w:eastAsia="es-ES"/>
        </w:rPr>
        <w:t>Parameter estimation procedure</w:t>
      </w:r>
    </w:p>
    <w:p w14:paraId="3033A6FA" w14:textId="77777777" w:rsidR="00AF642B" w:rsidRDefault="00AF642B" w:rsidP="00AF642B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Arial" w:eastAsia="Cambria" w:hAnsi="Arial" w:cs="Arial"/>
          <w:color w:val="000000"/>
          <w:sz w:val="24"/>
          <w:szCs w:val="24"/>
          <w:lang w:val="en-US" w:eastAsia="es-ES"/>
        </w:rPr>
      </w:pPr>
    </w:p>
    <w:p w14:paraId="2B9B76F0" w14:textId="715A4C72" w:rsidR="00AF642B" w:rsidRPr="00AF642B" w:rsidRDefault="00AF642B" w:rsidP="00AF642B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Arial" w:eastAsia="Cambria" w:hAnsi="Arial" w:cs="Arial"/>
          <w:color w:val="000000"/>
          <w:sz w:val="24"/>
          <w:szCs w:val="24"/>
          <w:lang w:val="en-US" w:eastAsia="es-ES"/>
        </w:rPr>
      </w:pPr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Parameters of the model </w:t>
      </w:r>
      <m:oMath>
        <m:r>
          <w:rPr>
            <w:rFonts w:ascii="Cambria Math" w:eastAsia="Cambria" w:hAnsi="Cambria Math" w:cs="Arial"/>
            <w:sz w:val="24"/>
            <w:szCs w:val="24"/>
            <w:lang w:val="en-US" w:eastAsia="es-ES"/>
          </w:rPr>
          <m:t>θ</m:t>
        </m:r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include the prior mean of 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R</m:t>
            </m:r>
          </m:e>
          <m:sub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0</m:t>
            </m:r>
          </m:sub>
        </m:sSub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for the three different lockdown conditions </w:t>
      </w:r>
      <m:oMath>
        <m:d>
          <m:d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</m:ctrlPr>
              </m:sSubPr>
              <m:e>
                <m:r>
                  <w:rPr>
                    <w:rFonts w:ascii="Cambria Math" w:eastAsia="Cambria" w:hAnsi="Cambria Math" w:cs="Arial"/>
                    <w:sz w:val="24"/>
                    <w:szCs w:val="24"/>
                    <w:lang w:val="en-US" w:eastAsia="es-ES"/>
                  </w:rPr>
                  <m:t>β</m:t>
                </m:r>
              </m:e>
              <m: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0</m:t>
                </m:r>
              </m:sub>
            </m:sSub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,</m:t>
            </m:r>
            <m:sSub>
              <m:sSubPr>
                <m:ctrlP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</m:ctrlPr>
              </m:sSubPr>
              <m:e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β</m:t>
                </m:r>
              </m:e>
              <m: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1</m:t>
                </m:r>
              </m:sub>
            </m:sSub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,</m:t>
            </m:r>
            <m:sSub>
              <m:sSubPr>
                <m:ctrlP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</m:ctrlPr>
              </m:sSubPr>
              <m:e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β</m:t>
                </m:r>
              </m:e>
              <m: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2</m:t>
                </m:r>
              </m:sub>
            </m:sSub>
          </m:e>
        </m:d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, as well the expected value of the log-infected population at initial point 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x</m:t>
            </m:r>
          </m:e>
          <m:sub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i</m:t>
            </m:r>
          </m:sub>
        </m:sSub>
        <m:d>
          <m:d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r</m:t>
            </m:r>
          </m:e>
        </m:d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. Parameters were fitted from the data by maximum likelihood estimation, using an expectation-maximization procedure. The procedure also allowed to recover the posterior distribution of true cases </w:t>
      </w:r>
      <m:oMath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p</m:t>
        </m:r>
        <m:d>
          <m:d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I|y;θ</m:t>
            </m:r>
          </m:e>
        </m:d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for each day and autonomous community. We convert the infected population to the log-scale, defining </w:t>
      </w:r>
      <m:oMath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x</m:t>
        </m:r>
        <m:d>
          <m:d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r,d</m:t>
            </m:r>
          </m:e>
        </m:d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=logI</m:t>
        </m:r>
        <m:d>
          <m:d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r,d</m:t>
            </m:r>
          </m:e>
        </m:d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>:</w:t>
      </w:r>
    </w:p>
    <w:p w14:paraId="062E94A8" w14:textId="77777777" w:rsidR="00AF642B" w:rsidRPr="00AF642B" w:rsidRDefault="00AF642B" w:rsidP="00AF642B">
      <w:pPr>
        <w:spacing w:after="200" w:line="360" w:lineRule="auto"/>
        <w:jc w:val="both"/>
        <w:rPr>
          <w:rFonts w:ascii="Arial" w:eastAsia="Cambria Math" w:hAnsi="Arial" w:cs="Arial"/>
          <w:color w:val="000000"/>
          <w:sz w:val="24"/>
          <w:szCs w:val="24"/>
          <w:lang w:val="en-US" w:eastAsia="es-ES"/>
        </w:rPr>
      </w:pPr>
      <m:oMathPara>
        <m:oMath>
          <m:r>
            <w:rPr>
              <w:rFonts w:ascii="Cambria Math" w:eastAsia="Cambria Math" w:hAnsi="Cambria Math" w:cs="Arial"/>
              <w:color w:val="000000"/>
              <w:sz w:val="24"/>
              <w:szCs w:val="24"/>
              <w:lang w:val="en-US" w:eastAsia="es-ES"/>
            </w:rPr>
            <m:t>x</m:t>
          </m:r>
          <m:d>
            <m:dPr>
              <m:ctrlP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</m:ctrlPr>
            </m:dPr>
            <m:e>
              <m: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  <m:t>r,d+1</m:t>
              </m:r>
            </m:e>
          </m:d>
          <m:r>
            <w:rPr>
              <w:rFonts w:ascii="Cambria Math" w:eastAsia="Cambria Math" w:hAnsi="Cambria Math" w:cs="Arial"/>
              <w:color w:val="000000"/>
              <w:sz w:val="24"/>
              <w:szCs w:val="24"/>
              <w:lang w:val="en-US" w:eastAsia="es-ES"/>
            </w:rPr>
            <m:t>=x</m:t>
          </m:r>
          <m:d>
            <m:dPr>
              <m:ctrlP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</m:ctrlPr>
            </m:dPr>
            <m:e>
              <m: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  <m:t>r,d</m:t>
              </m:r>
            </m:e>
          </m:d>
          <m:r>
            <w:rPr>
              <w:rFonts w:ascii="Cambria Math" w:eastAsia="Cambria Math" w:hAnsi="Cambria Math" w:cs="Arial"/>
              <w:color w:val="000000"/>
              <w:sz w:val="24"/>
              <w:szCs w:val="24"/>
              <w:lang w:val="en-US" w:eastAsia="es-ES"/>
            </w:rPr>
            <m:t>-</m:t>
          </m:r>
          <m:d>
            <m:dPr>
              <m:ctrlP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</m:ctrlPr>
                </m:dPr>
                <m:e>
                  <m: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  <m:t>r,d</m:t>
                  </m:r>
                </m:e>
              </m:d>
              <m: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  <m:t>-1</m:t>
              </m:r>
            </m:e>
          </m:d>
          <m:r>
            <w:rPr>
              <w:rFonts w:ascii="Cambria Math" w:eastAsia="Cambria Math" w:hAnsi="Cambria Math" w:cs="Arial"/>
              <w:color w:val="000000"/>
              <w:sz w:val="24"/>
              <w:szCs w:val="24"/>
              <w:lang w:val="en-US" w:eastAsia="es-ES"/>
            </w:rPr>
            <m:t>γ</m:t>
          </m:r>
        </m:oMath>
      </m:oMathPara>
    </w:p>
    <w:p w14:paraId="44099EBD" w14:textId="77777777" w:rsidR="00AF642B" w:rsidRPr="00AF642B" w:rsidRDefault="00AF642B" w:rsidP="00AF642B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Arial" w:eastAsia="Cambria" w:hAnsi="Arial" w:cs="Arial"/>
          <w:color w:val="000000"/>
          <w:sz w:val="24"/>
          <w:szCs w:val="24"/>
          <w:lang w:val="en-US" w:eastAsia="es-ES"/>
        </w:rPr>
      </w:pPr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>This can be turned into:</w:t>
      </w:r>
    </w:p>
    <w:p w14:paraId="401B8ADB" w14:textId="77777777" w:rsidR="00AF642B" w:rsidRPr="00AF642B" w:rsidRDefault="00AF642B" w:rsidP="00AF642B">
      <w:pPr>
        <w:spacing w:after="200" w:line="360" w:lineRule="auto"/>
        <w:jc w:val="both"/>
        <w:rPr>
          <w:rFonts w:ascii="Arial" w:eastAsia="Cambria Math" w:hAnsi="Arial" w:cs="Arial"/>
          <w:color w:val="000000"/>
          <w:sz w:val="24"/>
          <w:szCs w:val="24"/>
          <w:lang w:val="en-US" w:eastAsia="es-ES"/>
        </w:rPr>
      </w:pPr>
      <m:oMathPara>
        <m:oMath>
          <m:r>
            <w:rPr>
              <w:rFonts w:ascii="Cambria Math" w:eastAsia="Cambria Math" w:hAnsi="Cambria Math" w:cs="Arial"/>
              <w:color w:val="000000"/>
              <w:sz w:val="24"/>
              <w:szCs w:val="24"/>
              <w:lang w:val="en-US" w:eastAsia="es-ES"/>
            </w:rPr>
            <m:t>x</m:t>
          </m:r>
          <m:d>
            <m:dPr>
              <m:ctrlP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</m:ctrlPr>
            </m:dPr>
            <m:e>
              <m: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  <m:t>r,d</m:t>
              </m:r>
            </m:e>
          </m:d>
          <m:r>
            <w:rPr>
              <w:rFonts w:ascii="Cambria Math" w:eastAsia="Cambria Math" w:hAnsi="Cambria Math" w:cs="Arial"/>
              <w:color w:val="000000"/>
              <w:sz w:val="24"/>
              <w:szCs w:val="24"/>
              <w:lang w:val="en-US" w:eastAsia="es-ES"/>
            </w:rPr>
            <m:t>=</m:t>
          </m:r>
          <m:sSub>
            <m:sSubPr>
              <m:ctrlP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</m:ctrlPr>
            </m:sSubPr>
            <m:e>
              <m: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  <m:t>x</m:t>
              </m:r>
            </m:e>
            <m:sub>
              <m: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  <m:t>i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</m:ctrlPr>
            </m:dPr>
            <m:e>
              <m: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  <m:t>r</m:t>
              </m:r>
            </m:e>
          </m:d>
          <m:r>
            <w:rPr>
              <w:rFonts w:ascii="Cambria Math" w:eastAsia="Cambria Math" w:hAnsi="Cambria Math" w:cs="Arial"/>
              <w:color w:val="000000"/>
              <w:sz w:val="24"/>
              <w:szCs w:val="24"/>
              <w:lang w:val="en-US" w:eastAsia="es-ES"/>
            </w:rPr>
            <m:t>+γ</m:t>
          </m:r>
          <m:d>
            <m:dPr>
              <m:ctrlP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</m:ctrlPr>
                </m:naryPr>
                <m:sub>
                  <m: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  <m:t>t&lt;d</m:t>
                  </m:r>
                </m:sub>
                <m:sup/>
                <m:e/>
              </m:nary>
              <m:sSub>
                <m:sSubPr>
                  <m:ctrlP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</m:ctrlPr>
                </m:dPr>
                <m:e>
                  <m:r>
                    <w:rPr>
                      <w:rFonts w:ascii="Cambria Math" w:eastAsia="Cambria Math" w:hAnsi="Cambria Math" w:cs="Arial"/>
                      <w:color w:val="000000"/>
                      <w:sz w:val="24"/>
                      <w:szCs w:val="24"/>
                      <w:lang w:val="en-US" w:eastAsia="es-ES"/>
                    </w:rPr>
                    <m:t>r,d</m:t>
                  </m:r>
                </m:e>
              </m:d>
              <m:r>
                <w:rPr>
                  <w:rFonts w:ascii="Cambria Math" w:eastAsia="Cambria Math" w:hAnsi="Cambria Math" w:cs="Arial"/>
                  <w:color w:val="000000"/>
                  <w:sz w:val="24"/>
                  <w:szCs w:val="24"/>
                  <w:lang w:val="en-US" w:eastAsia="es-ES"/>
                </w:rPr>
                <m:t>-d</m:t>
              </m:r>
            </m:e>
          </m:d>
        </m:oMath>
      </m:oMathPara>
    </w:p>
    <w:p w14:paraId="7BAAD75C" w14:textId="77777777" w:rsidR="00AF642B" w:rsidRPr="00AF642B" w:rsidRDefault="00AF642B" w:rsidP="00AF642B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Arial" w:eastAsia="Cambria" w:hAnsi="Arial" w:cs="Arial"/>
          <w:color w:val="000000"/>
          <w:sz w:val="24"/>
          <w:szCs w:val="24"/>
          <w:lang w:val="en-US" w:eastAsia="es-ES"/>
        </w:rPr>
      </w:pPr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In </w:t>
      </w:r>
      <w:proofErr w:type="spellStart"/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>vectorial</w:t>
      </w:r>
      <w:proofErr w:type="spellEnd"/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terms, we have </w:t>
      </w:r>
      <m:oMath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x=T</m:t>
        </m:r>
        <m:d>
          <m:dPr>
            <m:begChr m:val="["/>
            <m:endChr m:val="]"/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x</m:t>
            </m:r>
            <m:d>
              <m:dPr>
                <m:ctrlP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</m:ctrlPr>
              </m:dPr>
              <m:e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0,r</m:t>
                </m:r>
              </m:e>
            </m:d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,</m:t>
            </m:r>
            <m:sSub>
              <m:sSubPr>
                <m:ctrlP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</m:ctrlPr>
              </m:sSubPr>
              <m:e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R</m:t>
                </m:r>
              </m:e>
              <m: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</m:ctrlPr>
              </m:dPr>
              <m:e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r,:</m:t>
                </m:r>
              </m:e>
            </m:d>
          </m:e>
        </m:d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, where </w:t>
      </w:r>
      <m:oMath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T</m:t>
        </m:r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is an upper triangular matrix of 1 that implements the summing operation. Since both 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x</m:t>
            </m:r>
          </m:e>
          <m:sub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i</m:t>
            </m:r>
          </m:sub>
        </m:sSub>
        <m:d>
          <m:d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r</m:t>
            </m:r>
          </m:e>
        </m:d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and 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R</m:t>
            </m:r>
          </m:e>
          <m:sub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0</m:t>
            </m:r>
          </m:sub>
        </m:sSub>
        <m:d>
          <m:d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r,:</m:t>
            </m:r>
          </m:e>
        </m:d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have multivariate normal prior distribution, the prior over </w:t>
      </w:r>
      <m:oMath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x</m:t>
        </m:r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is normal itself with mean 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sSubPr>
          <m:e>
            <m:r>
              <w:rPr>
                <w:rFonts w:ascii="Cambria Math" w:eastAsia="Cambria" w:hAnsi="Cambria Math" w:cs="Arial"/>
                <w:sz w:val="24"/>
                <w:szCs w:val="24"/>
                <w:lang w:val="en-US" w:eastAsia="es-ES"/>
              </w:rPr>
              <m:t>μ</m:t>
            </m:r>
          </m:e>
          <m:sub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r</m:t>
            </m:r>
          </m:sub>
        </m:sSub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=T</m:t>
        </m:r>
        <m:d>
          <m:dPr>
            <m:begChr m:val="["/>
            <m:endChr m:val="]"/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</m:ctrlPr>
              </m:sSubPr>
              <m:e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i</m:t>
                </m:r>
              </m:sub>
            </m:sSub>
            <m:d>
              <m:dPr>
                <m:ctrlP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</m:ctrlPr>
              </m:dPr>
              <m:e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  <w:lang w:val="en-US" w:eastAsia="es-ES"/>
                  </w:rPr>
                  <m:t>r</m:t>
                </m:r>
              </m:e>
            </m:d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,Φβ</m:t>
            </m:r>
          </m:e>
        </m:d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and covariance 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K</m:t>
            </m:r>
          </m:e>
          <m:sub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x</m:t>
            </m:r>
          </m:sub>
        </m:sSub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=T</m:t>
        </m:r>
        <m:acc>
          <m:accPr>
            <m:chr m:val="̃"/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acc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K</m:t>
            </m:r>
          </m:e>
        </m:acc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T'</m:t>
        </m:r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where </w:t>
      </w:r>
      <m:oMath>
        <m:r>
          <w:rPr>
            <w:rFonts w:ascii="Cambria Math" w:eastAsia="Cambria" w:hAnsi="Cambria Math" w:cs="Arial"/>
            <w:sz w:val="24"/>
            <w:szCs w:val="24"/>
            <w:lang w:val="en-US" w:eastAsia="es-ES"/>
          </w:rPr>
          <m:t>Φ</m:t>
        </m:r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is an </w:t>
      </w:r>
      <m:oMath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D</m:t>
        </m:r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-by-3 indicator matrix indicating the lockdown state for each day, and </w:t>
      </w:r>
      <m:oMath>
        <m:acc>
          <m:accPr>
            <m:chr m:val="̃"/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acc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K</m:t>
            </m:r>
          </m:e>
        </m:acc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is block diagonal with submatrices </w:t>
      </w:r>
      <m:oMath>
        <m:sSubSup>
          <m:sSubSup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sSubSupPr>
          <m:e>
            <m:r>
              <w:rPr>
                <w:rFonts w:ascii="Cambria Math" w:eastAsia="Cambria" w:hAnsi="Cambria Math" w:cs="Arial"/>
                <w:sz w:val="24"/>
                <w:szCs w:val="24"/>
                <w:lang w:val="en-US" w:eastAsia="es-ES"/>
              </w:rPr>
              <m:t>σ</m:t>
            </m:r>
          </m:e>
          <m:sub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0</m:t>
            </m:r>
          </m:sub>
          <m:sup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2</m:t>
            </m:r>
          </m:sup>
        </m:sSubSup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and </w:t>
      </w:r>
      <m:oMath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K</m:t>
        </m:r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. In the Expectation step, we estimate the posterior distribution over log-infected population using a Laplace approximation </w:t>
      </w:r>
      <m:oMath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p</m:t>
        </m:r>
        <m:d>
          <m:d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x|y,θ</m:t>
            </m:r>
          </m:e>
        </m:d>
        <m:r>
          <w:rPr>
            <w:rFonts w:ascii="Cambria Math" w:eastAsia="Cambria Math" w:hAnsi="Cambria Math" w:cs="Arial"/>
            <w:color w:val="000000"/>
            <w:sz w:val="24"/>
            <w:szCs w:val="24"/>
            <w:lang w:val="en-US" w:eastAsia="es-ES"/>
          </w:rPr>
          <m:t>≈N</m:t>
        </m:r>
        <m:d>
          <m:dPr>
            <m:ctrlP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</m:ctrlPr>
          </m:dPr>
          <m:e>
            <m:r>
              <w:rPr>
                <w:rFonts w:ascii="Cambria Math" w:eastAsia="Cambria Math" w:hAnsi="Cambria Math" w:cs="Arial"/>
                <w:color w:val="000000"/>
                <w:sz w:val="24"/>
                <w:szCs w:val="24"/>
                <w:lang w:val="en-US" w:eastAsia="es-ES"/>
              </w:rPr>
              <m:t>m,V</m:t>
            </m:r>
          </m:e>
        </m:d>
      </m:oMath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. We first identified the maximum-a-posteriori variable </w:t>
      </w:r>
      <w:r w:rsidRPr="00AF642B">
        <w:rPr>
          <w:rFonts w:ascii="Arial" w:eastAsia="Cambria" w:hAnsi="Arial" w:cs="Arial"/>
          <w:i/>
          <w:color w:val="000000"/>
          <w:sz w:val="24"/>
          <w:szCs w:val="24"/>
          <w:lang w:val="en-US" w:eastAsia="es-ES"/>
        </w:rPr>
        <w:t>m</w:t>
      </w:r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through gradient search, and then computed </w:t>
      </w:r>
      <w:r w:rsidRPr="00AF642B">
        <w:rPr>
          <w:rFonts w:ascii="Arial" w:eastAsia="Cambria" w:hAnsi="Arial" w:cs="Arial"/>
          <w:i/>
          <w:color w:val="000000"/>
          <w:sz w:val="24"/>
          <w:szCs w:val="24"/>
          <w:lang w:val="en-US" w:eastAsia="es-ES"/>
        </w:rPr>
        <w:t>V</w:t>
      </w:r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as the inverse of the negative of the hessian joint-log-probability evaluated at </w:t>
      </w:r>
      <w:r w:rsidRPr="00AF642B">
        <w:rPr>
          <w:rFonts w:ascii="Arial" w:eastAsia="Cambria" w:hAnsi="Arial" w:cs="Arial"/>
          <w:i/>
          <w:color w:val="000000"/>
          <w:sz w:val="24"/>
          <w:szCs w:val="24"/>
          <w:lang w:val="en-US" w:eastAsia="es-ES"/>
        </w:rPr>
        <w:t>m</w:t>
      </w:r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>.</w:t>
      </w:r>
    </w:p>
    <w:p w14:paraId="6414E286" w14:textId="7943E167" w:rsidR="00AF642B" w:rsidRDefault="00AF642B" w:rsidP="00AF642B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Arial" w:eastAsia="Cambria" w:hAnsi="Arial" w:cs="Arial"/>
          <w:color w:val="000000"/>
          <w:sz w:val="24"/>
          <w:szCs w:val="24"/>
          <w:lang w:val="en-US" w:eastAsia="es-ES"/>
        </w:rPr>
      </w:pPr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Parameters were updated in the M-step by maximizing the objective function analytically. We run the EM 10 times with different initial values for the parameters to avoid falling into local maxima of the log-likelihood. Confidence intervals for </w:t>
      </w:r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lastRenderedPageBreak/>
        <w:t xml:space="preserve">parameters were estimated using parametric bootstrapping using 20 bootstraps. All analyses were implemented in </w:t>
      </w:r>
      <w:proofErr w:type="spellStart"/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>Matlab</w:t>
      </w:r>
      <w:proofErr w:type="spellEnd"/>
      <w:r w:rsidRPr="00AF642B">
        <w:rPr>
          <w:rFonts w:ascii="Arial" w:eastAsia="Cambria" w:hAnsi="Arial" w:cs="Arial"/>
          <w:color w:val="000000"/>
          <w:sz w:val="24"/>
          <w:szCs w:val="24"/>
          <w:lang w:val="en-US" w:eastAsia="es-ES"/>
        </w:rPr>
        <w:t xml:space="preserve"> with custom codes, which will be uploaded on a public repository upon publication of the manuscript.</w:t>
      </w:r>
    </w:p>
    <w:p w14:paraId="4B01A50C" w14:textId="77777777" w:rsidR="00AF642B" w:rsidRPr="00AF642B" w:rsidRDefault="00AF642B" w:rsidP="00AF642B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Arial" w:eastAsia="Cambria" w:hAnsi="Arial" w:cs="Arial"/>
          <w:color w:val="000000"/>
          <w:sz w:val="24"/>
          <w:szCs w:val="24"/>
          <w:lang w:val="en-US" w:eastAsia="es-ES"/>
        </w:rPr>
      </w:pPr>
      <w:bookmarkStart w:id="1" w:name="_GoBack"/>
      <w:bookmarkEnd w:id="1"/>
    </w:p>
    <w:sectPr w:rsidR="00AF642B" w:rsidRPr="00AF642B" w:rsidSect="00862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2B"/>
    <w:rsid w:val="000A07C7"/>
    <w:rsid w:val="00177BDC"/>
    <w:rsid w:val="008620AC"/>
    <w:rsid w:val="00A47699"/>
    <w:rsid w:val="00AF642B"/>
    <w:rsid w:val="00B07DDE"/>
    <w:rsid w:val="00E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BFE0"/>
  <w15:chartTrackingRefBased/>
  <w15:docId w15:val="{E4CFA6D4-FEE8-41BA-A9F5-60909CBE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company</dc:creator>
  <cp:keywords/>
  <dc:description/>
  <cp:lastModifiedBy>Norkey Bhutia</cp:lastModifiedBy>
  <cp:revision>2</cp:revision>
  <dcterms:created xsi:type="dcterms:W3CDTF">2020-06-01T10:32:00Z</dcterms:created>
  <dcterms:modified xsi:type="dcterms:W3CDTF">2020-06-01T10:32:00Z</dcterms:modified>
</cp:coreProperties>
</file>