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6F64" w14:textId="77777777" w:rsidR="00C21326" w:rsidRPr="002C4244" w:rsidRDefault="00C21326" w:rsidP="003B006D"/>
    <w:p w14:paraId="77D98FF1" w14:textId="32D4D1F8" w:rsidR="009137E0" w:rsidRPr="002C4244" w:rsidRDefault="009137E0" w:rsidP="009137E0"/>
    <w:p w14:paraId="70741AA4" w14:textId="6986A57C" w:rsidR="009137E0" w:rsidRPr="002C4244" w:rsidRDefault="009137E0" w:rsidP="009137E0">
      <w:r w:rsidRPr="002C4244">
        <w:t>ANEXO I</w:t>
      </w:r>
      <w:r w:rsidR="00C747D8">
        <w:t xml:space="preserve"> </w:t>
      </w:r>
    </w:p>
    <w:p w14:paraId="312EFCCA" w14:textId="77777777" w:rsidR="009137E0" w:rsidRPr="002C4244" w:rsidRDefault="009137E0" w:rsidP="009137E0"/>
    <w:p w14:paraId="72A4AAEB" w14:textId="27080478" w:rsidR="009137E0" w:rsidRPr="002C4244" w:rsidRDefault="008033A5" w:rsidP="009137E0">
      <w:r>
        <w:rPr>
          <w:b/>
          <w:bCs/>
        </w:rPr>
        <w:t xml:space="preserve">Cuestionario </w:t>
      </w:r>
      <w:r w:rsidR="009137E0" w:rsidRPr="002C4244">
        <w:rPr>
          <w:b/>
          <w:bCs/>
        </w:rPr>
        <w:t>del Delphi de habla catalana</w:t>
      </w:r>
      <w:r w:rsidR="00C747D8">
        <w:t xml:space="preserve"> </w:t>
      </w:r>
    </w:p>
    <w:p w14:paraId="323DFBE6" w14:textId="77777777" w:rsidR="009137E0" w:rsidRPr="002C4244" w:rsidRDefault="009137E0" w:rsidP="009137E0"/>
    <w:p w14:paraId="0EF56A38" w14:textId="77777777" w:rsidR="009137E0" w:rsidRPr="002C4244" w:rsidRDefault="009137E0" w:rsidP="009137E0">
      <w:r w:rsidRPr="002C4244">
        <w:t>Puede consultarse directamente en</w:t>
      </w:r>
    </w:p>
    <w:p w14:paraId="77F89AA4" w14:textId="77777777" w:rsidR="009137E0" w:rsidRPr="002C4244" w:rsidRDefault="009137E0" w:rsidP="009137E0"/>
    <w:p w14:paraId="17517D8B" w14:textId="77777777" w:rsidR="009137E0" w:rsidRPr="008033A5" w:rsidRDefault="00A42107" w:rsidP="009137E0">
      <w:pPr>
        <w:rPr>
          <w:color w:val="000000" w:themeColor="text1"/>
        </w:rPr>
      </w:pPr>
      <w:hyperlink r:id="rId11" w:history="1">
        <w:r w:rsidR="009137E0" w:rsidRPr="008033A5">
          <w:rPr>
            <w:color w:val="000000" w:themeColor="text1"/>
          </w:rPr>
          <w:t>https://docs.google.com/document/d/1uU1T2QI4TecVXOxm6H2Yc0mX7KYPJFziPX3F92NgSU8/edit</w:t>
        </w:r>
      </w:hyperlink>
    </w:p>
    <w:p w14:paraId="2C49E9A1" w14:textId="77777777" w:rsidR="009137E0" w:rsidRPr="008033A5" w:rsidRDefault="009137E0" w:rsidP="009137E0">
      <w:pPr>
        <w:rPr>
          <w:color w:val="000000" w:themeColor="text1"/>
        </w:rPr>
      </w:pPr>
    </w:p>
    <w:p w14:paraId="2A949ECE" w14:textId="12C3F4CE" w:rsidR="009137E0" w:rsidRPr="002C4244" w:rsidRDefault="008033A5" w:rsidP="009137E0">
      <w:r>
        <w:t>En el documento, además de las cuestiones,</w:t>
      </w:r>
      <w:r w:rsidR="009137E0" w:rsidRPr="002C4244">
        <w:t xml:space="preserve"> se incluyen la presentación</w:t>
      </w:r>
      <w:r w:rsidR="00E94AFD" w:rsidRPr="002C4244">
        <w:t xml:space="preserve"> y el objetivo del estudio, el</w:t>
      </w:r>
      <w:r w:rsidR="009137E0" w:rsidRPr="002C4244">
        <w:t xml:space="preserve"> modo de responder en las valoraciones y</w:t>
      </w:r>
      <w:r w:rsidR="005E1917" w:rsidRPr="002C4244">
        <w:t xml:space="preserve"> la realización de</w:t>
      </w:r>
      <w:r w:rsidR="009137E0" w:rsidRPr="002C4244">
        <w:t xml:space="preserve"> los comentarios. Se incluyen también, como notas al pie,</w:t>
      </w:r>
      <w:r w:rsidR="00C747D8">
        <w:t xml:space="preserve"> </w:t>
      </w:r>
      <w:r w:rsidR="009137E0" w:rsidRPr="002C4244">
        <w:t>definiciones, acotaciones y ejemplos de ayuda.</w:t>
      </w:r>
    </w:p>
    <w:p w14:paraId="229D0C18" w14:textId="77777777" w:rsidR="009137E0" w:rsidRPr="002C4244" w:rsidRDefault="009137E0" w:rsidP="009137E0"/>
    <w:p w14:paraId="7DE5C497" w14:textId="77777777" w:rsidR="009137E0" w:rsidRPr="002C4244" w:rsidRDefault="009137E0" w:rsidP="009137E0"/>
    <w:p w14:paraId="72B3C6D2" w14:textId="77777777" w:rsidR="009137E0" w:rsidRPr="002C4244" w:rsidRDefault="009137E0" w:rsidP="009137E0"/>
    <w:p w14:paraId="75DF4AC4" w14:textId="77777777" w:rsidR="009137E0" w:rsidRPr="002C4244" w:rsidRDefault="009137E0" w:rsidP="009137E0">
      <w:pPr>
        <w:numPr>
          <w:ilvl w:val="0"/>
          <w:numId w:val="18"/>
        </w:numPr>
        <w:ind w:left="36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C4244">
        <w:rPr>
          <w:rFonts w:ascii="Calibri" w:hAnsi="Calibri" w:cs="Calibri"/>
          <w:b/>
          <w:bCs/>
          <w:color w:val="000000"/>
          <w:sz w:val="22"/>
          <w:szCs w:val="22"/>
        </w:rPr>
        <w:t>QÜESTIONS PRÈVIES</w:t>
      </w:r>
    </w:p>
    <w:p w14:paraId="12443160" w14:textId="77777777" w:rsidR="009137E0" w:rsidRPr="002C4244" w:rsidRDefault="009137E0" w:rsidP="009137E0">
      <w:pPr>
        <w:spacing w:after="240"/>
      </w:pPr>
    </w:p>
    <w:p w14:paraId="5D26E034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Beneficis del consens en la nosologia i la terminologia en ús</w:t>
      </w:r>
    </w:p>
    <w:p w14:paraId="37740ACD" w14:textId="45EC7989" w:rsidR="009137E0" w:rsidRPr="00CF2C43" w:rsidRDefault="009137E0" w:rsidP="009137E0">
      <w:pPr>
        <w:spacing w:after="1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C4244">
        <w:rPr>
          <w:rFonts w:ascii="Calibri" w:hAnsi="Calibri" w:cs="Calibri"/>
          <w:color w:val="000000"/>
          <w:sz w:val="22"/>
          <w:szCs w:val="22"/>
        </w:rPr>
        <w:t xml:space="preserve">1.1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Arribar a un consens,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amb criteris comuns, sobre la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nosologia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i la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terminologia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dels Trastorns del llenguatge (TL) seria molt beneficiós, tant per als infants i joves que els pateixen, com per a les famílies, els professionals i els investigadors</w:t>
      </w:r>
    </w:p>
    <w:p w14:paraId="79CF2120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Existència del Trastorn del Llenguatge com a tal</w:t>
      </w:r>
    </w:p>
    <w:p w14:paraId="1A36D3D8" w14:textId="2BE724A6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1.2 El terme de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Trastorn del Llenguatge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(TL), entès de manera genèrica com fa el DSM-V, és “una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dificultat greu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, que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persisteix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durant la infància, i que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perjudica l’adaptació social i el seguiment escolar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”.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La qüestió que es planteja </w:t>
      </w:r>
      <w:r w:rsidR="00360A3B">
        <w:rPr>
          <w:rFonts w:ascii="Calibri" w:hAnsi="Calibri" w:cs="Calibri"/>
          <w:i/>
          <w:iCs/>
          <w:color w:val="000000"/>
          <w:sz w:val="22"/>
          <w:szCs w:val="22"/>
        </w:rPr>
        <w:t>é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s la de si aquesta caracterització és prou clara i precisa per a ser emprada com a entitat independent en els diferents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contextos clínics i escolars i de recerca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per</w:t>
      </w:r>
      <w:r w:rsidR="00CF2C43">
        <w:rPr>
          <w:rFonts w:ascii="Calibri" w:hAnsi="Calibri" w:cs="Calibri"/>
          <w:i/>
          <w:iCs/>
          <w:color w:val="000000"/>
          <w:sz w:val="22"/>
          <w:szCs w:val="22"/>
        </w:rPr>
        <w:t xml:space="preserve"> tal poder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considerar que és una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entitat nosològica independent.</w:t>
      </w:r>
      <w:r w:rsidRPr="002C4244">
        <w:rPr>
          <w:rFonts w:ascii="Calibri" w:hAnsi="Calibri" w:cs="Calibri"/>
          <w:i/>
          <w:iCs/>
          <w:color w:val="000000"/>
          <w:sz w:val="13"/>
          <w:szCs w:val="13"/>
          <w:vertAlign w:val="superscript"/>
        </w:rPr>
        <w:t> </w:t>
      </w:r>
    </w:p>
    <w:p w14:paraId="4469CBD4" w14:textId="32FF5F4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1.3 Els criteris mencionats en l’anterior qüestió (1.2) són suficients per</w:t>
      </w:r>
      <w:r w:rsidRPr="002C424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identificar tots els infants amb dificultats greus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de l’aprenentatge del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llenguatge, fer-los-hi un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diagnòstic (o valoració), per tal que pugui accedir a la corresponent ajuda de necessitats específiques. </w:t>
      </w:r>
    </w:p>
    <w:p w14:paraId="29BD4CFF" w14:textId="611FD835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1.4 El procés d’identificació dels símptomes i el resultat diagnòstic que reben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usualment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els infants amb TL en el meu entorn és satisfactori</w:t>
      </w:r>
    </w:p>
    <w:p w14:paraId="5E3FA954" w14:textId="77777777" w:rsidR="009137E0" w:rsidRPr="002C4244" w:rsidRDefault="009137E0" w:rsidP="009137E0"/>
    <w:p w14:paraId="4B4FDB6C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Diversitat terminològica</w:t>
      </w:r>
    </w:p>
    <w:p w14:paraId="51A1AB41" w14:textId="281E9EDF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1.5 Els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termes per referir-se als T</w:t>
      </w:r>
      <w:r w:rsidR="00CF2C43">
        <w:rPr>
          <w:rFonts w:ascii="Calibri" w:hAnsi="Calibri" w:cs="Calibri"/>
          <w:i/>
          <w:iCs/>
          <w:color w:val="000000"/>
          <w:sz w:val="22"/>
          <w:szCs w:val="22"/>
        </w:rPr>
        <w:t>D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L actualment en ús són diversos.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Valora</w:t>
      </w:r>
      <w:r w:rsidR="00360A3B">
        <w:rPr>
          <w:rFonts w:ascii="Calibri" w:hAnsi="Calibri" w:cs="Calibri"/>
          <w:i/>
          <w:iCs/>
          <w:color w:val="000000"/>
          <w:sz w:val="22"/>
          <w:szCs w:val="22"/>
        </w:rPr>
        <w:t>’n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cada un i comenta’l: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br/>
      </w:r>
    </w:p>
    <w:p w14:paraId="4233C178" w14:textId="25220932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color w:val="000000"/>
          <w:sz w:val="22"/>
          <w:szCs w:val="22"/>
        </w:rPr>
        <w:t>- Trastorn específic del llenguatge (TEL)</w:t>
      </w:r>
    </w:p>
    <w:p w14:paraId="5691DECD" w14:textId="48BA10C4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color w:val="000000"/>
          <w:sz w:val="22"/>
          <w:szCs w:val="22"/>
        </w:rPr>
        <w:t>- Trastorn del llenguatge (TL)</w:t>
      </w:r>
    </w:p>
    <w:p w14:paraId="351D3FE1" w14:textId="4BBD4A8F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color w:val="000000"/>
          <w:sz w:val="22"/>
          <w:szCs w:val="22"/>
        </w:rPr>
        <w:t>- Trastorn del Desenvolupament del Llenguatge (TdDL)</w:t>
      </w:r>
    </w:p>
    <w:p w14:paraId="3E2879AC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color w:val="000000"/>
          <w:sz w:val="22"/>
          <w:szCs w:val="22"/>
        </w:rPr>
        <w:t>- Trastorn primari del llenguatge (TPL)</w:t>
      </w:r>
    </w:p>
    <w:p w14:paraId="3DA2962F" w14:textId="77777777" w:rsidR="00CF2C43" w:rsidRDefault="009137E0" w:rsidP="009137E0">
      <w:p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2C4244">
        <w:rPr>
          <w:rFonts w:ascii="Calibri" w:hAnsi="Calibri" w:cs="Calibri"/>
          <w:color w:val="000000"/>
          <w:sz w:val="22"/>
          <w:szCs w:val="22"/>
        </w:rPr>
        <w:t>- Disfàsia</w:t>
      </w:r>
    </w:p>
    <w:p w14:paraId="31D09AA5" w14:textId="7C5865CF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color w:val="000000"/>
          <w:sz w:val="22"/>
          <w:szCs w:val="22"/>
        </w:rPr>
        <w:lastRenderedPageBreak/>
        <w:t>- Altres:</w:t>
      </w:r>
    </w:p>
    <w:p w14:paraId="7F86EF31" w14:textId="77777777" w:rsidR="0009426D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1.6 Les valoracions i comentaris </w:t>
      </w:r>
      <w:r w:rsidR="00CF2C43">
        <w:rPr>
          <w:rFonts w:ascii="Calibri" w:hAnsi="Calibri" w:cs="Calibri"/>
          <w:i/>
          <w:iCs/>
          <w:color w:val="000000"/>
          <w:sz w:val="22"/>
          <w:szCs w:val="22"/>
        </w:rPr>
        <w:t xml:space="preserve">fets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dels termes anteriors (1.5) són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compartits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per la majoria de professionals del meu entorn</w:t>
      </w:r>
    </w:p>
    <w:p w14:paraId="0E4C7048" w14:textId="53585A24" w:rsidR="009137E0" w:rsidRPr="002C4244" w:rsidRDefault="009137E0" w:rsidP="009137E0">
      <w:pPr>
        <w:spacing w:after="160"/>
        <w:jc w:val="both"/>
      </w:pPr>
      <w:r w:rsidRPr="002C4244">
        <w:br/>
      </w:r>
    </w:p>
    <w:p w14:paraId="257C3C9F" w14:textId="77777777" w:rsidR="009137E0" w:rsidRPr="002C4244" w:rsidRDefault="009137E0" w:rsidP="009137E0">
      <w:pPr>
        <w:spacing w:after="1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C4244">
        <w:rPr>
          <w:rFonts w:ascii="Calibri" w:hAnsi="Calibri" w:cs="Calibri"/>
          <w:b/>
          <w:bCs/>
          <w:color w:val="000000"/>
          <w:sz w:val="22"/>
          <w:szCs w:val="22"/>
        </w:rPr>
        <w:t>2. NOSOLOGIA </w:t>
      </w:r>
    </w:p>
    <w:p w14:paraId="2A2E57A9" w14:textId="77777777" w:rsidR="009137E0" w:rsidRPr="002C4244" w:rsidRDefault="009137E0" w:rsidP="009137E0"/>
    <w:p w14:paraId="4EE5B534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Condicions per clarificar la nosologia</w:t>
      </w:r>
    </w:p>
    <w:p w14:paraId="5D655851" w14:textId="3F01BF7F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2.1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El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del Llenguatge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passa massa desapercebut i hauria de ser identificat entorn </w:t>
      </w:r>
      <w:r w:rsidR="00360A3B">
        <w:rPr>
          <w:rFonts w:ascii="Calibri" w:hAnsi="Calibri" w:cs="Calibri"/>
          <w:i/>
          <w:iCs/>
          <w:color w:val="000000"/>
          <w:sz w:val="22"/>
          <w:szCs w:val="22"/>
        </w:rPr>
        <w:t>de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ls 3 anys.</w:t>
      </w:r>
    </w:p>
    <w:p w14:paraId="13F9FFC2" w14:textId="74B45ACF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2.2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La informació i les eines que es tenen a l’abast per valorar, identificar i tractar els Trastorns del Llenguatge (TL) són suficients per fonamentar i guiar la intervenció logopèdica.</w:t>
      </w:r>
    </w:p>
    <w:p w14:paraId="78D57144" w14:textId="77777777" w:rsidR="009137E0" w:rsidRPr="002C4244" w:rsidRDefault="009137E0" w:rsidP="009137E0"/>
    <w:p w14:paraId="2F673BF5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Diferències en les dificultats per identificar els trastorns i els retards del llenguatge</w:t>
      </w:r>
    </w:p>
    <w:p w14:paraId="26740264" w14:textId="53C26AAE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2.3 El processament del llenguatge és complex i, al menys fins els 4 anys d’edat, poden haver-hi dificultats de desenvolupament associades, que dificulten la distinció entre la simptomatologia biomèdica i la simptomatologia funcional. Caldria avaluar totes les competències de suport per tal que les dificultats específiques del llenguatge es posin de relleu</w:t>
      </w:r>
      <w:r w:rsidR="00075ED6">
        <w:rPr>
          <w:rFonts w:ascii="Calibri" w:hAnsi="Calibri" w:cs="Calibri"/>
          <w:i/>
          <w:iCs/>
          <w:color w:val="000000"/>
          <w:sz w:val="22"/>
          <w:szCs w:val="22"/>
        </w:rPr>
        <w:t xml:space="preserve"> entre les altres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4B8C8EBE" w14:textId="6E8BF744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2.4 En la diagnosi dels problemes del llenguatge als 4 anys és difícil distingir entre els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problemes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funcionals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estructurals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. Per això, és recomanable un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seguiment temporal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abans de decidir un diagnòstic.</w:t>
      </w:r>
    </w:p>
    <w:p w14:paraId="6A4CF5BF" w14:textId="4CD9A22A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2.5 El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Retard del Llenguatge (i no el Trastorn)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es caracteritza per la presència d’habilitats amb mancances notables de nivell. Ara bé, en el moment d’avaluació, no es considera probable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una repercussió amb dificultats funcionals greus i persistents en l’adaptació social i escolar.</w:t>
      </w:r>
    </w:p>
    <w:p w14:paraId="257CA1B7" w14:textId="77777777" w:rsidR="009137E0" w:rsidRPr="002C4244" w:rsidRDefault="009137E0" w:rsidP="009137E0"/>
    <w:p w14:paraId="3954B097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Nosologia específica per clarificar els trets constitutius del Trastorn del Llenguatge (TL)</w:t>
      </w:r>
    </w:p>
    <w:p w14:paraId="010752CC" w14:textId="050BAF98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2.6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El T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rastorn del Llenguatge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és considerat com a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funcionalment i estructuralment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molt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greu</w:t>
      </w:r>
    </w:p>
    <w:p w14:paraId="11000998" w14:textId="4D1ED1A5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2.7 Un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del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Llenguatge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es caracteritza per ser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persistent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consolidat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, malgrat es vagi assolint una certa millora social i fins i tot escolar.</w:t>
      </w:r>
    </w:p>
    <w:p w14:paraId="497CC983" w14:textId="7803F156" w:rsidR="009137E0" w:rsidRPr="002C4244" w:rsidRDefault="00075ED6" w:rsidP="009137E0">
      <w:pPr>
        <w:spacing w:after="160"/>
        <w:jc w:val="both"/>
      </w:pPr>
      <w:r w:rsidRPr="00075ED6">
        <w:rPr>
          <w:rFonts w:ascii="Calibri" w:hAnsi="Calibri" w:cs="Calibri"/>
          <w:i/>
          <w:iCs/>
          <w:color w:val="000000"/>
          <w:sz w:val="22"/>
          <w:szCs w:val="22"/>
        </w:rPr>
        <w:t>2.8 Les dificultats en el Trastorn del Llenguatge són prou greus com per posar en risc, dins les pròpies circumstàncies de l’infant, una adaptació personal, social i escolar acceptable</w:t>
      </w:r>
    </w:p>
    <w:p w14:paraId="534B7BE5" w14:textId="77777777" w:rsidR="009137E0" w:rsidRPr="002C4244" w:rsidRDefault="009137E0" w:rsidP="009137E0"/>
    <w:p w14:paraId="11DCE57F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Precisions i limitacions en els diagnòstics</w:t>
      </w:r>
    </w:p>
    <w:p w14:paraId="625D02CA" w14:textId="1BB18B9F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2.9 Les limitacions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biomèdiques diferenciadores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que no tenen una relació causal amb el TL no formen part de la caracterització del mateix.</w:t>
      </w:r>
    </w:p>
    <w:p w14:paraId="2540EE6E" w14:textId="5C82E66C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2.10 Les limitacions que provenen de causes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biomèdiques diferenciadores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no formen part de la caracterització del TL, però poden presentar-se de forma co</w:t>
      </w:r>
      <w:r w:rsidR="00075ED6">
        <w:rPr>
          <w:rFonts w:ascii="Calibri" w:hAnsi="Calibri" w:cs="Calibri"/>
          <w:i/>
          <w:iCs/>
          <w:color w:val="000000"/>
          <w:sz w:val="22"/>
          <w:szCs w:val="22"/>
        </w:rPr>
        <w:t>n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current tal com es pot veure en comparar l’infant amb altres que presenten característiques biom</w:t>
      </w:r>
      <w:r w:rsidR="00075ED6">
        <w:rPr>
          <w:rFonts w:ascii="Calibri" w:hAnsi="Calibri" w:cs="Calibri"/>
          <w:i/>
          <w:iCs/>
          <w:color w:val="000000"/>
          <w:sz w:val="22"/>
          <w:szCs w:val="22"/>
        </w:rPr>
        <w:t>è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diques semblants. La clínica ens indica que aquests tipus de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co</w:t>
      </w:r>
      <w:r w:rsidR="00075ED6">
        <w:rPr>
          <w:rFonts w:ascii="Calibri" w:hAnsi="Calibri" w:cs="Calibri"/>
          <w:i/>
          <w:iCs/>
          <w:color w:val="000000"/>
          <w:sz w:val="22"/>
          <w:szCs w:val="22"/>
        </w:rPr>
        <w:t>n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currències biomèdiques greus amb TL són poc freqüents</w:t>
      </w:r>
    </w:p>
    <w:p w14:paraId="4707ACC8" w14:textId="25DC9630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2.11 La presència de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problemes co</w:t>
      </w:r>
      <w:r w:rsidR="00360A3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currents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s’ha de tenir en compte i cal assenyalar-los en el diagnòstic, però no formen part de la caracterització nosològica pròpia del TL, malgrat siguin freqüents.</w:t>
      </w:r>
    </w:p>
    <w:p w14:paraId="18A98BAC" w14:textId="5102DF76" w:rsidR="00075ED6" w:rsidRDefault="00075ED6" w:rsidP="009137E0">
      <w:pPr>
        <w:shd w:val="clear" w:color="auto" w:fill="FFFFFF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75ED6">
        <w:rPr>
          <w:rFonts w:ascii="Calibri" w:hAnsi="Calibri" w:cs="Calibri"/>
          <w:i/>
          <w:iCs/>
          <w:color w:val="000000"/>
          <w:sz w:val="22"/>
          <w:szCs w:val="22"/>
        </w:rPr>
        <w:t>2.12 Els factors de risc*,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075ED6">
        <w:rPr>
          <w:rFonts w:ascii="Calibri" w:hAnsi="Calibri" w:cs="Calibri"/>
          <w:i/>
          <w:iCs/>
          <w:color w:val="000000"/>
          <w:sz w:val="22"/>
          <w:szCs w:val="22"/>
        </w:rPr>
        <w:t>pel fet de ser circumstancials de cada infant, i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075ED6">
        <w:rPr>
          <w:rFonts w:ascii="Calibri" w:hAnsi="Calibri" w:cs="Calibri"/>
          <w:i/>
          <w:iCs/>
          <w:color w:val="000000"/>
          <w:sz w:val="22"/>
          <w:szCs w:val="22"/>
        </w:rPr>
        <w:t>no ser causals, no formen part del nucli nosològic del Trastorn del Llenguatge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6B912A87" w14:textId="77777777" w:rsidR="00075ED6" w:rsidRDefault="00075ED6" w:rsidP="009137E0">
      <w:pPr>
        <w:shd w:val="clear" w:color="auto" w:fill="FFFFFF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57DAB19" w14:textId="74E0D863" w:rsidR="009137E0" w:rsidRPr="002C4244" w:rsidRDefault="009137E0" w:rsidP="009137E0">
      <w:pPr>
        <w:shd w:val="clear" w:color="auto" w:fill="FFFFFF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2.13 Si es considerés d’interès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la nosologia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descrita en les qüestions anteriors (i</w:t>
      </w:r>
      <w:r w:rsidR="00075ED6">
        <w:rPr>
          <w:rFonts w:ascii="Calibri" w:hAnsi="Calibri" w:cs="Calibri"/>
          <w:i/>
          <w:iCs/>
          <w:color w:val="000000"/>
          <w:sz w:val="22"/>
          <w:szCs w:val="22"/>
        </w:rPr>
        <w:t xml:space="preserve"> en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la nota 18), els infants amb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problemes greus en el desenvolupament del llenguatge (TDL) es podrien situar en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tres grans agrupacions nosològiques:</w:t>
      </w:r>
    </w:p>
    <w:p w14:paraId="1119AAA9" w14:textId="00D6264E" w:rsidR="009137E0" w:rsidRPr="002C4244" w:rsidRDefault="009137E0" w:rsidP="009137E0">
      <w:pPr>
        <w:shd w:val="clear" w:color="auto" w:fill="FFFFFF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Primera: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Diagnòstic biomèdic greu amb Trastorn del Desenvolupament del Llenguatge associat (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X biomèdic + TDL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per exemple “Sord profund amb TDL”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)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20B4E14D" w14:textId="78CC27E3" w:rsidR="009137E0" w:rsidRPr="002C4244" w:rsidRDefault="009137E0" w:rsidP="009137E0">
      <w:pPr>
        <w:shd w:val="clear" w:color="auto" w:fill="FFFFFF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Segona: Trastorn del Desenvolupament del Llenguatge amb problemes co</w:t>
      </w:r>
      <w:r w:rsidR="00075ED6">
        <w:rPr>
          <w:rFonts w:ascii="Calibri" w:hAnsi="Calibri" w:cs="Calibri"/>
          <w:i/>
          <w:iCs/>
          <w:color w:val="000000"/>
          <w:sz w:val="22"/>
          <w:szCs w:val="22"/>
        </w:rPr>
        <w:t>n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currents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TDL + </w:t>
      </w:r>
      <w:r w:rsidR="00360A3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X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biomèdic lleuger, o funcional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per exemple TDL amb otitis recurrents / amb TDAH)</w:t>
      </w:r>
    </w:p>
    <w:p w14:paraId="5633FA86" w14:textId="1E13F9E0" w:rsidR="009137E0" w:rsidRPr="002C4244" w:rsidRDefault="009137E0" w:rsidP="009137E0">
      <w:pPr>
        <w:shd w:val="clear" w:color="auto" w:fill="FFFFFF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Tercera: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el problema específic del llenguatge o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(específic) del Desenvolupament del Llenguatge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(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TDL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). </w:t>
      </w:r>
    </w:p>
    <w:p w14:paraId="231EBF52" w14:textId="77777777" w:rsidR="009137E0" w:rsidRPr="002C4244" w:rsidRDefault="009137E0" w:rsidP="009137E0">
      <w:pPr>
        <w:shd w:val="clear" w:color="auto" w:fill="FFFFFF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D9E820E" w14:textId="52D6009F" w:rsidR="009137E0" w:rsidRPr="002C4244" w:rsidRDefault="009137E0" w:rsidP="009137E0">
      <w:pPr>
        <w:shd w:val="clear" w:color="auto" w:fill="FFFFFF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2.14 Els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factors de risc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pel fet de ser circumstancials de cada infant, i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nos ser causals,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no formen part del nucli nosològic del Trastorn del Desenvolupament del Llenguatge. Ara bé, per la seva importància, cal tenir-los sempre en compte en la orientació i en la intervenció.</w:t>
      </w:r>
    </w:p>
    <w:p w14:paraId="74F0480C" w14:textId="77777777" w:rsidR="009137E0" w:rsidRPr="002C4244" w:rsidRDefault="009137E0" w:rsidP="009137E0">
      <w:pPr>
        <w:spacing w:after="1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CFA6853" w14:textId="09E0337A" w:rsidR="009137E0" w:rsidRPr="002C4244" w:rsidRDefault="009137E0" w:rsidP="0009426D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2.15 Els símptomes, tant funcionals com estructurals, dels TDL van canviant amb l’edat des de la infància a l’adolescència i la maduresa. Aquests canvis son d’interès per guiar la intervenció i aprofundir en la nosologia.</w:t>
      </w:r>
    </w:p>
    <w:p w14:paraId="7D80F763" w14:textId="79237BD3" w:rsidR="009137E0" w:rsidRDefault="009137E0" w:rsidP="009137E0">
      <w:pPr>
        <w:spacing w:after="1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5249CF" w14:textId="77777777" w:rsidR="0009426D" w:rsidRPr="002C4244" w:rsidRDefault="0009426D" w:rsidP="009137E0">
      <w:pPr>
        <w:spacing w:after="1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9F9CDB" w14:textId="77777777" w:rsidR="009137E0" w:rsidRPr="002C4244" w:rsidRDefault="009137E0" w:rsidP="009137E0">
      <w:pPr>
        <w:spacing w:after="1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C4244">
        <w:rPr>
          <w:rFonts w:ascii="Calibri" w:hAnsi="Calibri" w:cs="Calibri"/>
          <w:b/>
          <w:bCs/>
          <w:color w:val="000000"/>
          <w:sz w:val="22"/>
          <w:szCs w:val="22"/>
        </w:rPr>
        <w:t>3. TERMINOLOGIA </w:t>
      </w:r>
    </w:p>
    <w:p w14:paraId="21515C32" w14:textId="77777777" w:rsidR="009137E0" w:rsidRPr="002C4244" w:rsidRDefault="009137E0" w:rsidP="009137E0"/>
    <w:p w14:paraId="494AAD73" w14:textId="1C470BF5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color w:val="000000"/>
          <w:sz w:val="22"/>
          <w:szCs w:val="22"/>
        </w:rPr>
        <w:t>3.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1 L’adjectivació d’”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específic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”</w:t>
      </w:r>
      <w:r w:rsidRPr="002C4244">
        <w:rPr>
          <w:rFonts w:ascii="Calibri" w:hAnsi="Calibri" w:cs="Calibri"/>
          <w:i/>
          <w:iCs/>
          <w:color w:val="000000"/>
          <w:sz w:val="13"/>
          <w:szCs w:val="13"/>
          <w:vertAlign w:val="superscript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cal que es mantingui en la terminologia del diagnòstic del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del</w:t>
      </w:r>
      <w:r w:rsidR="00C747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Llenguatge (TEL)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. </w:t>
      </w:r>
    </w:p>
    <w:p w14:paraId="50ECF2F6" w14:textId="4550EAFE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3.2 L’adjectivació d’”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específic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” es pot mantenir opcionalment,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però no cal que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sigui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necessària en la terminologia del diagnòstic del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del Llenguatge (TL)</w:t>
      </w:r>
      <w:r w:rsidRPr="002C4244">
        <w:rPr>
          <w:rFonts w:ascii="Calibri" w:hAnsi="Calibri" w:cs="Calibri"/>
          <w:i/>
          <w:iCs/>
          <w:color w:val="000000"/>
          <w:sz w:val="13"/>
          <w:szCs w:val="13"/>
          <w:vertAlign w:val="superscript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2D31AD92" w14:textId="3744CDAC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3.3 L’adjectivació d’”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específic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” no es necessària i no cal incloure-la en la terminologia, seguint la tendència internacional actual. D’aquesta manera, es poden identificar amb més claredat les propietats nosològiques del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del Desenvolupament del Llenguatge (TDL)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65DC8A96" w14:textId="2AB5CD20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3.4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La terminologia de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“Trastorn del desenvolupament del llenguatge” (TDL)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es considera adequada fins als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7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 xml:space="preserve"> - 8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anys. Si es consolidés el trastorn després de l’aprenentatge inicial, es consideraria com a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“Trastorn del llenguatge” (TL)</w:t>
      </w:r>
      <w:r w:rsidRPr="002C4244">
        <w:rPr>
          <w:rFonts w:ascii="Calibri" w:hAnsi="Calibri" w:cs="Calibri"/>
          <w:i/>
          <w:iCs/>
          <w:color w:val="000000"/>
          <w:sz w:val="13"/>
          <w:szCs w:val="13"/>
          <w:vertAlign w:val="superscript"/>
        </w:rPr>
        <w:t>.</w:t>
      </w:r>
    </w:p>
    <w:p w14:paraId="58BD8072" w14:textId="432DCC20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3.5 Les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subcategoritzacions</w:t>
      </w:r>
      <w:r w:rsidR="00C747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dins dels Trastorns del Llenguatge son útils en la descripció dels perfils que mostren els infants, però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no cal que arribin a formar part del terme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del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 xml:space="preserve"> t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rastorn que es diagnostica.</w:t>
      </w:r>
      <w:r w:rsidRPr="002C4244">
        <w:rPr>
          <w:rFonts w:ascii="Calibri" w:hAnsi="Calibri" w:cs="Calibri"/>
          <w:color w:val="000000"/>
          <w:sz w:val="13"/>
          <w:szCs w:val="13"/>
          <w:vertAlign w:val="superscript"/>
        </w:rPr>
        <w:t> </w:t>
      </w:r>
    </w:p>
    <w:p w14:paraId="78F57B17" w14:textId="77777777" w:rsidR="009137E0" w:rsidRPr="002C4244" w:rsidRDefault="009137E0" w:rsidP="009137E0"/>
    <w:p w14:paraId="7C800DD9" w14:textId="77777777" w:rsidR="009137E0" w:rsidRPr="002C4244" w:rsidRDefault="009137E0" w:rsidP="009137E0">
      <w:pPr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3.6 El terme de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de la Fonologia (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o de la Parla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)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té contingut nosològic i es d’interès que es mantingui independent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del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del Llenguatge</w:t>
      </w:r>
    </w:p>
    <w:p w14:paraId="57A03EA2" w14:textId="77777777" w:rsidR="009137E0" w:rsidRPr="002C4244" w:rsidRDefault="009137E0" w:rsidP="009137E0"/>
    <w:p w14:paraId="398FAFFB" w14:textId="77777777" w:rsidR="009137E0" w:rsidRPr="002C4244" w:rsidRDefault="009137E0" w:rsidP="009137E0">
      <w:pPr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3.7 El terme de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Trastorn Pragmàtic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té contingut nosològic i és d’interès que es mantingui independent del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Trastorn del Llenguatge</w:t>
      </w:r>
    </w:p>
    <w:p w14:paraId="585F15EF" w14:textId="77777777" w:rsidR="009137E0" w:rsidRPr="002C4244" w:rsidRDefault="009137E0" w:rsidP="009137E0"/>
    <w:p w14:paraId="52D9654A" w14:textId="179E73B5" w:rsidR="009137E0" w:rsidRPr="002C4244" w:rsidRDefault="009137E0" w:rsidP="009137E0">
      <w:pPr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3.8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Les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dificultats pragmàtiques (comunicatives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o d’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ús)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que puguin presentar els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infants amb un TEL o TDL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no mereixen un diagnòstic independent. Les que corresponen als infants amb un TEA han de ser considerades, segons la gravetat, com un trastorn principal (biomèdic) o com a co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>n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current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Pr="002C4244">
        <w:rPr>
          <w:rFonts w:ascii="Calibri" w:hAnsi="Calibri" w:cs="Calibri"/>
          <w:color w:val="000000"/>
          <w:sz w:val="13"/>
          <w:szCs w:val="13"/>
          <w:vertAlign w:val="superscript"/>
        </w:rPr>
        <w:t xml:space="preserve"> .</w:t>
      </w:r>
    </w:p>
    <w:p w14:paraId="790F9E32" w14:textId="2CE6634A" w:rsidR="009137E0" w:rsidRPr="002C4244" w:rsidRDefault="009137E0" w:rsidP="009137E0">
      <w:pPr>
        <w:spacing w:after="240"/>
      </w:pPr>
    </w:p>
    <w:p w14:paraId="6734EDF5" w14:textId="77777777" w:rsidR="009137E0" w:rsidRPr="002C4244" w:rsidRDefault="009137E0" w:rsidP="009137E0">
      <w:pPr>
        <w:spacing w:after="240"/>
      </w:pPr>
    </w:p>
    <w:p w14:paraId="7499AB57" w14:textId="77777777" w:rsidR="009137E0" w:rsidRPr="002C4244" w:rsidRDefault="009137E0" w:rsidP="009137E0">
      <w:pPr>
        <w:spacing w:after="1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C4244">
        <w:rPr>
          <w:rFonts w:ascii="Calibri" w:hAnsi="Calibri" w:cs="Calibri"/>
          <w:b/>
          <w:bCs/>
          <w:color w:val="000000"/>
          <w:sz w:val="22"/>
          <w:szCs w:val="22"/>
        </w:rPr>
        <w:t>4. GESTIÓ DE LES AVALUACIONS DELS INFANTS</w:t>
      </w:r>
    </w:p>
    <w:p w14:paraId="464F128E" w14:textId="77777777" w:rsidR="009137E0" w:rsidRPr="002C4244" w:rsidRDefault="009137E0" w:rsidP="009137E0"/>
    <w:p w14:paraId="6287A56E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Qüestions sobre l’avaluació diagnòstica</w:t>
      </w:r>
    </w:p>
    <w:p w14:paraId="08E2509F" w14:textId="6879A7DB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4.1 L’avaluació,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la orientació i la programació de la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intervenció s’ha de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centrar en l’infant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i les seves circumstàncies, d’acord amb les dades disponibles, malgrat encara no hi hagi un diagnòstic clar.</w:t>
      </w:r>
    </w:p>
    <w:p w14:paraId="6D3B8733" w14:textId="77777777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4.2 Les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avaluacions, anamnesis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i els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informes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dels TEL o TDL dels infants, a mes del diagnòstic, haurien d’incorporar dades de diverses fonts que descriguin l’estat funcional i estructural de les habilitats psicolingüístiques dels infants. </w:t>
      </w:r>
    </w:p>
    <w:p w14:paraId="1FBEAC83" w14:textId="3E103A7D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4.3 En l’avaluació del TEL o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TDL a partir de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tests de llenguatge,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usualment s’empra la diferència d’1.25 desviacions estàndard respecte a la mitjana en dos o m</w:t>
      </w:r>
      <w:r w:rsidR="00360A3B">
        <w:rPr>
          <w:rFonts w:ascii="Calibri" w:hAnsi="Calibri" w:cs="Calibri"/>
          <w:i/>
          <w:iCs/>
          <w:color w:val="000000"/>
          <w:sz w:val="22"/>
          <w:szCs w:val="22"/>
        </w:rPr>
        <w:t>é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s subtest de la prova com a criteri diagnòstic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(Tomblin, 2008). 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>Aquest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nivell es considera útil i suficient? </w:t>
      </w:r>
    </w:p>
    <w:p w14:paraId="70ECD02A" w14:textId="5F5482FA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4.4 L’ús dels tests és recomanable perquè facilita la comparació clínica i la recerca, en especificar edats i nivells de competències on es situa cada infant.</w:t>
      </w:r>
    </w:p>
    <w:p w14:paraId="47FACC66" w14:textId="56A5DDC9" w:rsidR="009137E0" w:rsidRPr="002C4244" w:rsidRDefault="009137E0" w:rsidP="009137E0">
      <w:pPr>
        <w:spacing w:after="160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4.5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Seria bo consensuar una bateria de tests ben estandarditzada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per usar-la com a refer</w:t>
      </w:r>
      <w:r w:rsidR="00CF2C43">
        <w:rPr>
          <w:rFonts w:ascii="Calibri" w:hAnsi="Calibri" w:cs="Calibri"/>
          <w:i/>
          <w:iCs/>
          <w:color w:val="000000"/>
          <w:sz w:val="22"/>
          <w:szCs w:val="22"/>
        </w:rPr>
        <w:t>è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ncia per la identificació del trastorn del llenguatge.</w:t>
      </w:r>
    </w:p>
    <w:p w14:paraId="7B8049AE" w14:textId="77777777" w:rsidR="009137E0" w:rsidRPr="002C4244" w:rsidRDefault="009137E0" w:rsidP="009137E0">
      <w:pPr>
        <w:spacing w:after="160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4.6 La discrepància entre el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nivell no verbal i verbal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en els tests d’intel·ligència no sembla sostenir-se com indici inclusiu o exclusiu de diagnòstic per a les dificultats cognitives de suport al llenguatge (Rice, 2016; Bishop 2017). </w:t>
      </w:r>
    </w:p>
    <w:p w14:paraId="0397963F" w14:textId="3A4DE2F9" w:rsidR="009137E0" w:rsidRPr="002C4244" w:rsidRDefault="009137E0" w:rsidP="009137E0">
      <w:pPr>
        <w:spacing w:after="160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4.7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És poc usual trobar trastorns del llenguatge “purs” en infants abans dels 5 anys; en molts casos hi han dificultats comòrbides en àrees no lingüístiques. En aquests casos seria convenient una avaluació feta per un equip multidisciplinari.</w:t>
      </w:r>
    </w:p>
    <w:p w14:paraId="696B9014" w14:textId="53712A93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4.8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Quan un infant presenti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dificultats notòries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del llenguatge ha de ser valorat i orientat per un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logopeda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i examinat per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altres especialistes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en cas de sospita de comorbiditat i factors de risc. </w:t>
      </w:r>
    </w:p>
    <w:p w14:paraId="5E833B03" w14:textId="3463A6D5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4.9 Els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canvis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que fan els infants en el curs dels aprenentatges són importants. Per incorporar-los al diagnòstic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>. L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a orientació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 xml:space="preserve"> amb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les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reavaluacions comparatives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o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dinàmiques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amb perfils del llenguatge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són molt clarificadores (Paul, 2000). </w:t>
      </w:r>
    </w:p>
    <w:p w14:paraId="6B7BC392" w14:textId="44D42633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4.10 La </w:t>
      </w:r>
      <w:r w:rsidRPr="002C42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intervenció precoç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 xml:space="preserve"> ajuda a compensar un desenvolupament retardat i pot evitar el trastorn del llenguatge. Per aquest motiu es recomanaria que s’estengui temporalment als casos de risc o de dubte. </w:t>
      </w:r>
    </w:p>
    <w:p w14:paraId="060A9DF2" w14:textId="4F862BB3" w:rsidR="009137E0" w:rsidRPr="002C4244" w:rsidRDefault="009137E0" w:rsidP="009137E0">
      <w:pPr>
        <w:spacing w:after="240"/>
      </w:pPr>
      <w:r w:rsidRPr="002C4244">
        <w:br/>
      </w:r>
    </w:p>
    <w:p w14:paraId="605A0196" w14:textId="77777777" w:rsidR="009137E0" w:rsidRPr="002C4244" w:rsidRDefault="009137E0" w:rsidP="009137E0">
      <w:pPr>
        <w:spacing w:after="1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C4244">
        <w:rPr>
          <w:rFonts w:ascii="Calibri" w:hAnsi="Calibri" w:cs="Calibri"/>
          <w:b/>
          <w:bCs/>
          <w:color w:val="000000"/>
          <w:sz w:val="22"/>
          <w:szCs w:val="22"/>
        </w:rPr>
        <w:t>5. VALORACIÓ DE LES QÜESTIONS DE LA NOSOLOGIA I LA TERMINOLOGIA</w:t>
      </w:r>
    </w:p>
    <w:p w14:paraId="77FBCBED" w14:textId="77777777" w:rsidR="009137E0" w:rsidRPr="002C4244" w:rsidRDefault="009137E0" w:rsidP="009137E0"/>
    <w:p w14:paraId="11CB4DA5" w14:textId="0A5FCF0F" w:rsidR="009137E0" w:rsidRPr="002C4244" w:rsidRDefault="009137E0" w:rsidP="009137E0">
      <w:pPr>
        <w:spacing w:after="160"/>
        <w:jc w:val="both"/>
      </w:pP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5.1 El qüestionari sobre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nosologia i</w:t>
      </w:r>
      <w:r w:rsidR="00C747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terminologia que s’ha presentat per consensuar opinions mereix la següent valoració</w:t>
      </w:r>
      <w:r w:rsidR="00766671">
        <w:rPr>
          <w:rFonts w:ascii="Calibri" w:hAnsi="Calibri" w:cs="Calibri"/>
          <w:i/>
          <w:iCs/>
          <w:color w:val="000000"/>
          <w:sz w:val="22"/>
          <w:szCs w:val="22"/>
        </w:rPr>
        <w:t xml:space="preserve"> i comentari</w:t>
      </w:r>
      <w:r w:rsidRPr="002C4244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3F6E60DF" w14:textId="77777777" w:rsidR="009137E0" w:rsidRPr="002C4244" w:rsidRDefault="009137E0" w:rsidP="009137E0">
      <w:pPr>
        <w:spacing w:after="240"/>
      </w:pPr>
    </w:p>
    <w:p w14:paraId="0887321E" w14:textId="77777777" w:rsidR="009137E0" w:rsidRPr="002C4244" w:rsidRDefault="009137E0" w:rsidP="009137E0"/>
    <w:p w14:paraId="459A59FA" w14:textId="77777777" w:rsidR="009137E0" w:rsidRPr="002C4244" w:rsidRDefault="009137E0" w:rsidP="009137E0"/>
    <w:p w14:paraId="4D7AA4AF" w14:textId="77777777" w:rsidR="009137E0" w:rsidRPr="002C4244" w:rsidRDefault="009137E0" w:rsidP="009137E0">
      <w:bookmarkStart w:id="0" w:name="_GoBack"/>
      <w:bookmarkEnd w:id="0"/>
    </w:p>
    <w:sectPr w:rsidR="009137E0" w:rsidRPr="002C4244" w:rsidSect="006E64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1BFC" w14:textId="77777777" w:rsidR="00A42107" w:rsidRDefault="00A42107" w:rsidP="0079527A">
      <w:r>
        <w:separator/>
      </w:r>
    </w:p>
  </w:endnote>
  <w:endnote w:type="continuationSeparator" w:id="0">
    <w:p w14:paraId="4C3D199B" w14:textId="77777777" w:rsidR="00A42107" w:rsidRDefault="00A42107" w:rsidP="0079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97403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BEE18" w14:textId="5CD58790" w:rsidR="00B41E77" w:rsidRDefault="00B41E77" w:rsidP="004F1A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F9E62" w14:textId="77777777" w:rsidR="00B41E77" w:rsidRDefault="00B41E77" w:rsidP="008E20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77131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4A6A5" w14:textId="0E835B9C" w:rsidR="00B41E77" w:rsidRDefault="00B41E77" w:rsidP="004F1A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0107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2FF9D5B" w14:textId="77777777" w:rsidR="00B41E77" w:rsidRDefault="00B41E77" w:rsidP="008E20F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5CFA" w14:textId="77777777" w:rsidR="008A50A7" w:rsidRDefault="008A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9B1D8" w14:textId="77777777" w:rsidR="00A42107" w:rsidRDefault="00A42107" w:rsidP="0079527A">
      <w:r>
        <w:separator/>
      </w:r>
    </w:p>
  </w:footnote>
  <w:footnote w:type="continuationSeparator" w:id="0">
    <w:p w14:paraId="48EBB1ED" w14:textId="77777777" w:rsidR="00A42107" w:rsidRDefault="00A42107" w:rsidP="0079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CCF3" w14:textId="77777777" w:rsidR="008A50A7" w:rsidRDefault="008A5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F684" w14:textId="77777777" w:rsidR="008A50A7" w:rsidRDefault="008A5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22F0" w14:textId="77777777" w:rsidR="008A50A7" w:rsidRDefault="008A5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B76"/>
    <w:multiLevelType w:val="hybridMultilevel"/>
    <w:tmpl w:val="677676FA"/>
    <w:lvl w:ilvl="0" w:tplc="3EEA05DE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771CB9"/>
    <w:multiLevelType w:val="multilevel"/>
    <w:tmpl w:val="3B6C1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1677"/>
    <w:multiLevelType w:val="multilevel"/>
    <w:tmpl w:val="F3E67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A5818"/>
    <w:multiLevelType w:val="hybridMultilevel"/>
    <w:tmpl w:val="6E789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7CF"/>
    <w:multiLevelType w:val="multilevel"/>
    <w:tmpl w:val="9380F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5C54"/>
    <w:multiLevelType w:val="multilevel"/>
    <w:tmpl w:val="735E76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C7CC6"/>
    <w:multiLevelType w:val="hybridMultilevel"/>
    <w:tmpl w:val="89201806"/>
    <w:lvl w:ilvl="0" w:tplc="CF06C0F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9576B"/>
    <w:multiLevelType w:val="multilevel"/>
    <w:tmpl w:val="C0C87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D6090"/>
    <w:multiLevelType w:val="multilevel"/>
    <w:tmpl w:val="79CE7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53968"/>
    <w:multiLevelType w:val="multilevel"/>
    <w:tmpl w:val="2794E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16E3D"/>
    <w:multiLevelType w:val="multilevel"/>
    <w:tmpl w:val="EA4AD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053F1E"/>
    <w:multiLevelType w:val="multilevel"/>
    <w:tmpl w:val="5A54A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B87509"/>
    <w:multiLevelType w:val="hybridMultilevel"/>
    <w:tmpl w:val="1090CB58"/>
    <w:lvl w:ilvl="0" w:tplc="5D8AD34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812C4E"/>
    <w:multiLevelType w:val="multilevel"/>
    <w:tmpl w:val="E542D96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F44ED3"/>
    <w:multiLevelType w:val="multilevel"/>
    <w:tmpl w:val="7674D66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76924"/>
    <w:multiLevelType w:val="hybridMultilevel"/>
    <w:tmpl w:val="9C12D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913A7E"/>
    <w:multiLevelType w:val="hybridMultilevel"/>
    <w:tmpl w:val="3EB06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71039"/>
    <w:multiLevelType w:val="hybridMultilevel"/>
    <w:tmpl w:val="AD3A22FE"/>
    <w:lvl w:ilvl="0" w:tplc="087011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8D769F"/>
    <w:multiLevelType w:val="multilevel"/>
    <w:tmpl w:val="FBE2D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41D23"/>
    <w:multiLevelType w:val="hybridMultilevel"/>
    <w:tmpl w:val="A1EAF716"/>
    <w:lvl w:ilvl="0" w:tplc="6474553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4730B"/>
    <w:multiLevelType w:val="multilevel"/>
    <w:tmpl w:val="78A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B774A"/>
    <w:multiLevelType w:val="hybridMultilevel"/>
    <w:tmpl w:val="9AA06140"/>
    <w:lvl w:ilvl="0" w:tplc="F312A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15A1E"/>
    <w:multiLevelType w:val="multilevel"/>
    <w:tmpl w:val="E612BC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5772E7"/>
    <w:multiLevelType w:val="hybridMultilevel"/>
    <w:tmpl w:val="9EF4908A"/>
    <w:lvl w:ilvl="0" w:tplc="0EB2400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F0020"/>
    <w:multiLevelType w:val="multilevel"/>
    <w:tmpl w:val="D3FE5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51440"/>
    <w:multiLevelType w:val="hybridMultilevel"/>
    <w:tmpl w:val="4EAA5CD0"/>
    <w:lvl w:ilvl="0" w:tplc="3DF09E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A7488"/>
    <w:multiLevelType w:val="multilevel"/>
    <w:tmpl w:val="C538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326FC"/>
    <w:multiLevelType w:val="multilevel"/>
    <w:tmpl w:val="A5288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A39F8"/>
    <w:multiLevelType w:val="hybridMultilevel"/>
    <w:tmpl w:val="E168FE44"/>
    <w:lvl w:ilvl="0" w:tplc="ED546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14AFF"/>
    <w:multiLevelType w:val="multilevel"/>
    <w:tmpl w:val="CCAC81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A2A99"/>
    <w:multiLevelType w:val="hybridMultilevel"/>
    <w:tmpl w:val="0B005428"/>
    <w:lvl w:ilvl="0" w:tplc="2A0A48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95F04"/>
    <w:multiLevelType w:val="multilevel"/>
    <w:tmpl w:val="E304C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0B6664"/>
    <w:multiLevelType w:val="multilevel"/>
    <w:tmpl w:val="AB12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30A5E"/>
    <w:multiLevelType w:val="multilevel"/>
    <w:tmpl w:val="DC28A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8F1D5A"/>
    <w:multiLevelType w:val="hybridMultilevel"/>
    <w:tmpl w:val="82440A16"/>
    <w:lvl w:ilvl="0" w:tplc="18E206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A790AB3"/>
    <w:multiLevelType w:val="hybridMultilevel"/>
    <w:tmpl w:val="7FC05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5480F"/>
    <w:multiLevelType w:val="multilevel"/>
    <w:tmpl w:val="76F4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328DC"/>
    <w:multiLevelType w:val="multilevel"/>
    <w:tmpl w:val="8B2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665FCF"/>
    <w:multiLevelType w:val="hybridMultilevel"/>
    <w:tmpl w:val="66BA6ECC"/>
    <w:lvl w:ilvl="0" w:tplc="81BEE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8420A"/>
    <w:multiLevelType w:val="multilevel"/>
    <w:tmpl w:val="8EC45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14681"/>
    <w:multiLevelType w:val="hybridMultilevel"/>
    <w:tmpl w:val="66D2F226"/>
    <w:lvl w:ilvl="0" w:tplc="672EF06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A229C"/>
    <w:multiLevelType w:val="multilevel"/>
    <w:tmpl w:val="C0C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22119"/>
    <w:multiLevelType w:val="hybridMultilevel"/>
    <w:tmpl w:val="61B00FE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A618F"/>
    <w:multiLevelType w:val="multilevel"/>
    <w:tmpl w:val="F59E4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06FFC"/>
    <w:multiLevelType w:val="multilevel"/>
    <w:tmpl w:val="CAF24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586BDF"/>
    <w:multiLevelType w:val="multilevel"/>
    <w:tmpl w:val="2AA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9"/>
  </w:num>
  <w:num w:numId="5">
    <w:abstractNumId w:val="40"/>
  </w:num>
  <w:num w:numId="6">
    <w:abstractNumId w:val="28"/>
  </w:num>
  <w:num w:numId="7">
    <w:abstractNumId w:val="38"/>
  </w:num>
  <w:num w:numId="8">
    <w:abstractNumId w:val="21"/>
  </w:num>
  <w:num w:numId="9">
    <w:abstractNumId w:val="0"/>
  </w:num>
  <w:num w:numId="10">
    <w:abstractNumId w:val="25"/>
  </w:num>
  <w:num w:numId="11">
    <w:abstractNumId w:val="35"/>
  </w:num>
  <w:num w:numId="12">
    <w:abstractNumId w:val="17"/>
  </w:num>
  <w:num w:numId="13">
    <w:abstractNumId w:val="6"/>
  </w:num>
  <w:num w:numId="14">
    <w:abstractNumId w:val="42"/>
  </w:num>
  <w:num w:numId="15">
    <w:abstractNumId w:val="12"/>
  </w:num>
  <w:num w:numId="16">
    <w:abstractNumId w:val="15"/>
  </w:num>
  <w:num w:numId="17">
    <w:abstractNumId w:val="34"/>
  </w:num>
  <w:num w:numId="18">
    <w:abstractNumId w:val="45"/>
  </w:num>
  <w:num w:numId="19">
    <w:abstractNumId w:val="11"/>
    <w:lvlOverride w:ilvl="1">
      <w:lvl w:ilvl="1">
        <w:numFmt w:val="decimal"/>
        <w:lvlText w:val="%2."/>
        <w:lvlJc w:val="left"/>
      </w:lvl>
    </w:lvlOverride>
  </w:num>
  <w:num w:numId="20">
    <w:abstractNumId w:val="43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32"/>
  </w:num>
  <w:num w:numId="25">
    <w:abstractNumId w:val="37"/>
  </w:num>
  <w:num w:numId="26">
    <w:abstractNumId w:val="26"/>
  </w:num>
  <w:num w:numId="27">
    <w:abstractNumId w:val="36"/>
  </w:num>
  <w:num w:numId="28">
    <w:abstractNumId w:val="1"/>
  </w:num>
  <w:num w:numId="29">
    <w:abstractNumId w:val="31"/>
  </w:num>
  <w:num w:numId="30">
    <w:abstractNumId w:val="22"/>
  </w:num>
  <w:num w:numId="31">
    <w:abstractNumId w:val="44"/>
  </w:num>
  <w:num w:numId="32">
    <w:abstractNumId w:val="29"/>
  </w:num>
  <w:num w:numId="33">
    <w:abstractNumId w:val="13"/>
  </w:num>
  <w:num w:numId="34">
    <w:abstractNumId w:val="14"/>
  </w:num>
  <w:num w:numId="35">
    <w:abstractNumId w:val="10"/>
  </w:num>
  <w:num w:numId="36">
    <w:abstractNumId w:val="4"/>
  </w:num>
  <w:num w:numId="37">
    <w:abstractNumId w:val="18"/>
  </w:num>
  <w:num w:numId="38">
    <w:abstractNumId w:val="8"/>
  </w:num>
  <w:num w:numId="39">
    <w:abstractNumId w:val="5"/>
  </w:num>
  <w:num w:numId="40">
    <w:abstractNumId w:val="39"/>
  </w:num>
  <w:num w:numId="41">
    <w:abstractNumId w:val="33"/>
  </w:num>
  <w:num w:numId="42">
    <w:abstractNumId w:val="2"/>
  </w:num>
  <w:num w:numId="43">
    <w:abstractNumId w:val="27"/>
  </w:num>
  <w:num w:numId="44">
    <w:abstractNumId w:val="20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8"/>
    <w:rsid w:val="0000118F"/>
    <w:rsid w:val="0000248A"/>
    <w:rsid w:val="000054A9"/>
    <w:rsid w:val="00006E8F"/>
    <w:rsid w:val="00010608"/>
    <w:rsid w:val="00010A17"/>
    <w:rsid w:val="00011462"/>
    <w:rsid w:val="00012008"/>
    <w:rsid w:val="000126A5"/>
    <w:rsid w:val="00014D7D"/>
    <w:rsid w:val="0001541B"/>
    <w:rsid w:val="000164DC"/>
    <w:rsid w:val="00020F34"/>
    <w:rsid w:val="00022F8E"/>
    <w:rsid w:val="00024716"/>
    <w:rsid w:val="000256E6"/>
    <w:rsid w:val="00032641"/>
    <w:rsid w:val="00032D41"/>
    <w:rsid w:val="00034A07"/>
    <w:rsid w:val="000350FB"/>
    <w:rsid w:val="00035151"/>
    <w:rsid w:val="00036411"/>
    <w:rsid w:val="00036768"/>
    <w:rsid w:val="00037E89"/>
    <w:rsid w:val="00037FFE"/>
    <w:rsid w:val="00042606"/>
    <w:rsid w:val="00042CFB"/>
    <w:rsid w:val="00045495"/>
    <w:rsid w:val="000463C8"/>
    <w:rsid w:val="00053173"/>
    <w:rsid w:val="00053653"/>
    <w:rsid w:val="000574E9"/>
    <w:rsid w:val="000578AC"/>
    <w:rsid w:val="00060190"/>
    <w:rsid w:val="00062E15"/>
    <w:rsid w:val="00062F23"/>
    <w:rsid w:val="000636DC"/>
    <w:rsid w:val="00063E65"/>
    <w:rsid w:val="000649FF"/>
    <w:rsid w:val="000653F7"/>
    <w:rsid w:val="000662E5"/>
    <w:rsid w:val="000735A0"/>
    <w:rsid w:val="00074241"/>
    <w:rsid w:val="000743F6"/>
    <w:rsid w:val="0007557B"/>
    <w:rsid w:val="00075ED6"/>
    <w:rsid w:val="00077379"/>
    <w:rsid w:val="00077948"/>
    <w:rsid w:val="000800ED"/>
    <w:rsid w:val="00081271"/>
    <w:rsid w:val="00081D04"/>
    <w:rsid w:val="00082AC2"/>
    <w:rsid w:val="00086495"/>
    <w:rsid w:val="00087938"/>
    <w:rsid w:val="00092D76"/>
    <w:rsid w:val="0009426D"/>
    <w:rsid w:val="00094A20"/>
    <w:rsid w:val="0009558B"/>
    <w:rsid w:val="00096616"/>
    <w:rsid w:val="00096829"/>
    <w:rsid w:val="00096B9C"/>
    <w:rsid w:val="000A18F7"/>
    <w:rsid w:val="000A22DA"/>
    <w:rsid w:val="000A416E"/>
    <w:rsid w:val="000A726C"/>
    <w:rsid w:val="000B06FE"/>
    <w:rsid w:val="000B0C4C"/>
    <w:rsid w:val="000B13EF"/>
    <w:rsid w:val="000B17AC"/>
    <w:rsid w:val="000B3DA0"/>
    <w:rsid w:val="000B43E2"/>
    <w:rsid w:val="000B7BC2"/>
    <w:rsid w:val="000C22AB"/>
    <w:rsid w:val="000C2B54"/>
    <w:rsid w:val="000C32BA"/>
    <w:rsid w:val="000C37F1"/>
    <w:rsid w:val="000C4444"/>
    <w:rsid w:val="000C6148"/>
    <w:rsid w:val="000C7A96"/>
    <w:rsid w:val="000D0121"/>
    <w:rsid w:val="000D0151"/>
    <w:rsid w:val="000D1864"/>
    <w:rsid w:val="000D1B64"/>
    <w:rsid w:val="000D22FB"/>
    <w:rsid w:val="000D34F1"/>
    <w:rsid w:val="000D4702"/>
    <w:rsid w:val="000D499C"/>
    <w:rsid w:val="000D4D5A"/>
    <w:rsid w:val="000D61E7"/>
    <w:rsid w:val="000E03A4"/>
    <w:rsid w:val="000E16AD"/>
    <w:rsid w:val="000E2570"/>
    <w:rsid w:val="000E750E"/>
    <w:rsid w:val="000E76CF"/>
    <w:rsid w:val="000E7AA2"/>
    <w:rsid w:val="000F0E8B"/>
    <w:rsid w:val="000F2EC6"/>
    <w:rsid w:val="000F56BF"/>
    <w:rsid w:val="000F7F5D"/>
    <w:rsid w:val="00100BD5"/>
    <w:rsid w:val="00100BFA"/>
    <w:rsid w:val="001032BF"/>
    <w:rsid w:val="001045D9"/>
    <w:rsid w:val="001049BF"/>
    <w:rsid w:val="00104DD3"/>
    <w:rsid w:val="0010679C"/>
    <w:rsid w:val="001077AD"/>
    <w:rsid w:val="00110AA2"/>
    <w:rsid w:val="00112D50"/>
    <w:rsid w:val="00113AAF"/>
    <w:rsid w:val="00114257"/>
    <w:rsid w:val="00114BC4"/>
    <w:rsid w:val="00117977"/>
    <w:rsid w:val="00117C28"/>
    <w:rsid w:val="00120CE2"/>
    <w:rsid w:val="001213EE"/>
    <w:rsid w:val="00122499"/>
    <w:rsid w:val="001228F7"/>
    <w:rsid w:val="00123729"/>
    <w:rsid w:val="00124B31"/>
    <w:rsid w:val="00125187"/>
    <w:rsid w:val="00130698"/>
    <w:rsid w:val="00130760"/>
    <w:rsid w:val="00130EF6"/>
    <w:rsid w:val="00133498"/>
    <w:rsid w:val="00133AE8"/>
    <w:rsid w:val="00133F47"/>
    <w:rsid w:val="001341AC"/>
    <w:rsid w:val="001353DE"/>
    <w:rsid w:val="00135AE5"/>
    <w:rsid w:val="00136289"/>
    <w:rsid w:val="00136941"/>
    <w:rsid w:val="00136CBD"/>
    <w:rsid w:val="00137783"/>
    <w:rsid w:val="00137F7E"/>
    <w:rsid w:val="00140987"/>
    <w:rsid w:val="001418E5"/>
    <w:rsid w:val="00141981"/>
    <w:rsid w:val="00142292"/>
    <w:rsid w:val="00145340"/>
    <w:rsid w:val="00145C3B"/>
    <w:rsid w:val="0014636F"/>
    <w:rsid w:val="00146B10"/>
    <w:rsid w:val="001471B3"/>
    <w:rsid w:val="0014750B"/>
    <w:rsid w:val="001503BB"/>
    <w:rsid w:val="001511B6"/>
    <w:rsid w:val="00152B66"/>
    <w:rsid w:val="00153CEB"/>
    <w:rsid w:val="001547FF"/>
    <w:rsid w:val="00162890"/>
    <w:rsid w:val="001632A3"/>
    <w:rsid w:val="00163471"/>
    <w:rsid w:val="00163CC2"/>
    <w:rsid w:val="00164F8C"/>
    <w:rsid w:val="00165399"/>
    <w:rsid w:val="0016559D"/>
    <w:rsid w:val="00166B2B"/>
    <w:rsid w:val="00170CE6"/>
    <w:rsid w:val="0017156E"/>
    <w:rsid w:val="00171BBD"/>
    <w:rsid w:val="00172C20"/>
    <w:rsid w:val="0017315C"/>
    <w:rsid w:val="001731AC"/>
    <w:rsid w:val="00173CD2"/>
    <w:rsid w:val="0017401A"/>
    <w:rsid w:val="0017550A"/>
    <w:rsid w:val="00182328"/>
    <w:rsid w:val="0018238A"/>
    <w:rsid w:val="001834ED"/>
    <w:rsid w:val="00183E32"/>
    <w:rsid w:val="001854D3"/>
    <w:rsid w:val="00187636"/>
    <w:rsid w:val="00187C9F"/>
    <w:rsid w:val="0019001A"/>
    <w:rsid w:val="0019043D"/>
    <w:rsid w:val="00190CF2"/>
    <w:rsid w:val="00192655"/>
    <w:rsid w:val="0019292B"/>
    <w:rsid w:val="001959C1"/>
    <w:rsid w:val="00195D34"/>
    <w:rsid w:val="001A0B6B"/>
    <w:rsid w:val="001A260E"/>
    <w:rsid w:val="001A573C"/>
    <w:rsid w:val="001A7E62"/>
    <w:rsid w:val="001B0E05"/>
    <w:rsid w:val="001B1B07"/>
    <w:rsid w:val="001B25E6"/>
    <w:rsid w:val="001B33CD"/>
    <w:rsid w:val="001B68AB"/>
    <w:rsid w:val="001B6AA0"/>
    <w:rsid w:val="001B6AAA"/>
    <w:rsid w:val="001B7F14"/>
    <w:rsid w:val="001C0462"/>
    <w:rsid w:val="001C1582"/>
    <w:rsid w:val="001C1ED2"/>
    <w:rsid w:val="001C25D5"/>
    <w:rsid w:val="001C311A"/>
    <w:rsid w:val="001C515A"/>
    <w:rsid w:val="001C67DE"/>
    <w:rsid w:val="001D289C"/>
    <w:rsid w:val="001D2E51"/>
    <w:rsid w:val="001D34C0"/>
    <w:rsid w:val="001D4D32"/>
    <w:rsid w:val="001D4EDA"/>
    <w:rsid w:val="001D531F"/>
    <w:rsid w:val="001D5524"/>
    <w:rsid w:val="001D5EEA"/>
    <w:rsid w:val="001D6724"/>
    <w:rsid w:val="001D6842"/>
    <w:rsid w:val="001E0405"/>
    <w:rsid w:val="001E086C"/>
    <w:rsid w:val="001E115A"/>
    <w:rsid w:val="001E288A"/>
    <w:rsid w:val="001E2C42"/>
    <w:rsid w:val="001E2CA8"/>
    <w:rsid w:val="001E32FF"/>
    <w:rsid w:val="001E34EB"/>
    <w:rsid w:val="001E46BA"/>
    <w:rsid w:val="001E4996"/>
    <w:rsid w:val="001E7598"/>
    <w:rsid w:val="001F18E7"/>
    <w:rsid w:val="001F2403"/>
    <w:rsid w:val="001F646E"/>
    <w:rsid w:val="001F65F3"/>
    <w:rsid w:val="001F6A28"/>
    <w:rsid w:val="001F7A58"/>
    <w:rsid w:val="002008AA"/>
    <w:rsid w:val="0020151F"/>
    <w:rsid w:val="002016B8"/>
    <w:rsid w:val="002020AF"/>
    <w:rsid w:val="0020218A"/>
    <w:rsid w:val="002045BD"/>
    <w:rsid w:val="00211256"/>
    <w:rsid w:val="00213412"/>
    <w:rsid w:val="00217041"/>
    <w:rsid w:val="002212FC"/>
    <w:rsid w:val="00221687"/>
    <w:rsid w:val="002230C9"/>
    <w:rsid w:val="00223E27"/>
    <w:rsid w:val="00223FBF"/>
    <w:rsid w:val="00224A4A"/>
    <w:rsid w:val="00224A4F"/>
    <w:rsid w:val="00225380"/>
    <w:rsid w:val="00226330"/>
    <w:rsid w:val="002270A7"/>
    <w:rsid w:val="00231C3E"/>
    <w:rsid w:val="00232479"/>
    <w:rsid w:val="002324C8"/>
    <w:rsid w:val="00233B2A"/>
    <w:rsid w:val="00234CD8"/>
    <w:rsid w:val="002355C7"/>
    <w:rsid w:val="00236B9E"/>
    <w:rsid w:val="00236C7D"/>
    <w:rsid w:val="002370AB"/>
    <w:rsid w:val="00237990"/>
    <w:rsid w:val="00241370"/>
    <w:rsid w:val="00241BBC"/>
    <w:rsid w:val="00241FCD"/>
    <w:rsid w:val="002424DF"/>
    <w:rsid w:val="00242511"/>
    <w:rsid w:val="00242942"/>
    <w:rsid w:val="00243C42"/>
    <w:rsid w:val="0024518C"/>
    <w:rsid w:val="002452E9"/>
    <w:rsid w:val="0024798D"/>
    <w:rsid w:val="00251FE2"/>
    <w:rsid w:val="00254978"/>
    <w:rsid w:val="0025520E"/>
    <w:rsid w:val="002553A6"/>
    <w:rsid w:val="00255DEE"/>
    <w:rsid w:val="00256AB6"/>
    <w:rsid w:val="00260D47"/>
    <w:rsid w:val="0026221A"/>
    <w:rsid w:val="00263C55"/>
    <w:rsid w:val="00264819"/>
    <w:rsid w:val="00265CD4"/>
    <w:rsid w:val="00270163"/>
    <w:rsid w:val="00270408"/>
    <w:rsid w:val="002717A2"/>
    <w:rsid w:val="00273534"/>
    <w:rsid w:val="002751CF"/>
    <w:rsid w:val="00275D9A"/>
    <w:rsid w:val="00276042"/>
    <w:rsid w:val="00276D83"/>
    <w:rsid w:val="002771C7"/>
    <w:rsid w:val="0027724A"/>
    <w:rsid w:val="00277654"/>
    <w:rsid w:val="002777BC"/>
    <w:rsid w:val="00280CF9"/>
    <w:rsid w:val="00280DB2"/>
    <w:rsid w:val="002811F6"/>
    <w:rsid w:val="002816D5"/>
    <w:rsid w:val="00281975"/>
    <w:rsid w:val="002829C7"/>
    <w:rsid w:val="00282B44"/>
    <w:rsid w:val="0028363C"/>
    <w:rsid w:val="0028367B"/>
    <w:rsid w:val="0028386E"/>
    <w:rsid w:val="002839B7"/>
    <w:rsid w:val="00283FF5"/>
    <w:rsid w:val="002843D5"/>
    <w:rsid w:val="00284464"/>
    <w:rsid w:val="00285474"/>
    <w:rsid w:val="002858AB"/>
    <w:rsid w:val="00285DC9"/>
    <w:rsid w:val="00286332"/>
    <w:rsid w:val="00286705"/>
    <w:rsid w:val="002877BC"/>
    <w:rsid w:val="00290107"/>
    <w:rsid w:val="002919C2"/>
    <w:rsid w:val="00292DC5"/>
    <w:rsid w:val="00295EF6"/>
    <w:rsid w:val="00296A67"/>
    <w:rsid w:val="00296ED6"/>
    <w:rsid w:val="002A018E"/>
    <w:rsid w:val="002A04E2"/>
    <w:rsid w:val="002A24C0"/>
    <w:rsid w:val="002A5475"/>
    <w:rsid w:val="002B0EA0"/>
    <w:rsid w:val="002B2761"/>
    <w:rsid w:val="002B33D1"/>
    <w:rsid w:val="002B3C99"/>
    <w:rsid w:val="002B52EA"/>
    <w:rsid w:val="002B61ED"/>
    <w:rsid w:val="002B6B3A"/>
    <w:rsid w:val="002B6D38"/>
    <w:rsid w:val="002B7474"/>
    <w:rsid w:val="002C0814"/>
    <w:rsid w:val="002C0AD8"/>
    <w:rsid w:val="002C2981"/>
    <w:rsid w:val="002C2A5E"/>
    <w:rsid w:val="002C3949"/>
    <w:rsid w:val="002C3B78"/>
    <w:rsid w:val="002C4244"/>
    <w:rsid w:val="002C6EED"/>
    <w:rsid w:val="002C7142"/>
    <w:rsid w:val="002C7ACD"/>
    <w:rsid w:val="002C7F48"/>
    <w:rsid w:val="002D47BB"/>
    <w:rsid w:val="002D6CAF"/>
    <w:rsid w:val="002E022E"/>
    <w:rsid w:val="002E0790"/>
    <w:rsid w:val="002E2508"/>
    <w:rsid w:val="002E2D80"/>
    <w:rsid w:val="002E3303"/>
    <w:rsid w:val="002E452A"/>
    <w:rsid w:val="002E50EA"/>
    <w:rsid w:val="002E5ABB"/>
    <w:rsid w:val="002E62A9"/>
    <w:rsid w:val="002E6AAB"/>
    <w:rsid w:val="002F0B08"/>
    <w:rsid w:val="002F14C3"/>
    <w:rsid w:val="002F2A21"/>
    <w:rsid w:val="002F3AF6"/>
    <w:rsid w:val="002F3B17"/>
    <w:rsid w:val="002F4C99"/>
    <w:rsid w:val="002F5DC7"/>
    <w:rsid w:val="002F66D4"/>
    <w:rsid w:val="00300237"/>
    <w:rsid w:val="00301B87"/>
    <w:rsid w:val="00302493"/>
    <w:rsid w:val="00302C91"/>
    <w:rsid w:val="00303E1C"/>
    <w:rsid w:val="00304044"/>
    <w:rsid w:val="003057C2"/>
    <w:rsid w:val="00306DDD"/>
    <w:rsid w:val="00306FFF"/>
    <w:rsid w:val="003073B1"/>
    <w:rsid w:val="00307C52"/>
    <w:rsid w:val="0031191C"/>
    <w:rsid w:val="003145C9"/>
    <w:rsid w:val="00314E58"/>
    <w:rsid w:val="003156EB"/>
    <w:rsid w:val="00315784"/>
    <w:rsid w:val="003166D7"/>
    <w:rsid w:val="0032133B"/>
    <w:rsid w:val="00323BEF"/>
    <w:rsid w:val="00325469"/>
    <w:rsid w:val="00325A0A"/>
    <w:rsid w:val="00327737"/>
    <w:rsid w:val="00327FF9"/>
    <w:rsid w:val="00331E41"/>
    <w:rsid w:val="00332765"/>
    <w:rsid w:val="0033469B"/>
    <w:rsid w:val="00336C55"/>
    <w:rsid w:val="00336C5B"/>
    <w:rsid w:val="003374B5"/>
    <w:rsid w:val="00337542"/>
    <w:rsid w:val="003412E2"/>
    <w:rsid w:val="003433A8"/>
    <w:rsid w:val="0034465E"/>
    <w:rsid w:val="00346F8E"/>
    <w:rsid w:val="00346FA7"/>
    <w:rsid w:val="00347FE1"/>
    <w:rsid w:val="0035149B"/>
    <w:rsid w:val="00354516"/>
    <w:rsid w:val="00360A3B"/>
    <w:rsid w:val="00360C93"/>
    <w:rsid w:val="00360CBD"/>
    <w:rsid w:val="00361697"/>
    <w:rsid w:val="00363CA6"/>
    <w:rsid w:val="00363DAA"/>
    <w:rsid w:val="003651F2"/>
    <w:rsid w:val="00365336"/>
    <w:rsid w:val="00366E84"/>
    <w:rsid w:val="00367886"/>
    <w:rsid w:val="00370106"/>
    <w:rsid w:val="00371134"/>
    <w:rsid w:val="003716ED"/>
    <w:rsid w:val="00371B2B"/>
    <w:rsid w:val="00373E96"/>
    <w:rsid w:val="00374689"/>
    <w:rsid w:val="00381E08"/>
    <w:rsid w:val="00381FEE"/>
    <w:rsid w:val="00383C7E"/>
    <w:rsid w:val="00383CFA"/>
    <w:rsid w:val="0038494F"/>
    <w:rsid w:val="00384C08"/>
    <w:rsid w:val="0038536C"/>
    <w:rsid w:val="00385E35"/>
    <w:rsid w:val="00385ED3"/>
    <w:rsid w:val="00386607"/>
    <w:rsid w:val="00386C26"/>
    <w:rsid w:val="00387E86"/>
    <w:rsid w:val="0039052C"/>
    <w:rsid w:val="0039062B"/>
    <w:rsid w:val="003918C5"/>
    <w:rsid w:val="0039217E"/>
    <w:rsid w:val="00392906"/>
    <w:rsid w:val="00393AF0"/>
    <w:rsid w:val="003954EC"/>
    <w:rsid w:val="003960E2"/>
    <w:rsid w:val="00397F5A"/>
    <w:rsid w:val="003A00AC"/>
    <w:rsid w:val="003A03E8"/>
    <w:rsid w:val="003A1116"/>
    <w:rsid w:val="003A4426"/>
    <w:rsid w:val="003A5332"/>
    <w:rsid w:val="003A56F3"/>
    <w:rsid w:val="003A6346"/>
    <w:rsid w:val="003A672E"/>
    <w:rsid w:val="003A6E11"/>
    <w:rsid w:val="003A7975"/>
    <w:rsid w:val="003A7DAD"/>
    <w:rsid w:val="003B006D"/>
    <w:rsid w:val="003B14AC"/>
    <w:rsid w:val="003B1EE1"/>
    <w:rsid w:val="003B3779"/>
    <w:rsid w:val="003B3B5C"/>
    <w:rsid w:val="003B4384"/>
    <w:rsid w:val="003B60B7"/>
    <w:rsid w:val="003C0928"/>
    <w:rsid w:val="003C1241"/>
    <w:rsid w:val="003C1F0E"/>
    <w:rsid w:val="003C2767"/>
    <w:rsid w:val="003C3B70"/>
    <w:rsid w:val="003C4AFB"/>
    <w:rsid w:val="003C4E8E"/>
    <w:rsid w:val="003C4FDD"/>
    <w:rsid w:val="003C736D"/>
    <w:rsid w:val="003D11C3"/>
    <w:rsid w:val="003D11CD"/>
    <w:rsid w:val="003D15E9"/>
    <w:rsid w:val="003D2616"/>
    <w:rsid w:val="003D37C1"/>
    <w:rsid w:val="003D39CA"/>
    <w:rsid w:val="003D4800"/>
    <w:rsid w:val="003D6C38"/>
    <w:rsid w:val="003E3C29"/>
    <w:rsid w:val="003E4100"/>
    <w:rsid w:val="003E551F"/>
    <w:rsid w:val="003E5973"/>
    <w:rsid w:val="003E5975"/>
    <w:rsid w:val="003F215D"/>
    <w:rsid w:val="003F295D"/>
    <w:rsid w:val="003F3CD2"/>
    <w:rsid w:val="003F3DD4"/>
    <w:rsid w:val="003F485C"/>
    <w:rsid w:val="003F4C75"/>
    <w:rsid w:val="003F54B6"/>
    <w:rsid w:val="003F633E"/>
    <w:rsid w:val="003F70EA"/>
    <w:rsid w:val="003F7625"/>
    <w:rsid w:val="00400042"/>
    <w:rsid w:val="00400260"/>
    <w:rsid w:val="0040072E"/>
    <w:rsid w:val="0040127B"/>
    <w:rsid w:val="004035A3"/>
    <w:rsid w:val="00404EC1"/>
    <w:rsid w:val="00407507"/>
    <w:rsid w:val="0041253B"/>
    <w:rsid w:val="00415A7B"/>
    <w:rsid w:val="00416417"/>
    <w:rsid w:val="00420397"/>
    <w:rsid w:val="00420452"/>
    <w:rsid w:val="0042091F"/>
    <w:rsid w:val="0042176C"/>
    <w:rsid w:val="0042185F"/>
    <w:rsid w:val="00421EF1"/>
    <w:rsid w:val="004227AE"/>
    <w:rsid w:val="004234F6"/>
    <w:rsid w:val="0042577F"/>
    <w:rsid w:val="004269AF"/>
    <w:rsid w:val="00426A13"/>
    <w:rsid w:val="0042715F"/>
    <w:rsid w:val="00430326"/>
    <w:rsid w:val="0043242D"/>
    <w:rsid w:val="00434CCE"/>
    <w:rsid w:val="004362A4"/>
    <w:rsid w:val="00444563"/>
    <w:rsid w:val="004449BB"/>
    <w:rsid w:val="00444A6C"/>
    <w:rsid w:val="00445814"/>
    <w:rsid w:val="00446218"/>
    <w:rsid w:val="004506EB"/>
    <w:rsid w:val="004509E4"/>
    <w:rsid w:val="00451F40"/>
    <w:rsid w:val="00453CF1"/>
    <w:rsid w:val="00455D7B"/>
    <w:rsid w:val="00455E32"/>
    <w:rsid w:val="00456C3E"/>
    <w:rsid w:val="00457554"/>
    <w:rsid w:val="00457B31"/>
    <w:rsid w:val="00461281"/>
    <w:rsid w:val="004628CE"/>
    <w:rsid w:val="00463B3E"/>
    <w:rsid w:val="00465BB7"/>
    <w:rsid w:val="00466D19"/>
    <w:rsid w:val="00466FD3"/>
    <w:rsid w:val="004670A4"/>
    <w:rsid w:val="00467416"/>
    <w:rsid w:val="00467C61"/>
    <w:rsid w:val="00470A3A"/>
    <w:rsid w:val="00470C0F"/>
    <w:rsid w:val="00471D31"/>
    <w:rsid w:val="00471D7F"/>
    <w:rsid w:val="00475C35"/>
    <w:rsid w:val="00476972"/>
    <w:rsid w:val="0047697A"/>
    <w:rsid w:val="00476988"/>
    <w:rsid w:val="00477FBD"/>
    <w:rsid w:val="0048003B"/>
    <w:rsid w:val="004801F9"/>
    <w:rsid w:val="0048102F"/>
    <w:rsid w:val="00482A06"/>
    <w:rsid w:val="004837AE"/>
    <w:rsid w:val="00483C2C"/>
    <w:rsid w:val="0048487E"/>
    <w:rsid w:val="00484DD5"/>
    <w:rsid w:val="004858D2"/>
    <w:rsid w:val="00486105"/>
    <w:rsid w:val="004867D3"/>
    <w:rsid w:val="00486DD4"/>
    <w:rsid w:val="00486E1F"/>
    <w:rsid w:val="00487574"/>
    <w:rsid w:val="004900D8"/>
    <w:rsid w:val="00490C15"/>
    <w:rsid w:val="004913B3"/>
    <w:rsid w:val="004924FB"/>
    <w:rsid w:val="00492957"/>
    <w:rsid w:val="00492ED2"/>
    <w:rsid w:val="0049365F"/>
    <w:rsid w:val="00493E8C"/>
    <w:rsid w:val="00497391"/>
    <w:rsid w:val="004A19BF"/>
    <w:rsid w:val="004A30BE"/>
    <w:rsid w:val="004A35E0"/>
    <w:rsid w:val="004A6278"/>
    <w:rsid w:val="004A695B"/>
    <w:rsid w:val="004A6EA4"/>
    <w:rsid w:val="004B0733"/>
    <w:rsid w:val="004B1CAC"/>
    <w:rsid w:val="004B2104"/>
    <w:rsid w:val="004B3F00"/>
    <w:rsid w:val="004B440E"/>
    <w:rsid w:val="004B4D1C"/>
    <w:rsid w:val="004C2780"/>
    <w:rsid w:val="004C3CC8"/>
    <w:rsid w:val="004C4F9D"/>
    <w:rsid w:val="004C76F6"/>
    <w:rsid w:val="004D12F2"/>
    <w:rsid w:val="004D23D8"/>
    <w:rsid w:val="004D26D9"/>
    <w:rsid w:val="004D2C22"/>
    <w:rsid w:val="004D37CE"/>
    <w:rsid w:val="004D4425"/>
    <w:rsid w:val="004D5052"/>
    <w:rsid w:val="004D5711"/>
    <w:rsid w:val="004D6291"/>
    <w:rsid w:val="004D6E79"/>
    <w:rsid w:val="004E09B5"/>
    <w:rsid w:val="004E1070"/>
    <w:rsid w:val="004E2DA0"/>
    <w:rsid w:val="004E3527"/>
    <w:rsid w:val="004E35C2"/>
    <w:rsid w:val="004E5BC0"/>
    <w:rsid w:val="004E5E7F"/>
    <w:rsid w:val="004F0559"/>
    <w:rsid w:val="004F1ACE"/>
    <w:rsid w:val="004F1C7C"/>
    <w:rsid w:val="004F24AC"/>
    <w:rsid w:val="004F36AF"/>
    <w:rsid w:val="004F5E91"/>
    <w:rsid w:val="004F5E94"/>
    <w:rsid w:val="004F5EB2"/>
    <w:rsid w:val="004F7E35"/>
    <w:rsid w:val="00501575"/>
    <w:rsid w:val="00501C1D"/>
    <w:rsid w:val="005027ED"/>
    <w:rsid w:val="0050397F"/>
    <w:rsid w:val="005041A0"/>
    <w:rsid w:val="005042D9"/>
    <w:rsid w:val="005045F5"/>
    <w:rsid w:val="0050522D"/>
    <w:rsid w:val="005053A5"/>
    <w:rsid w:val="00505CE1"/>
    <w:rsid w:val="00506727"/>
    <w:rsid w:val="005078D7"/>
    <w:rsid w:val="00510368"/>
    <w:rsid w:val="005104A0"/>
    <w:rsid w:val="00512338"/>
    <w:rsid w:val="00512D10"/>
    <w:rsid w:val="00512D6D"/>
    <w:rsid w:val="00513124"/>
    <w:rsid w:val="00513EE9"/>
    <w:rsid w:val="00514688"/>
    <w:rsid w:val="00515FB9"/>
    <w:rsid w:val="00520862"/>
    <w:rsid w:val="0052180C"/>
    <w:rsid w:val="00522026"/>
    <w:rsid w:val="0052755C"/>
    <w:rsid w:val="00530AAF"/>
    <w:rsid w:val="00531A8A"/>
    <w:rsid w:val="00531BB7"/>
    <w:rsid w:val="005339ED"/>
    <w:rsid w:val="00535976"/>
    <w:rsid w:val="005365A3"/>
    <w:rsid w:val="005375AF"/>
    <w:rsid w:val="00540AED"/>
    <w:rsid w:val="005422FC"/>
    <w:rsid w:val="005427A4"/>
    <w:rsid w:val="005448CB"/>
    <w:rsid w:val="00551FA8"/>
    <w:rsid w:val="005522FA"/>
    <w:rsid w:val="005529E3"/>
    <w:rsid w:val="00554282"/>
    <w:rsid w:val="00554827"/>
    <w:rsid w:val="005549D4"/>
    <w:rsid w:val="00555E94"/>
    <w:rsid w:val="00556A7B"/>
    <w:rsid w:val="00556EAE"/>
    <w:rsid w:val="005573B4"/>
    <w:rsid w:val="00557B14"/>
    <w:rsid w:val="00560043"/>
    <w:rsid w:val="0056048C"/>
    <w:rsid w:val="00561C61"/>
    <w:rsid w:val="005627B4"/>
    <w:rsid w:val="005635CC"/>
    <w:rsid w:val="00563F0D"/>
    <w:rsid w:val="00565837"/>
    <w:rsid w:val="00565AB3"/>
    <w:rsid w:val="005670B1"/>
    <w:rsid w:val="005711CF"/>
    <w:rsid w:val="0057299F"/>
    <w:rsid w:val="00573A33"/>
    <w:rsid w:val="00574CBA"/>
    <w:rsid w:val="00575171"/>
    <w:rsid w:val="00575605"/>
    <w:rsid w:val="00576E25"/>
    <w:rsid w:val="005772C4"/>
    <w:rsid w:val="00577FFE"/>
    <w:rsid w:val="005819CE"/>
    <w:rsid w:val="00582546"/>
    <w:rsid w:val="005825AE"/>
    <w:rsid w:val="00582E79"/>
    <w:rsid w:val="00582F49"/>
    <w:rsid w:val="005843C4"/>
    <w:rsid w:val="00584F1A"/>
    <w:rsid w:val="00587186"/>
    <w:rsid w:val="005904C0"/>
    <w:rsid w:val="00590B31"/>
    <w:rsid w:val="00593990"/>
    <w:rsid w:val="0059555D"/>
    <w:rsid w:val="00595BB6"/>
    <w:rsid w:val="00595FA4"/>
    <w:rsid w:val="005965B1"/>
    <w:rsid w:val="00597FDE"/>
    <w:rsid w:val="005A40BE"/>
    <w:rsid w:val="005A5B0F"/>
    <w:rsid w:val="005B00E8"/>
    <w:rsid w:val="005B13DE"/>
    <w:rsid w:val="005B297F"/>
    <w:rsid w:val="005B3B10"/>
    <w:rsid w:val="005B45CA"/>
    <w:rsid w:val="005B658A"/>
    <w:rsid w:val="005B74F2"/>
    <w:rsid w:val="005B7D77"/>
    <w:rsid w:val="005C112D"/>
    <w:rsid w:val="005C12AE"/>
    <w:rsid w:val="005C15DB"/>
    <w:rsid w:val="005C25C3"/>
    <w:rsid w:val="005C4349"/>
    <w:rsid w:val="005C4B6C"/>
    <w:rsid w:val="005C5080"/>
    <w:rsid w:val="005C65AE"/>
    <w:rsid w:val="005C6A9D"/>
    <w:rsid w:val="005C7683"/>
    <w:rsid w:val="005C7833"/>
    <w:rsid w:val="005D0104"/>
    <w:rsid w:val="005D0209"/>
    <w:rsid w:val="005D1B3B"/>
    <w:rsid w:val="005D25BF"/>
    <w:rsid w:val="005D2B04"/>
    <w:rsid w:val="005D3089"/>
    <w:rsid w:val="005D3BE3"/>
    <w:rsid w:val="005D51D0"/>
    <w:rsid w:val="005D556E"/>
    <w:rsid w:val="005D6179"/>
    <w:rsid w:val="005D6436"/>
    <w:rsid w:val="005E1917"/>
    <w:rsid w:val="005E3CB0"/>
    <w:rsid w:val="005E434D"/>
    <w:rsid w:val="005E44E2"/>
    <w:rsid w:val="005F01C6"/>
    <w:rsid w:val="005F157D"/>
    <w:rsid w:val="005F33B7"/>
    <w:rsid w:val="005F34E8"/>
    <w:rsid w:val="005F37DA"/>
    <w:rsid w:val="005F6EB3"/>
    <w:rsid w:val="0060027A"/>
    <w:rsid w:val="00600416"/>
    <w:rsid w:val="00602765"/>
    <w:rsid w:val="006029ED"/>
    <w:rsid w:val="00602E88"/>
    <w:rsid w:val="00603055"/>
    <w:rsid w:val="00603549"/>
    <w:rsid w:val="00604129"/>
    <w:rsid w:val="0060485C"/>
    <w:rsid w:val="00604B71"/>
    <w:rsid w:val="00611267"/>
    <w:rsid w:val="00611D3E"/>
    <w:rsid w:val="00614972"/>
    <w:rsid w:val="00615E24"/>
    <w:rsid w:val="0061666F"/>
    <w:rsid w:val="0061795A"/>
    <w:rsid w:val="0062396C"/>
    <w:rsid w:val="00624119"/>
    <w:rsid w:val="00624D65"/>
    <w:rsid w:val="00624D7D"/>
    <w:rsid w:val="0062605F"/>
    <w:rsid w:val="00626B76"/>
    <w:rsid w:val="0063015B"/>
    <w:rsid w:val="00632205"/>
    <w:rsid w:val="00634981"/>
    <w:rsid w:val="00634F55"/>
    <w:rsid w:val="006364B6"/>
    <w:rsid w:val="00636778"/>
    <w:rsid w:val="00641B19"/>
    <w:rsid w:val="006433D0"/>
    <w:rsid w:val="006435CF"/>
    <w:rsid w:val="006436B9"/>
    <w:rsid w:val="0064392D"/>
    <w:rsid w:val="00645A85"/>
    <w:rsid w:val="0064787C"/>
    <w:rsid w:val="006535CD"/>
    <w:rsid w:val="006553A1"/>
    <w:rsid w:val="00656DAE"/>
    <w:rsid w:val="00656E31"/>
    <w:rsid w:val="0066163B"/>
    <w:rsid w:val="00662C8C"/>
    <w:rsid w:val="00662FEF"/>
    <w:rsid w:val="00664772"/>
    <w:rsid w:val="006654D4"/>
    <w:rsid w:val="0066690C"/>
    <w:rsid w:val="00666B44"/>
    <w:rsid w:val="00666C83"/>
    <w:rsid w:val="00667643"/>
    <w:rsid w:val="00667ECD"/>
    <w:rsid w:val="00672CD0"/>
    <w:rsid w:val="0067413A"/>
    <w:rsid w:val="00674369"/>
    <w:rsid w:val="006744EB"/>
    <w:rsid w:val="00674D46"/>
    <w:rsid w:val="00676156"/>
    <w:rsid w:val="00677AFF"/>
    <w:rsid w:val="00680BD9"/>
    <w:rsid w:val="00680F3A"/>
    <w:rsid w:val="00681A84"/>
    <w:rsid w:val="00683D7A"/>
    <w:rsid w:val="00685431"/>
    <w:rsid w:val="00685FA3"/>
    <w:rsid w:val="00686809"/>
    <w:rsid w:val="00686F3E"/>
    <w:rsid w:val="00687493"/>
    <w:rsid w:val="00687EE8"/>
    <w:rsid w:val="0069022D"/>
    <w:rsid w:val="0069079B"/>
    <w:rsid w:val="006937D4"/>
    <w:rsid w:val="006940E0"/>
    <w:rsid w:val="00694A84"/>
    <w:rsid w:val="00695457"/>
    <w:rsid w:val="006966A6"/>
    <w:rsid w:val="006A08AA"/>
    <w:rsid w:val="006A0D3A"/>
    <w:rsid w:val="006A5607"/>
    <w:rsid w:val="006A626E"/>
    <w:rsid w:val="006A65C7"/>
    <w:rsid w:val="006B296E"/>
    <w:rsid w:val="006B2B8C"/>
    <w:rsid w:val="006B5104"/>
    <w:rsid w:val="006B7DA6"/>
    <w:rsid w:val="006C01F5"/>
    <w:rsid w:val="006C1A5E"/>
    <w:rsid w:val="006C4708"/>
    <w:rsid w:val="006C4733"/>
    <w:rsid w:val="006C6C8D"/>
    <w:rsid w:val="006C7C7E"/>
    <w:rsid w:val="006D0056"/>
    <w:rsid w:val="006D0111"/>
    <w:rsid w:val="006D0AA2"/>
    <w:rsid w:val="006D152D"/>
    <w:rsid w:val="006D15F2"/>
    <w:rsid w:val="006D2F7E"/>
    <w:rsid w:val="006D32B6"/>
    <w:rsid w:val="006D5F39"/>
    <w:rsid w:val="006D69CA"/>
    <w:rsid w:val="006D6AB2"/>
    <w:rsid w:val="006D7440"/>
    <w:rsid w:val="006D772B"/>
    <w:rsid w:val="006E02A5"/>
    <w:rsid w:val="006E0520"/>
    <w:rsid w:val="006E1637"/>
    <w:rsid w:val="006E1CA1"/>
    <w:rsid w:val="006E20F2"/>
    <w:rsid w:val="006E23C7"/>
    <w:rsid w:val="006E2E18"/>
    <w:rsid w:val="006E2EDB"/>
    <w:rsid w:val="006E3E8D"/>
    <w:rsid w:val="006E478B"/>
    <w:rsid w:val="006E4C9F"/>
    <w:rsid w:val="006E5028"/>
    <w:rsid w:val="006E643F"/>
    <w:rsid w:val="006E7BBA"/>
    <w:rsid w:val="006E7CBA"/>
    <w:rsid w:val="006E7ECA"/>
    <w:rsid w:val="006F09A7"/>
    <w:rsid w:val="006F180C"/>
    <w:rsid w:val="006F2585"/>
    <w:rsid w:val="006F6117"/>
    <w:rsid w:val="006F7FD3"/>
    <w:rsid w:val="00700123"/>
    <w:rsid w:val="00701F6A"/>
    <w:rsid w:val="00702BA2"/>
    <w:rsid w:val="00703D1A"/>
    <w:rsid w:val="00705034"/>
    <w:rsid w:val="00705638"/>
    <w:rsid w:val="007063B2"/>
    <w:rsid w:val="0070797A"/>
    <w:rsid w:val="00707B6A"/>
    <w:rsid w:val="00710ED3"/>
    <w:rsid w:val="00711B5C"/>
    <w:rsid w:val="00713997"/>
    <w:rsid w:val="00715321"/>
    <w:rsid w:val="00715F0A"/>
    <w:rsid w:val="0071620E"/>
    <w:rsid w:val="00716A42"/>
    <w:rsid w:val="007202C0"/>
    <w:rsid w:val="00722C1E"/>
    <w:rsid w:val="00723605"/>
    <w:rsid w:val="0072363C"/>
    <w:rsid w:val="0072530D"/>
    <w:rsid w:val="007278CB"/>
    <w:rsid w:val="00731857"/>
    <w:rsid w:val="0073198D"/>
    <w:rsid w:val="00733400"/>
    <w:rsid w:val="00734599"/>
    <w:rsid w:val="007351AE"/>
    <w:rsid w:val="007377DA"/>
    <w:rsid w:val="00741E69"/>
    <w:rsid w:val="00743868"/>
    <w:rsid w:val="007443BE"/>
    <w:rsid w:val="0074546D"/>
    <w:rsid w:val="00745699"/>
    <w:rsid w:val="00746303"/>
    <w:rsid w:val="00746C31"/>
    <w:rsid w:val="007479C1"/>
    <w:rsid w:val="00750108"/>
    <w:rsid w:val="00751603"/>
    <w:rsid w:val="007523C4"/>
    <w:rsid w:val="00754FA3"/>
    <w:rsid w:val="007571F7"/>
    <w:rsid w:val="007609A8"/>
    <w:rsid w:val="00761F66"/>
    <w:rsid w:val="00762D15"/>
    <w:rsid w:val="00763A70"/>
    <w:rsid w:val="0076454F"/>
    <w:rsid w:val="00764FFF"/>
    <w:rsid w:val="0076537B"/>
    <w:rsid w:val="00765B65"/>
    <w:rsid w:val="0076646B"/>
    <w:rsid w:val="00766671"/>
    <w:rsid w:val="00766E59"/>
    <w:rsid w:val="007679D4"/>
    <w:rsid w:val="007710F2"/>
    <w:rsid w:val="0077127A"/>
    <w:rsid w:val="007714E6"/>
    <w:rsid w:val="00772739"/>
    <w:rsid w:val="0077384D"/>
    <w:rsid w:val="007739E7"/>
    <w:rsid w:val="00774008"/>
    <w:rsid w:val="0077750D"/>
    <w:rsid w:val="00780F03"/>
    <w:rsid w:val="00780FB8"/>
    <w:rsid w:val="00781245"/>
    <w:rsid w:val="00781AEF"/>
    <w:rsid w:val="00782EFF"/>
    <w:rsid w:val="00782FED"/>
    <w:rsid w:val="007832CA"/>
    <w:rsid w:val="0078368F"/>
    <w:rsid w:val="0078658B"/>
    <w:rsid w:val="00787133"/>
    <w:rsid w:val="00787282"/>
    <w:rsid w:val="00793D0B"/>
    <w:rsid w:val="0079456B"/>
    <w:rsid w:val="0079527A"/>
    <w:rsid w:val="007960AF"/>
    <w:rsid w:val="0079660D"/>
    <w:rsid w:val="00796868"/>
    <w:rsid w:val="00796ED3"/>
    <w:rsid w:val="00797732"/>
    <w:rsid w:val="007A1550"/>
    <w:rsid w:val="007A2B76"/>
    <w:rsid w:val="007A6B03"/>
    <w:rsid w:val="007B0A9B"/>
    <w:rsid w:val="007B0F2E"/>
    <w:rsid w:val="007B3107"/>
    <w:rsid w:val="007B333F"/>
    <w:rsid w:val="007B38EB"/>
    <w:rsid w:val="007B3D86"/>
    <w:rsid w:val="007B4BB7"/>
    <w:rsid w:val="007B4DF6"/>
    <w:rsid w:val="007C0BE7"/>
    <w:rsid w:val="007C1734"/>
    <w:rsid w:val="007C1DF3"/>
    <w:rsid w:val="007C2BFC"/>
    <w:rsid w:val="007C4AF9"/>
    <w:rsid w:val="007C5E42"/>
    <w:rsid w:val="007C6D71"/>
    <w:rsid w:val="007C6E5E"/>
    <w:rsid w:val="007C7090"/>
    <w:rsid w:val="007C709D"/>
    <w:rsid w:val="007C747E"/>
    <w:rsid w:val="007C7FD6"/>
    <w:rsid w:val="007D0237"/>
    <w:rsid w:val="007D034A"/>
    <w:rsid w:val="007D19D6"/>
    <w:rsid w:val="007D1AD2"/>
    <w:rsid w:val="007D25F3"/>
    <w:rsid w:val="007D2EBA"/>
    <w:rsid w:val="007D3693"/>
    <w:rsid w:val="007D409A"/>
    <w:rsid w:val="007E1A39"/>
    <w:rsid w:val="007E294C"/>
    <w:rsid w:val="007E58DF"/>
    <w:rsid w:val="007E5D9B"/>
    <w:rsid w:val="007E6DDF"/>
    <w:rsid w:val="007E7AE7"/>
    <w:rsid w:val="007F15AA"/>
    <w:rsid w:val="007F3BB5"/>
    <w:rsid w:val="007F5E2C"/>
    <w:rsid w:val="007F678B"/>
    <w:rsid w:val="007F69A1"/>
    <w:rsid w:val="0080325D"/>
    <w:rsid w:val="008033A5"/>
    <w:rsid w:val="008035A8"/>
    <w:rsid w:val="00803C14"/>
    <w:rsid w:val="00805629"/>
    <w:rsid w:val="00806614"/>
    <w:rsid w:val="00807448"/>
    <w:rsid w:val="008104EF"/>
    <w:rsid w:val="00810E8C"/>
    <w:rsid w:val="0081172B"/>
    <w:rsid w:val="00812118"/>
    <w:rsid w:val="0081344D"/>
    <w:rsid w:val="00813BC1"/>
    <w:rsid w:val="00814494"/>
    <w:rsid w:val="0081463C"/>
    <w:rsid w:val="0081482C"/>
    <w:rsid w:val="008170DB"/>
    <w:rsid w:val="0081767A"/>
    <w:rsid w:val="00817B18"/>
    <w:rsid w:val="00820571"/>
    <w:rsid w:val="00821073"/>
    <w:rsid w:val="008211E1"/>
    <w:rsid w:val="008213A6"/>
    <w:rsid w:val="008228EA"/>
    <w:rsid w:val="0082309E"/>
    <w:rsid w:val="008233AC"/>
    <w:rsid w:val="008233AD"/>
    <w:rsid w:val="008266AD"/>
    <w:rsid w:val="00827C9C"/>
    <w:rsid w:val="0083060A"/>
    <w:rsid w:val="00830FCB"/>
    <w:rsid w:val="00831CB1"/>
    <w:rsid w:val="00833550"/>
    <w:rsid w:val="00834451"/>
    <w:rsid w:val="0083474B"/>
    <w:rsid w:val="00835D6B"/>
    <w:rsid w:val="00835D9C"/>
    <w:rsid w:val="00835EAB"/>
    <w:rsid w:val="00836AF3"/>
    <w:rsid w:val="00840377"/>
    <w:rsid w:val="00840B60"/>
    <w:rsid w:val="00841041"/>
    <w:rsid w:val="008410FA"/>
    <w:rsid w:val="00841E4F"/>
    <w:rsid w:val="008423F3"/>
    <w:rsid w:val="00842A77"/>
    <w:rsid w:val="00844169"/>
    <w:rsid w:val="00845553"/>
    <w:rsid w:val="00846199"/>
    <w:rsid w:val="00846E36"/>
    <w:rsid w:val="00850AE5"/>
    <w:rsid w:val="00851412"/>
    <w:rsid w:val="008517F3"/>
    <w:rsid w:val="00851B9A"/>
    <w:rsid w:val="00852E8C"/>
    <w:rsid w:val="00853D96"/>
    <w:rsid w:val="00854172"/>
    <w:rsid w:val="00855C8A"/>
    <w:rsid w:val="00856C59"/>
    <w:rsid w:val="008604CD"/>
    <w:rsid w:val="00860F8D"/>
    <w:rsid w:val="00861423"/>
    <w:rsid w:val="00861469"/>
    <w:rsid w:val="008626EF"/>
    <w:rsid w:val="00862A87"/>
    <w:rsid w:val="008632BC"/>
    <w:rsid w:val="00863CB1"/>
    <w:rsid w:val="00866A08"/>
    <w:rsid w:val="00866BDE"/>
    <w:rsid w:val="00867482"/>
    <w:rsid w:val="008675A0"/>
    <w:rsid w:val="00871A16"/>
    <w:rsid w:val="0087271D"/>
    <w:rsid w:val="00873F78"/>
    <w:rsid w:val="00874900"/>
    <w:rsid w:val="00877C59"/>
    <w:rsid w:val="00881139"/>
    <w:rsid w:val="00881FEB"/>
    <w:rsid w:val="008825A1"/>
    <w:rsid w:val="00883F1F"/>
    <w:rsid w:val="00885961"/>
    <w:rsid w:val="008879A1"/>
    <w:rsid w:val="00890449"/>
    <w:rsid w:val="008907A2"/>
    <w:rsid w:val="00890AD1"/>
    <w:rsid w:val="00890E5C"/>
    <w:rsid w:val="00891BAD"/>
    <w:rsid w:val="0089558F"/>
    <w:rsid w:val="0089787E"/>
    <w:rsid w:val="008A0A11"/>
    <w:rsid w:val="008A0BE6"/>
    <w:rsid w:val="008A1BED"/>
    <w:rsid w:val="008A2B25"/>
    <w:rsid w:val="008A2ED8"/>
    <w:rsid w:val="008A3473"/>
    <w:rsid w:val="008A3DC8"/>
    <w:rsid w:val="008A3DE3"/>
    <w:rsid w:val="008A506C"/>
    <w:rsid w:val="008A50A7"/>
    <w:rsid w:val="008A5C2B"/>
    <w:rsid w:val="008A6F5E"/>
    <w:rsid w:val="008A71B5"/>
    <w:rsid w:val="008B0476"/>
    <w:rsid w:val="008B0571"/>
    <w:rsid w:val="008B1E3F"/>
    <w:rsid w:val="008B1FE8"/>
    <w:rsid w:val="008B2D81"/>
    <w:rsid w:val="008B468C"/>
    <w:rsid w:val="008B5BE4"/>
    <w:rsid w:val="008C04E4"/>
    <w:rsid w:val="008C05A1"/>
    <w:rsid w:val="008C1C92"/>
    <w:rsid w:val="008C2284"/>
    <w:rsid w:val="008C22D2"/>
    <w:rsid w:val="008C3923"/>
    <w:rsid w:val="008C51AC"/>
    <w:rsid w:val="008C5B1D"/>
    <w:rsid w:val="008C6FCF"/>
    <w:rsid w:val="008D1297"/>
    <w:rsid w:val="008D3044"/>
    <w:rsid w:val="008D6B39"/>
    <w:rsid w:val="008D6BFD"/>
    <w:rsid w:val="008D7F10"/>
    <w:rsid w:val="008E02E0"/>
    <w:rsid w:val="008E20F2"/>
    <w:rsid w:val="008E3773"/>
    <w:rsid w:val="008E3AD9"/>
    <w:rsid w:val="008E54DB"/>
    <w:rsid w:val="008E7A7F"/>
    <w:rsid w:val="008F006A"/>
    <w:rsid w:val="008F0AFF"/>
    <w:rsid w:val="008F0B6A"/>
    <w:rsid w:val="008F1A08"/>
    <w:rsid w:val="008F1B49"/>
    <w:rsid w:val="008F36A0"/>
    <w:rsid w:val="008F5F36"/>
    <w:rsid w:val="008F71DE"/>
    <w:rsid w:val="008F76E3"/>
    <w:rsid w:val="00900FB5"/>
    <w:rsid w:val="00901857"/>
    <w:rsid w:val="009024D6"/>
    <w:rsid w:val="0090661B"/>
    <w:rsid w:val="00907608"/>
    <w:rsid w:val="00907D03"/>
    <w:rsid w:val="00910961"/>
    <w:rsid w:val="0091342C"/>
    <w:rsid w:val="009137E0"/>
    <w:rsid w:val="00915478"/>
    <w:rsid w:val="009167F9"/>
    <w:rsid w:val="009168B2"/>
    <w:rsid w:val="009172E6"/>
    <w:rsid w:val="009229D4"/>
    <w:rsid w:val="00923A69"/>
    <w:rsid w:val="00923BC2"/>
    <w:rsid w:val="00923D64"/>
    <w:rsid w:val="009244BF"/>
    <w:rsid w:val="009246D0"/>
    <w:rsid w:val="00925D31"/>
    <w:rsid w:val="009273F8"/>
    <w:rsid w:val="009276FF"/>
    <w:rsid w:val="009341C0"/>
    <w:rsid w:val="0093552C"/>
    <w:rsid w:val="009364C8"/>
    <w:rsid w:val="00936AB8"/>
    <w:rsid w:val="00937AC1"/>
    <w:rsid w:val="009408F5"/>
    <w:rsid w:val="0094185D"/>
    <w:rsid w:val="00943B08"/>
    <w:rsid w:val="00943ED1"/>
    <w:rsid w:val="00945520"/>
    <w:rsid w:val="00945A8B"/>
    <w:rsid w:val="00946158"/>
    <w:rsid w:val="00946937"/>
    <w:rsid w:val="009472BE"/>
    <w:rsid w:val="009479FF"/>
    <w:rsid w:val="00950378"/>
    <w:rsid w:val="009517AF"/>
    <w:rsid w:val="00951F2D"/>
    <w:rsid w:val="00955D9E"/>
    <w:rsid w:val="009561F5"/>
    <w:rsid w:val="00960313"/>
    <w:rsid w:val="00960CE3"/>
    <w:rsid w:val="009611C0"/>
    <w:rsid w:val="0096166C"/>
    <w:rsid w:val="0096377B"/>
    <w:rsid w:val="00963DBA"/>
    <w:rsid w:val="0096472B"/>
    <w:rsid w:val="00964832"/>
    <w:rsid w:val="0097193A"/>
    <w:rsid w:val="00971A02"/>
    <w:rsid w:val="009728D9"/>
    <w:rsid w:val="0097573C"/>
    <w:rsid w:val="00975DE6"/>
    <w:rsid w:val="00980712"/>
    <w:rsid w:val="00983B18"/>
    <w:rsid w:val="00985171"/>
    <w:rsid w:val="00985D41"/>
    <w:rsid w:val="009870EA"/>
    <w:rsid w:val="009878DA"/>
    <w:rsid w:val="00987EDD"/>
    <w:rsid w:val="00992203"/>
    <w:rsid w:val="0099346C"/>
    <w:rsid w:val="0099547E"/>
    <w:rsid w:val="00997B16"/>
    <w:rsid w:val="009A0FF7"/>
    <w:rsid w:val="009A20F6"/>
    <w:rsid w:val="009A2D8E"/>
    <w:rsid w:val="009A47D2"/>
    <w:rsid w:val="009A54AF"/>
    <w:rsid w:val="009A613A"/>
    <w:rsid w:val="009B09BE"/>
    <w:rsid w:val="009B30BF"/>
    <w:rsid w:val="009B34A9"/>
    <w:rsid w:val="009B3727"/>
    <w:rsid w:val="009B4517"/>
    <w:rsid w:val="009B54C6"/>
    <w:rsid w:val="009B5BA6"/>
    <w:rsid w:val="009B63E9"/>
    <w:rsid w:val="009C051D"/>
    <w:rsid w:val="009C06A1"/>
    <w:rsid w:val="009C0ABB"/>
    <w:rsid w:val="009C123B"/>
    <w:rsid w:val="009C124B"/>
    <w:rsid w:val="009C1400"/>
    <w:rsid w:val="009C2D7D"/>
    <w:rsid w:val="009C5F67"/>
    <w:rsid w:val="009C6BF5"/>
    <w:rsid w:val="009C7891"/>
    <w:rsid w:val="009D2348"/>
    <w:rsid w:val="009D4113"/>
    <w:rsid w:val="009D48A8"/>
    <w:rsid w:val="009E0EAA"/>
    <w:rsid w:val="009E0F8D"/>
    <w:rsid w:val="009E1DB4"/>
    <w:rsid w:val="009E2823"/>
    <w:rsid w:val="009E2F89"/>
    <w:rsid w:val="009E43E0"/>
    <w:rsid w:val="009E4D21"/>
    <w:rsid w:val="009E6DDD"/>
    <w:rsid w:val="009F11CE"/>
    <w:rsid w:val="009F40AC"/>
    <w:rsid w:val="009F47CD"/>
    <w:rsid w:val="009F6EAA"/>
    <w:rsid w:val="009F7C7C"/>
    <w:rsid w:val="00A030EA"/>
    <w:rsid w:val="00A03AC8"/>
    <w:rsid w:val="00A04BEC"/>
    <w:rsid w:val="00A05B37"/>
    <w:rsid w:val="00A0745A"/>
    <w:rsid w:val="00A10D30"/>
    <w:rsid w:val="00A11660"/>
    <w:rsid w:val="00A11FDC"/>
    <w:rsid w:val="00A12675"/>
    <w:rsid w:val="00A13BEA"/>
    <w:rsid w:val="00A17DC8"/>
    <w:rsid w:val="00A227FF"/>
    <w:rsid w:val="00A24136"/>
    <w:rsid w:val="00A249B1"/>
    <w:rsid w:val="00A2552B"/>
    <w:rsid w:val="00A258B5"/>
    <w:rsid w:val="00A25B6F"/>
    <w:rsid w:val="00A25F5E"/>
    <w:rsid w:val="00A32D4C"/>
    <w:rsid w:val="00A359B7"/>
    <w:rsid w:val="00A361A3"/>
    <w:rsid w:val="00A365AC"/>
    <w:rsid w:val="00A36671"/>
    <w:rsid w:val="00A4092E"/>
    <w:rsid w:val="00A411C6"/>
    <w:rsid w:val="00A42107"/>
    <w:rsid w:val="00A427CE"/>
    <w:rsid w:val="00A45277"/>
    <w:rsid w:val="00A45CAB"/>
    <w:rsid w:val="00A5219F"/>
    <w:rsid w:val="00A5334F"/>
    <w:rsid w:val="00A56D7B"/>
    <w:rsid w:val="00A57404"/>
    <w:rsid w:val="00A5782D"/>
    <w:rsid w:val="00A600B5"/>
    <w:rsid w:val="00A612C8"/>
    <w:rsid w:val="00A62846"/>
    <w:rsid w:val="00A6625A"/>
    <w:rsid w:val="00A670BE"/>
    <w:rsid w:val="00A7003A"/>
    <w:rsid w:val="00A70C7D"/>
    <w:rsid w:val="00A713DA"/>
    <w:rsid w:val="00A72C9F"/>
    <w:rsid w:val="00A73FFB"/>
    <w:rsid w:val="00A74488"/>
    <w:rsid w:val="00A754C0"/>
    <w:rsid w:val="00A777AA"/>
    <w:rsid w:val="00A81A49"/>
    <w:rsid w:val="00A81F5E"/>
    <w:rsid w:val="00A82630"/>
    <w:rsid w:val="00A82865"/>
    <w:rsid w:val="00A834E1"/>
    <w:rsid w:val="00A848BC"/>
    <w:rsid w:val="00A865BF"/>
    <w:rsid w:val="00A87550"/>
    <w:rsid w:val="00A90533"/>
    <w:rsid w:val="00A90812"/>
    <w:rsid w:val="00A91493"/>
    <w:rsid w:val="00A91C5C"/>
    <w:rsid w:val="00A91E27"/>
    <w:rsid w:val="00A91E64"/>
    <w:rsid w:val="00A947BD"/>
    <w:rsid w:val="00AA0DA2"/>
    <w:rsid w:val="00AA17AC"/>
    <w:rsid w:val="00AA1848"/>
    <w:rsid w:val="00AA51A5"/>
    <w:rsid w:val="00AA6762"/>
    <w:rsid w:val="00AB0D39"/>
    <w:rsid w:val="00AB1295"/>
    <w:rsid w:val="00AB403F"/>
    <w:rsid w:val="00AB5201"/>
    <w:rsid w:val="00AB60B9"/>
    <w:rsid w:val="00AB76FD"/>
    <w:rsid w:val="00AC2EFC"/>
    <w:rsid w:val="00AC4B05"/>
    <w:rsid w:val="00AC4DF4"/>
    <w:rsid w:val="00AC5AA0"/>
    <w:rsid w:val="00AC6043"/>
    <w:rsid w:val="00AD1A95"/>
    <w:rsid w:val="00AD311D"/>
    <w:rsid w:val="00AD32AC"/>
    <w:rsid w:val="00AD5688"/>
    <w:rsid w:val="00AD6BF6"/>
    <w:rsid w:val="00AD717A"/>
    <w:rsid w:val="00AD7A8B"/>
    <w:rsid w:val="00AD7FB8"/>
    <w:rsid w:val="00AE17EA"/>
    <w:rsid w:val="00AE2AEF"/>
    <w:rsid w:val="00AE5CF7"/>
    <w:rsid w:val="00AE797F"/>
    <w:rsid w:val="00AE7AD4"/>
    <w:rsid w:val="00AF0B90"/>
    <w:rsid w:val="00AF29AA"/>
    <w:rsid w:val="00AF43E6"/>
    <w:rsid w:val="00AF54D6"/>
    <w:rsid w:val="00AF5E9B"/>
    <w:rsid w:val="00B00410"/>
    <w:rsid w:val="00B00ACC"/>
    <w:rsid w:val="00B01AED"/>
    <w:rsid w:val="00B02199"/>
    <w:rsid w:val="00B041C7"/>
    <w:rsid w:val="00B0775C"/>
    <w:rsid w:val="00B10E95"/>
    <w:rsid w:val="00B14306"/>
    <w:rsid w:val="00B14EF9"/>
    <w:rsid w:val="00B17FFE"/>
    <w:rsid w:val="00B2090F"/>
    <w:rsid w:val="00B21522"/>
    <w:rsid w:val="00B21A9D"/>
    <w:rsid w:val="00B21BDA"/>
    <w:rsid w:val="00B2382D"/>
    <w:rsid w:val="00B23BD2"/>
    <w:rsid w:val="00B24B52"/>
    <w:rsid w:val="00B252F6"/>
    <w:rsid w:val="00B25BC2"/>
    <w:rsid w:val="00B30146"/>
    <w:rsid w:val="00B30183"/>
    <w:rsid w:val="00B30B39"/>
    <w:rsid w:val="00B30D74"/>
    <w:rsid w:val="00B31E90"/>
    <w:rsid w:val="00B320E2"/>
    <w:rsid w:val="00B324E0"/>
    <w:rsid w:val="00B331DB"/>
    <w:rsid w:val="00B3525D"/>
    <w:rsid w:val="00B362DB"/>
    <w:rsid w:val="00B3767A"/>
    <w:rsid w:val="00B377F1"/>
    <w:rsid w:val="00B41E77"/>
    <w:rsid w:val="00B424B9"/>
    <w:rsid w:val="00B441FE"/>
    <w:rsid w:val="00B44510"/>
    <w:rsid w:val="00B44D08"/>
    <w:rsid w:val="00B468CE"/>
    <w:rsid w:val="00B46ADB"/>
    <w:rsid w:val="00B47126"/>
    <w:rsid w:val="00B47E7A"/>
    <w:rsid w:val="00B5103B"/>
    <w:rsid w:val="00B52D10"/>
    <w:rsid w:val="00B5580B"/>
    <w:rsid w:val="00B569EC"/>
    <w:rsid w:val="00B60608"/>
    <w:rsid w:val="00B60626"/>
    <w:rsid w:val="00B61135"/>
    <w:rsid w:val="00B61D49"/>
    <w:rsid w:val="00B6287D"/>
    <w:rsid w:val="00B6445E"/>
    <w:rsid w:val="00B664E2"/>
    <w:rsid w:val="00B672ED"/>
    <w:rsid w:val="00B678FB"/>
    <w:rsid w:val="00B703B9"/>
    <w:rsid w:val="00B70B5C"/>
    <w:rsid w:val="00B768EF"/>
    <w:rsid w:val="00B77628"/>
    <w:rsid w:val="00B80B80"/>
    <w:rsid w:val="00B80CFD"/>
    <w:rsid w:val="00B827BE"/>
    <w:rsid w:val="00B8382D"/>
    <w:rsid w:val="00B83C79"/>
    <w:rsid w:val="00B8403C"/>
    <w:rsid w:val="00B86282"/>
    <w:rsid w:val="00B869BD"/>
    <w:rsid w:val="00B87501"/>
    <w:rsid w:val="00B901F2"/>
    <w:rsid w:val="00B903BE"/>
    <w:rsid w:val="00B9087B"/>
    <w:rsid w:val="00B918D8"/>
    <w:rsid w:val="00B92176"/>
    <w:rsid w:val="00B922B3"/>
    <w:rsid w:val="00B92655"/>
    <w:rsid w:val="00B94D1B"/>
    <w:rsid w:val="00B95C5F"/>
    <w:rsid w:val="00B97675"/>
    <w:rsid w:val="00B97E71"/>
    <w:rsid w:val="00BA307C"/>
    <w:rsid w:val="00BA5EA1"/>
    <w:rsid w:val="00BA7846"/>
    <w:rsid w:val="00BB191F"/>
    <w:rsid w:val="00BB2515"/>
    <w:rsid w:val="00BB336F"/>
    <w:rsid w:val="00BB37FE"/>
    <w:rsid w:val="00BB4181"/>
    <w:rsid w:val="00BB74D4"/>
    <w:rsid w:val="00BC205E"/>
    <w:rsid w:val="00BC21FE"/>
    <w:rsid w:val="00BC2E47"/>
    <w:rsid w:val="00BC5B1B"/>
    <w:rsid w:val="00BC5CCD"/>
    <w:rsid w:val="00BC6424"/>
    <w:rsid w:val="00BC7982"/>
    <w:rsid w:val="00BC7FC5"/>
    <w:rsid w:val="00BD0BC0"/>
    <w:rsid w:val="00BD0E99"/>
    <w:rsid w:val="00BD190B"/>
    <w:rsid w:val="00BD1954"/>
    <w:rsid w:val="00BD1F94"/>
    <w:rsid w:val="00BD2670"/>
    <w:rsid w:val="00BD33AB"/>
    <w:rsid w:val="00BD51CF"/>
    <w:rsid w:val="00BD623E"/>
    <w:rsid w:val="00BD7EBD"/>
    <w:rsid w:val="00BE0067"/>
    <w:rsid w:val="00BE2430"/>
    <w:rsid w:val="00BE2D42"/>
    <w:rsid w:val="00BE3ED3"/>
    <w:rsid w:val="00BE4AB0"/>
    <w:rsid w:val="00BE5226"/>
    <w:rsid w:val="00BE6A4E"/>
    <w:rsid w:val="00BE7BB8"/>
    <w:rsid w:val="00BE7BC1"/>
    <w:rsid w:val="00BF2FF0"/>
    <w:rsid w:val="00BF49A9"/>
    <w:rsid w:val="00C03B33"/>
    <w:rsid w:val="00C03BFA"/>
    <w:rsid w:val="00C03E75"/>
    <w:rsid w:val="00C041DE"/>
    <w:rsid w:val="00C04374"/>
    <w:rsid w:val="00C061F9"/>
    <w:rsid w:val="00C079FF"/>
    <w:rsid w:val="00C12A20"/>
    <w:rsid w:val="00C134E4"/>
    <w:rsid w:val="00C14A94"/>
    <w:rsid w:val="00C157D7"/>
    <w:rsid w:val="00C16A5B"/>
    <w:rsid w:val="00C17D5D"/>
    <w:rsid w:val="00C20E26"/>
    <w:rsid w:val="00C21326"/>
    <w:rsid w:val="00C2233E"/>
    <w:rsid w:val="00C22BCF"/>
    <w:rsid w:val="00C22C4B"/>
    <w:rsid w:val="00C23B89"/>
    <w:rsid w:val="00C24C09"/>
    <w:rsid w:val="00C24DE6"/>
    <w:rsid w:val="00C25020"/>
    <w:rsid w:val="00C253BB"/>
    <w:rsid w:val="00C272CB"/>
    <w:rsid w:val="00C278AE"/>
    <w:rsid w:val="00C27A10"/>
    <w:rsid w:val="00C27D0E"/>
    <w:rsid w:val="00C32B11"/>
    <w:rsid w:val="00C33FC7"/>
    <w:rsid w:val="00C34CC5"/>
    <w:rsid w:val="00C35BB3"/>
    <w:rsid w:val="00C36568"/>
    <w:rsid w:val="00C43B2E"/>
    <w:rsid w:val="00C44572"/>
    <w:rsid w:val="00C451D9"/>
    <w:rsid w:val="00C456DB"/>
    <w:rsid w:val="00C4573A"/>
    <w:rsid w:val="00C4591F"/>
    <w:rsid w:val="00C45E4E"/>
    <w:rsid w:val="00C46691"/>
    <w:rsid w:val="00C46BC8"/>
    <w:rsid w:val="00C46E73"/>
    <w:rsid w:val="00C474EE"/>
    <w:rsid w:val="00C475F3"/>
    <w:rsid w:val="00C50BDF"/>
    <w:rsid w:val="00C5183E"/>
    <w:rsid w:val="00C5315E"/>
    <w:rsid w:val="00C53FB1"/>
    <w:rsid w:val="00C54D04"/>
    <w:rsid w:val="00C55D0F"/>
    <w:rsid w:val="00C6047F"/>
    <w:rsid w:val="00C60F8D"/>
    <w:rsid w:val="00C61248"/>
    <w:rsid w:val="00C61318"/>
    <w:rsid w:val="00C61D6D"/>
    <w:rsid w:val="00C63215"/>
    <w:rsid w:val="00C64806"/>
    <w:rsid w:val="00C65A70"/>
    <w:rsid w:val="00C66D03"/>
    <w:rsid w:val="00C6740D"/>
    <w:rsid w:val="00C67AA0"/>
    <w:rsid w:val="00C7062C"/>
    <w:rsid w:val="00C71126"/>
    <w:rsid w:val="00C713A3"/>
    <w:rsid w:val="00C747D8"/>
    <w:rsid w:val="00C75E6D"/>
    <w:rsid w:val="00C777C6"/>
    <w:rsid w:val="00C80C26"/>
    <w:rsid w:val="00C816B0"/>
    <w:rsid w:val="00C86284"/>
    <w:rsid w:val="00C906D0"/>
    <w:rsid w:val="00C90BB7"/>
    <w:rsid w:val="00C921EF"/>
    <w:rsid w:val="00C93154"/>
    <w:rsid w:val="00C93FE9"/>
    <w:rsid w:val="00C94E3C"/>
    <w:rsid w:val="00C951A4"/>
    <w:rsid w:val="00C962EE"/>
    <w:rsid w:val="00CA1349"/>
    <w:rsid w:val="00CA2DD5"/>
    <w:rsid w:val="00CA2E2C"/>
    <w:rsid w:val="00CA33BC"/>
    <w:rsid w:val="00CA3CFC"/>
    <w:rsid w:val="00CA4444"/>
    <w:rsid w:val="00CA7634"/>
    <w:rsid w:val="00CA7853"/>
    <w:rsid w:val="00CA7F0F"/>
    <w:rsid w:val="00CB0705"/>
    <w:rsid w:val="00CB1D3A"/>
    <w:rsid w:val="00CB1F1D"/>
    <w:rsid w:val="00CB36D9"/>
    <w:rsid w:val="00CB3EB6"/>
    <w:rsid w:val="00CB3F7B"/>
    <w:rsid w:val="00CB4AE9"/>
    <w:rsid w:val="00CB4D3C"/>
    <w:rsid w:val="00CB4F50"/>
    <w:rsid w:val="00CB590B"/>
    <w:rsid w:val="00CB7477"/>
    <w:rsid w:val="00CC07DA"/>
    <w:rsid w:val="00CC0F9F"/>
    <w:rsid w:val="00CC21DA"/>
    <w:rsid w:val="00CC3A99"/>
    <w:rsid w:val="00CC6B40"/>
    <w:rsid w:val="00CC74BD"/>
    <w:rsid w:val="00CD0BDF"/>
    <w:rsid w:val="00CD213B"/>
    <w:rsid w:val="00CD2CE4"/>
    <w:rsid w:val="00CD4966"/>
    <w:rsid w:val="00CD5CFB"/>
    <w:rsid w:val="00CD794A"/>
    <w:rsid w:val="00CD7977"/>
    <w:rsid w:val="00CE0B3E"/>
    <w:rsid w:val="00CE37E1"/>
    <w:rsid w:val="00CE457B"/>
    <w:rsid w:val="00CF0C6B"/>
    <w:rsid w:val="00CF2C43"/>
    <w:rsid w:val="00CF3F87"/>
    <w:rsid w:val="00CF492E"/>
    <w:rsid w:val="00CF51D2"/>
    <w:rsid w:val="00CF64A6"/>
    <w:rsid w:val="00D00D67"/>
    <w:rsid w:val="00D01A01"/>
    <w:rsid w:val="00D02F62"/>
    <w:rsid w:val="00D03283"/>
    <w:rsid w:val="00D036B1"/>
    <w:rsid w:val="00D03DDB"/>
    <w:rsid w:val="00D05632"/>
    <w:rsid w:val="00D06E73"/>
    <w:rsid w:val="00D103DC"/>
    <w:rsid w:val="00D10824"/>
    <w:rsid w:val="00D1105E"/>
    <w:rsid w:val="00D127C2"/>
    <w:rsid w:val="00D12B97"/>
    <w:rsid w:val="00D147C1"/>
    <w:rsid w:val="00D14FDA"/>
    <w:rsid w:val="00D16278"/>
    <w:rsid w:val="00D179F8"/>
    <w:rsid w:val="00D17DDD"/>
    <w:rsid w:val="00D21179"/>
    <w:rsid w:val="00D2265B"/>
    <w:rsid w:val="00D248E8"/>
    <w:rsid w:val="00D267AA"/>
    <w:rsid w:val="00D2743E"/>
    <w:rsid w:val="00D30317"/>
    <w:rsid w:val="00D30B87"/>
    <w:rsid w:val="00D31103"/>
    <w:rsid w:val="00D31D80"/>
    <w:rsid w:val="00D323FF"/>
    <w:rsid w:val="00D32631"/>
    <w:rsid w:val="00D32EF8"/>
    <w:rsid w:val="00D32FDD"/>
    <w:rsid w:val="00D33141"/>
    <w:rsid w:val="00D34D38"/>
    <w:rsid w:val="00D35395"/>
    <w:rsid w:val="00D43879"/>
    <w:rsid w:val="00D455F8"/>
    <w:rsid w:val="00D45C68"/>
    <w:rsid w:val="00D4768B"/>
    <w:rsid w:val="00D47757"/>
    <w:rsid w:val="00D50D6A"/>
    <w:rsid w:val="00D511B2"/>
    <w:rsid w:val="00D52666"/>
    <w:rsid w:val="00D526AE"/>
    <w:rsid w:val="00D553A5"/>
    <w:rsid w:val="00D566DB"/>
    <w:rsid w:val="00D6145B"/>
    <w:rsid w:val="00D6220C"/>
    <w:rsid w:val="00D63097"/>
    <w:rsid w:val="00D633ED"/>
    <w:rsid w:val="00D638D5"/>
    <w:rsid w:val="00D66D9C"/>
    <w:rsid w:val="00D67DEB"/>
    <w:rsid w:val="00D67E41"/>
    <w:rsid w:val="00D70DD3"/>
    <w:rsid w:val="00D71348"/>
    <w:rsid w:val="00D716FC"/>
    <w:rsid w:val="00D73051"/>
    <w:rsid w:val="00D7396D"/>
    <w:rsid w:val="00D74127"/>
    <w:rsid w:val="00D7426F"/>
    <w:rsid w:val="00D755E8"/>
    <w:rsid w:val="00D75694"/>
    <w:rsid w:val="00D75E4E"/>
    <w:rsid w:val="00D76651"/>
    <w:rsid w:val="00D76A97"/>
    <w:rsid w:val="00D800D8"/>
    <w:rsid w:val="00D81047"/>
    <w:rsid w:val="00D81D64"/>
    <w:rsid w:val="00D82625"/>
    <w:rsid w:val="00D82DB5"/>
    <w:rsid w:val="00D84B95"/>
    <w:rsid w:val="00D85B86"/>
    <w:rsid w:val="00D86A91"/>
    <w:rsid w:val="00D87A22"/>
    <w:rsid w:val="00D918CF"/>
    <w:rsid w:val="00D924F1"/>
    <w:rsid w:val="00D9418E"/>
    <w:rsid w:val="00D96462"/>
    <w:rsid w:val="00D97E24"/>
    <w:rsid w:val="00DA266F"/>
    <w:rsid w:val="00DA2B90"/>
    <w:rsid w:val="00DA2DF6"/>
    <w:rsid w:val="00DA31F9"/>
    <w:rsid w:val="00DA37EF"/>
    <w:rsid w:val="00DA44B5"/>
    <w:rsid w:val="00DA55B1"/>
    <w:rsid w:val="00DA57D4"/>
    <w:rsid w:val="00DA5BEC"/>
    <w:rsid w:val="00DA6235"/>
    <w:rsid w:val="00DA6E1F"/>
    <w:rsid w:val="00DA723B"/>
    <w:rsid w:val="00DA7421"/>
    <w:rsid w:val="00DB013A"/>
    <w:rsid w:val="00DB1A45"/>
    <w:rsid w:val="00DB2B22"/>
    <w:rsid w:val="00DB44AE"/>
    <w:rsid w:val="00DB4CE8"/>
    <w:rsid w:val="00DB502C"/>
    <w:rsid w:val="00DB72B0"/>
    <w:rsid w:val="00DC0D56"/>
    <w:rsid w:val="00DC1E80"/>
    <w:rsid w:val="00DC2CAD"/>
    <w:rsid w:val="00DC4B55"/>
    <w:rsid w:val="00DC5534"/>
    <w:rsid w:val="00DC6C08"/>
    <w:rsid w:val="00DC7285"/>
    <w:rsid w:val="00DC7558"/>
    <w:rsid w:val="00DD26EE"/>
    <w:rsid w:val="00DD2D12"/>
    <w:rsid w:val="00DD2DE2"/>
    <w:rsid w:val="00DD2EBE"/>
    <w:rsid w:val="00DD4D8F"/>
    <w:rsid w:val="00DE0E37"/>
    <w:rsid w:val="00DE1ACA"/>
    <w:rsid w:val="00DE5A9B"/>
    <w:rsid w:val="00DE732F"/>
    <w:rsid w:val="00DE78AF"/>
    <w:rsid w:val="00DF0064"/>
    <w:rsid w:val="00DF0214"/>
    <w:rsid w:val="00DF027F"/>
    <w:rsid w:val="00DF11DE"/>
    <w:rsid w:val="00DF1634"/>
    <w:rsid w:val="00DF2057"/>
    <w:rsid w:val="00DF2BB7"/>
    <w:rsid w:val="00DF3F96"/>
    <w:rsid w:val="00DF605F"/>
    <w:rsid w:val="00DF67C3"/>
    <w:rsid w:val="00DF6EC6"/>
    <w:rsid w:val="00E00712"/>
    <w:rsid w:val="00E00E91"/>
    <w:rsid w:val="00E02B3D"/>
    <w:rsid w:val="00E0329D"/>
    <w:rsid w:val="00E05A9A"/>
    <w:rsid w:val="00E06A30"/>
    <w:rsid w:val="00E074F8"/>
    <w:rsid w:val="00E07FB6"/>
    <w:rsid w:val="00E10930"/>
    <w:rsid w:val="00E10EAB"/>
    <w:rsid w:val="00E1185F"/>
    <w:rsid w:val="00E14BB4"/>
    <w:rsid w:val="00E159DC"/>
    <w:rsid w:val="00E163DF"/>
    <w:rsid w:val="00E16E48"/>
    <w:rsid w:val="00E17CDF"/>
    <w:rsid w:val="00E20416"/>
    <w:rsid w:val="00E20BCA"/>
    <w:rsid w:val="00E211C3"/>
    <w:rsid w:val="00E23BE0"/>
    <w:rsid w:val="00E25B87"/>
    <w:rsid w:val="00E26E44"/>
    <w:rsid w:val="00E2778C"/>
    <w:rsid w:val="00E30B9B"/>
    <w:rsid w:val="00E31382"/>
    <w:rsid w:val="00E32087"/>
    <w:rsid w:val="00E32373"/>
    <w:rsid w:val="00E3325B"/>
    <w:rsid w:val="00E346AA"/>
    <w:rsid w:val="00E35C63"/>
    <w:rsid w:val="00E364A6"/>
    <w:rsid w:val="00E40F55"/>
    <w:rsid w:val="00E414AA"/>
    <w:rsid w:val="00E4155C"/>
    <w:rsid w:val="00E418C3"/>
    <w:rsid w:val="00E41EA4"/>
    <w:rsid w:val="00E42293"/>
    <w:rsid w:val="00E445B2"/>
    <w:rsid w:val="00E44F28"/>
    <w:rsid w:val="00E453D2"/>
    <w:rsid w:val="00E4586F"/>
    <w:rsid w:val="00E46A3C"/>
    <w:rsid w:val="00E4773D"/>
    <w:rsid w:val="00E51378"/>
    <w:rsid w:val="00E51488"/>
    <w:rsid w:val="00E51D7C"/>
    <w:rsid w:val="00E54E48"/>
    <w:rsid w:val="00E55980"/>
    <w:rsid w:val="00E57202"/>
    <w:rsid w:val="00E62236"/>
    <w:rsid w:val="00E638F1"/>
    <w:rsid w:val="00E63950"/>
    <w:rsid w:val="00E6578E"/>
    <w:rsid w:val="00E66595"/>
    <w:rsid w:val="00E6717C"/>
    <w:rsid w:val="00E67D37"/>
    <w:rsid w:val="00E7108B"/>
    <w:rsid w:val="00E72C1D"/>
    <w:rsid w:val="00E7455E"/>
    <w:rsid w:val="00E7603B"/>
    <w:rsid w:val="00E76387"/>
    <w:rsid w:val="00E76A9D"/>
    <w:rsid w:val="00E76BA5"/>
    <w:rsid w:val="00E84B99"/>
    <w:rsid w:val="00E8546F"/>
    <w:rsid w:val="00E8550D"/>
    <w:rsid w:val="00E858F6"/>
    <w:rsid w:val="00E87BB3"/>
    <w:rsid w:val="00E92162"/>
    <w:rsid w:val="00E9237E"/>
    <w:rsid w:val="00E924DA"/>
    <w:rsid w:val="00E9342D"/>
    <w:rsid w:val="00E94AFD"/>
    <w:rsid w:val="00E95949"/>
    <w:rsid w:val="00E961D6"/>
    <w:rsid w:val="00E96FF3"/>
    <w:rsid w:val="00EA2600"/>
    <w:rsid w:val="00EA354C"/>
    <w:rsid w:val="00EA4931"/>
    <w:rsid w:val="00EA5B8E"/>
    <w:rsid w:val="00EA5D9A"/>
    <w:rsid w:val="00EA5FD8"/>
    <w:rsid w:val="00EA668B"/>
    <w:rsid w:val="00EA7473"/>
    <w:rsid w:val="00EB0908"/>
    <w:rsid w:val="00EB0B61"/>
    <w:rsid w:val="00EB1034"/>
    <w:rsid w:val="00EB10F2"/>
    <w:rsid w:val="00EB1B19"/>
    <w:rsid w:val="00EB3777"/>
    <w:rsid w:val="00EB42F2"/>
    <w:rsid w:val="00EB4D51"/>
    <w:rsid w:val="00EB64FD"/>
    <w:rsid w:val="00EB670B"/>
    <w:rsid w:val="00EB6C86"/>
    <w:rsid w:val="00EB72BE"/>
    <w:rsid w:val="00EC0E99"/>
    <w:rsid w:val="00EC1691"/>
    <w:rsid w:val="00EC3993"/>
    <w:rsid w:val="00EC6C89"/>
    <w:rsid w:val="00EC705C"/>
    <w:rsid w:val="00EC7111"/>
    <w:rsid w:val="00EC7594"/>
    <w:rsid w:val="00ED5326"/>
    <w:rsid w:val="00ED53FF"/>
    <w:rsid w:val="00ED7407"/>
    <w:rsid w:val="00EE107A"/>
    <w:rsid w:val="00EE3F5B"/>
    <w:rsid w:val="00EE6D8B"/>
    <w:rsid w:val="00EE7228"/>
    <w:rsid w:val="00EE7579"/>
    <w:rsid w:val="00EF13A1"/>
    <w:rsid w:val="00EF1B81"/>
    <w:rsid w:val="00EF1E56"/>
    <w:rsid w:val="00EF23FC"/>
    <w:rsid w:val="00EF24F6"/>
    <w:rsid w:val="00EF325A"/>
    <w:rsid w:val="00EF3554"/>
    <w:rsid w:val="00EF4C49"/>
    <w:rsid w:val="00EF54D6"/>
    <w:rsid w:val="00EF5A76"/>
    <w:rsid w:val="00EF6D46"/>
    <w:rsid w:val="00EF7315"/>
    <w:rsid w:val="00EF777A"/>
    <w:rsid w:val="00EF7D13"/>
    <w:rsid w:val="00EF7F1F"/>
    <w:rsid w:val="00F00706"/>
    <w:rsid w:val="00F007E1"/>
    <w:rsid w:val="00F008F4"/>
    <w:rsid w:val="00F0134C"/>
    <w:rsid w:val="00F01572"/>
    <w:rsid w:val="00F02F3B"/>
    <w:rsid w:val="00F03590"/>
    <w:rsid w:val="00F045A7"/>
    <w:rsid w:val="00F05770"/>
    <w:rsid w:val="00F067A6"/>
    <w:rsid w:val="00F077D7"/>
    <w:rsid w:val="00F10C32"/>
    <w:rsid w:val="00F12521"/>
    <w:rsid w:val="00F13860"/>
    <w:rsid w:val="00F14700"/>
    <w:rsid w:val="00F15F52"/>
    <w:rsid w:val="00F17890"/>
    <w:rsid w:val="00F20A66"/>
    <w:rsid w:val="00F2136D"/>
    <w:rsid w:val="00F216A9"/>
    <w:rsid w:val="00F22CF1"/>
    <w:rsid w:val="00F239F0"/>
    <w:rsid w:val="00F23CD3"/>
    <w:rsid w:val="00F2420A"/>
    <w:rsid w:val="00F261BF"/>
    <w:rsid w:val="00F30131"/>
    <w:rsid w:val="00F314BA"/>
    <w:rsid w:val="00F319C8"/>
    <w:rsid w:val="00F34127"/>
    <w:rsid w:val="00F346C4"/>
    <w:rsid w:val="00F34E43"/>
    <w:rsid w:val="00F36F9A"/>
    <w:rsid w:val="00F40321"/>
    <w:rsid w:val="00F423EC"/>
    <w:rsid w:val="00F430FC"/>
    <w:rsid w:val="00F43196"/>
    <w:rsid w:val="00F43D0D"/>
    <w:rsid w:val="00F44FD3"/>
    <w:rsid w:val="00F45519"/>
    <w:rsid w:val="00F45908"/>
    <w:rsid w:val="00F45B14"/>
    <w:rsid w:val="00F45DFC"/>
    <w:rsid w:val="00F465AB"/>
    <w:rsid w:val="00F47D0D"/>
    <w:rsid w:val="00F500A3"/>
    <w:rsid w:val="00F55ABB"/>
    <w:rsid w:val="00F571FB"/>
    <w:rsid w:val="00F57910"/>
    <w:rsid w:val="00F57B19"/>
    <w:rsid w:val="00F600A4"/>
    <w:rsid w:val="00F607BC"/>
    <w:rsid w:val="00F61C8C"/>
    <w:rsid w:val="00F638E7"/>
    <w:rsid w:val="00F66AB3"/>
    <w:rsid w:val="00F7092E"/>
    <w:rsid w:val="00F7379D"/>
    <w:rsid w:val="00F743D8"/>
    <w:rsid w:val="00F74BC7"/>
    <w:rsid w:val="00F766D5"/>
    <w:rsid w:val="00F778FE"/>
    <w:rsid w:val="00F77D95"/>
    <w:rsid w:val="00F80098"/>
    <w:rsid w:val="00F8038A"/>
    <w:rsid w:val="00F8142D"/>
    <w:rsid w:val="00F823D3"/>
    <w:rsid w:val="00F83718"/>
    <w:rsid w:val="00F83B7B"/>
    <w:rsid w:val="00F84AA3"/>
    <w:rsid w:val="00F85219"/>
    <w:rsid w:val="00F8696C"/>
    <w:rsid w:val="00F87146"/>
    <w:rsid w:val="00F90B0F"/>
    <w:rsid w:val="00F90D60"/>
    <w:rsid w:val="00F920A2"/>
    <w:rsid w:val="00F92849"/>
    <w:rsid w:val="00F93190"/>
    <w:rsid w:val="00F94B60"/>
    <w:rsid w:val="00F94C80"/>
    <w:rsid w:val="00F97390"/>
    <w:rsid w:val="00F97A94"/>
    <w:rsid w:val="00FA0F67"/>
    <w:rsid w:val="00FA1B03"/>
    <w:rsid w:val="00FA2482"/>
    <w:rsid w:val="00FA2C73"/>
    <w:rsid w:val="00FA3DA4"/>
    <w:rsid w:val="00FA41A0"/>
    <w:rsid w:val="00FA56E9"/>
    <w:rsid w:val="00FA7E84"/>
    <w:rsid w:val="00FB06CE"/>
    <w:rsid w:val="00FB1CE3"/>
    <w:rsid w:val="00FB3CC9"/>
    <w:rsid w:val="00FB4CE6"/>
    <w:rsid w:val="00FB4E63"/>
    <w:rsid w:val="00FB62E5"/>
    <w:rsid w:val="00FC01B9"/>
    <w:rsid w:val="00FC350D"/>
    <w:rsid w:val="00FC37A4"/>
    <w:rsid w:val="00FC38B0"/>
    <w:rsid w:val="00FC5945"/>
    <w:rsid w:val="00FC65FC"/>
    <w:rsid w:val="00FC6FB9"/>
    <w:rsid w:val="00FC7CD5"/>
    <w:rsid w:val="00FD0A04"/>
    <w:rsid w:val="00FD0FB5"/>
    <w:rsid w:val="00FD1335"/>
    <w:rsid w:val="00FD3042"/>
    <w:rsid w:val="00FD535E"/>
    <w:rsid w:val="00FD5A52"/>
    <w:rsid w:val="00FD60EA"/>
    <w:rsid w:val="00FD69A5"/>
    <w:rsid w:val="00FD78AC"/>
    <w:rsid w:val="00FE137B"/>
    <w:rsid w:val="00FE14CF"/>
    <w:rsid w:val="00FE25BA"/>
    <w:rsid w:val="00FE35CD"/>
    <w:rsid w:val="00FE43FB"/>
    <w:rsid w:val="00FE4548"/>
    <w:rsid w:val="00FE457D"/>
    <w:rsid w:val="00FE678A"/>
    <w:rsid w:val="00FE6A51"/>
    <w:rsid w:val="00FE7213"/>
    <w:rsid w:val="00FF0B58"/>
    <w:rsid w:val="00FF3009"/>
    <w:rsid w:val="00FF3668"/>
    <w:rsid w:val="00FF6687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A357"/>
  <w15:chartTrackingRefBased/>
  <w15:docId w15:val="{D9522B72-FAAA-DF45-A057-54891BD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1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81A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8F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9527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2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2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7C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B4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8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8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6988"/>
    <w:pPr>
      <w:spacing w:before="100" w:beforeAutospacing="1" w:after="100" w:afterAutospacing="1"/>
    </w:pPr>
  </w:style>
  <w:style w:type="paragraph" w:customStyle="1" w:styleId="product">
    <w:name w:val="product"/>
    <w:basedOn w:val="Normal"/>
    <w:rsid w:val="00681A8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F28"/>
    <w:rPr>
      <w:color w:val="954F72" w:themeColor="followedHyperlink"/>
      <w:u w:val="single"/>
    </w:rPr>
  </w:style>
  <w:style w:type="character" w:customStyle="1" w:styleId="volumen">
    <w:name w:val="volumen"/>
    <w:basedOn w:val="DefaultParagraphFont"/>
    <w:rsid w:val="00E445B2"/>
  </w:style>
  <w:style w:type="character" w:customStyle="1" w:styleId="paginas">
    <w:name w:val="paginas"/>
    <w:basedOn w:val="DefaultParagraphFont"/>
    <w:rsid w:val="00E445B2"/>
  </w:style>
  <w:style w:type="character" w:customStyle="1" w:styleId="fecha-trans">
    <w:name w:val="fecha-trans"/>
    <w:basedOn w:val="DefaultParagraphFont"/>
    <w:rsid w:val="00E445B2"/>
  </w:style>
  <w:style w:type="character" w:customStyle="1" w:styleId="primary-heading">
    <w:name w:val="primary-heading"/>
    <w:basedOn w:val="DefaultParagraphFont"/>
    <w:rsid w:val="00BC5CCD"/>
  </w:style>
  <w:style w:type="paragraph" w:customStyle="1" w:styleId="Normal1">
    <w:name w:val="Normal1"/>
    <w:qFormat/>
    <w:rsid w:val="003F295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ca-ES" w:eastAsia="es-ES"/>
    </w:rPr>
  </w:style>
  <w:style w:type="character" w:customStyle="1" w:styleId="epub-state">
    <w:name w:val="epub-state"/>
    <w:basedOn w:val="DefaultParagraphFont"/>
    <w:rsid w:val="00482A06"/>
  </w:style>
  <w:style w:type="character" w:customStyle="1" w:styleId="epub-date">
    <w:name w:val="epub-date"/>
    <w:basedOn w:val="DefaultParagraphFont"/>
    <w:rsid w:val="00482A06"/>
  </w:style>
  <w:style w:type="paragraph" w:styleId="Footer">
    <w:name w:val="footer"/>
    <w:basedOn w:val="Normal"/>
    <w:link w:val="FooterChar"/>
    <w:uiPriority w:val="99"/>
    <w:unhideWhenUsed/>
    <w:rsid w:val="008E20F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E20F2"/>
  </w:style>
  <w:style w:type="character" w:styleId="PageNumber">
    <w:name w:val="page number"/>
    <w:basedOn w:val="DefaultParagraphFont"/>
    <w:uiPriority w:val="99"/>
    <w:semiHidden/>
    <w:unhideWhenUsed/>
    <w:rsid w:val="008E20F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137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56C3E"/>
    <w:pPr>
      <w:spacing w:after="120" w:line="360" w:lineRule="auto"/>
      <w:jc w:val="both"/>
    </w:pPr>
    <w:rPr>
      <w:rFonts w:ascii="Cambria" w:hAnsi="Cambria"/>
      <w:sz w:val="22"/>
      <w:szCs w:val="22"/>
      <w:lang w:val="ca-E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456C3E"/>
    <w:rPr>
      <w:rFonts w:ascii="Cambria" w:eastAsia="Times New Roman" w:hAnsi="Cambria" w:cs="Times New Roman"/>
      <w:sz w:val="22"/>
      <w:szCs w:val="22"/>
      <w:lang w:val="ca-ES" w:eastAsia="ja-JP"/>
    </w:rPr>
  </w:style>
  <w:style w:type="table" w:styleId="TableGrid">
    <w:name w:val="Table Grid"/>
    <w:basedOn w:val="TableNormal"/>
    <w:uiPriority w:val="39"/>
    <w:rsid w:val="00AD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06EB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2C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1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5E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A2D8E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84464"/>
    <w:rPr>
      <w:rFonts w:ascii="Times New Roman" w:eastAsia="Times New Roman" w:hAnsi="Times New Roman" w:cs="Times New Roman"/>
    </w:rPr>
  </w:style>
  <w:style w:type="paragraph" w:customStyle="1" w:styleId="Foot-note">
    <w:name w:val="Foot-note"/>
    <w:basedOn w:val="NoSpacing"/>
    <w:link w:val="Foot-noteChar"/>
    <w:qFormat/>
    <w:rsid w:val="00B47126"/>
    <w:rPr>
      <w:sz w:val="20"/>
      <w:lang w:val="en-US"/>
    </w:rPr>
  </w:style>
  <w:style w:type="character" w:customStyle="1" w:styleId="Foot-noteChar">
    <w:name w:val="Foot-note Char"/>
    <w:basedOn w:val="NoSpacingChar"/>
    <w:link w:val="Foot-note"/>
    <w:rsid w:val="00B47126"/>
    <w:rPr>
      <w:rFonts w:ascii="Times New Roman" w:eastAsia="Times New Roman" w:hAnsi="Times New Roman" w:cs="Times New Roman"/>
      <w:sz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3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3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13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C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5D9E"/>
    <w:rPr>
      <w:rFonts w:ascii="Times New Roman" w:eastAsia="Times New Roman" w:hAnsi="Times New Roman" w:cs="Times New Roman"/>
    </w:rPr>
  </w:style>
  <w:style w:type="character" w:customStyle="1" w:styleId="ts-alignment-element">
    <w:name w:val="ts-alignment-element"/>
    <w:basedOn w:val="DefaultParagraphFont"/>
    <w:rsid w:val="00146B10"/>
  </w:style>
  <w:style w:type="character" w:customStyle="1" w:styleId="ts-alignment-element-highlighted">
    <w:name w:val="ts-alignment-element-highlighted"/>
    <w:basedOn w:val="DefaultParagraphFont"/>
    <w:rsid w:val="00146B10"/>
  </w:style>
  <w:style w:type="paragraph" w:customStyle="1" w:styleId="Ttulo14">
    <w:name w:val="Título 1.4"/>
    <w:basedOn w:val="Normal"/>
    <w:next w:val="Normal"/>
    <w:autoRedefine/>
    <w:qFormat/>
    <w:rsid w:val="003B006D"/>
    <w:pPr>
      <w:keepNext/>
      <w:keepLines/>
      <w:suppressAutoHyphens/>
      <w:spacing w:after="518"/>
      <w:contextualSpacing/>
    </w:pPr>
    <w:rPr>
      <w:rFonts w:eastAsia="Arial Unicode MS" w:cs="Arial Unicode MS"/>
      <w:bCs/>
      <w:smallCaps/>
      <w:color w:val="000000" w:themeColor="text1"/>
      <w:szCs w:val="22"/>
      <w:lang w:val="ca-ES" w:eastAsia="ja-JP"/>
    </w:rPr>
  </w:style>
  <w:style w:type="character" w:customStyle="1" w:styleId="apple-tab-span">
    <w:name w:val="apple-tab-span"/>
    <w:basedOn w:val="DefaultParagraphFont"/>
    <w:rsid w:val="002811F6"/>
  </w:style>
  <w:style w:type="paragraph" w:customStyle="1" w:styleId="msonormal0">
    <w:name w:val="msonormal"/>
    <w:basedOn w:val="Normal"/>
    <w:rsid w:val="002811F6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1F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tle-text">
    <w:name w:val="title-text"/>
    <w:basedOn w:val="DefaultParagraphFont"/>
    <w:rsid w:val="00A359B7"/>
  </w:style>
  <w:style w:type="character" w:customStyle="1" w:styleId="sr-only">
    <w:name w:val="sr-only"/>
    <w:basedOn w:val="DefaultParagraphFont"/>
    <w:rsid w:val="00A359B7"/>
  </w:style>
  <w:style w:type="character" w:customStyle="1" w:styleId="text">
    <w:name w:val="text"/>
    <w:basedOn w:val="DefaultParagraphFont"/>
    <w:rsid w:val="00A359B7"/>
  </w:style>
  <w:style w:type="character" w:customStyle="1" w:styleId="vol">
    <w:name w:val="vol"/>
    <w:basedOn w:val="DefaultParagraphFont"/>
    <w:rsid w:val="00170CE6"/>
  </w:style>
  <w:style w:type="character" w:customStyle="1" w:styleId="pagefirst">
    <w:name w:val="pagefirst"/>
    <w:basedOn w:val="DefaultParagraphFont"/>
    <w:rsid w:val="00170CE6"/>
  </w:style>
  <w:style w:type="paragraph" w:customStyle="1" w:styleId="SangriaFrancesa">
    <w:name w:val="Sangria Francesa"/>
    <w:basedOn w:val="Normal"/>
    <w:qFormat/>
    <w:rsid w:val="003B006D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52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5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82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223835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8259041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1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15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77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8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092">
              <w:marLeft w:val="0"/>
              <w:marRight w:val="0"/>
              <w:marTop w:val="0"/>
              <w:marBottom w:val="900"/>
              <w:divBdr>
                <w:top w:val="single" w:sz="48" w:space="0" w:color="084466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4970399">
                  <w:marLeft w:val="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3587">
                          <w:marLeft w:val="0"/>
                          <w:marRight w:val="-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46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856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9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10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105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23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1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1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1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44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8D9DA"/>
                <w:bottom w:val="none" w:sz="0" w:space="0" w:color="auto"/>
                <w:right w:val="single" w:sz="6" w:space="7" w:color="D8D9DA"/>
              </w:divBdr>
              <w:divsChild>
                <w:div w:id="1373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5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9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51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68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499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5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9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80458">
              <w:marLeft w:val="0"/>
              <w:marRight w:val="0"/>
              <w:marTop w:val="0"/>
              <w:marBottom w:val="900"/>
              <w:divBdr>
                <w:top w:val="single" w:sz="48" w:space="0" w:color="084466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2569874">
                  <w:marLeft w:val="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001">
                          <w:marLeft w:val="0"/>
                          <w:marRight w:val="-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3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041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uU1T2QI4TecVXOxm6H2Yc0mX7KYPJFziPX3F92NgSU8/ed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FF04D75274049877D588CB58D9C3A" ma:contentTypeVersion="10" ma:contentTypeDescription="Create a new document." ma:contentTypeScope="" ma:versionID="7a728374335e1f00dd794ad08f16055a">
  <xsd:schema xmlns:xsd="http://www.w3.org/2001/XMLSchema" xmlns:xs="http://www.w3.org/2001/XMLSchema" xmlns:p="http://schemas.microsoft.com/office/2006/metadata/properties" xmlns:ns3="4e62330f-1550-4fb0-b175-0fa8a2e1ce18" targetNamespace="http://schemas.microsoft.com/office/2006/metadata/properties" ma:root="true" ma:fieldsID="dc479bc5106dc6b17899b93019f0ed42" ns3:_="">
    <xsd:import namespace="4e62330f-1550-4fb0-b175-0fa8a2e1c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2330f-1550-4fb0-b175-0fa8a2e1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28A9A8-3894-44ED-B4E3-8ADA6321B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6B951-6BFB-4BB6-90EE-27923680A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2330f-1550-4fb0-b175-0fa8a2e1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472FC-A1E4-4C5A-A181-FC159C83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EF140-35CC-4DB1-8663-55A6F279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 Miquel P i S</dc:creator>
  <cp:keywords/>
  <dc:description/>
  <cp:lastModifiedBy>Norkey Bhutia</cp:lastModifiedBy>
  <cp:revision>2</cp:revision>
  <cp:lastPrinted>2020-01-09T19:50:00Z</cp:lastPrinted>
  <dcterms:created xsi:type="dcterms:W3CDTF">2020-12-23T05:02:00Z</dcterms:created>
  <dcterms:modified xsi:type="dcterms:W3CDTF">2020-12-23T05:02:00Z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0x010100BCCFF04D75274049877D588CB58D9C3A</vt:lpwstr>
  </property>
</Properties>
</file>