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A8D32" w14:textId="0954A445" w:rsidR="00354CD5" w:rsidRDefault="007210D9" w:rsidP="007210D9">
      <w:pPr>
        <w:spacing w:after="120" w:line="276" w:lineRule="auto"/>
        <w:jc w:val="center"/>
        <w:rPr>
          <w:rFonts w:asciiTheme="minorHAnsi" w:hAnsiTheme="minorHAnsi"/>
          <w:b/>
          <w:sz w:val="32"/>
          <w:szCs w:val="28"/>
        </w:rPr>
      </w:pPr>
      <w:r w:rsidRPr="007210D9">
        <w:rPr>
          <w:rFonts w:asciiTheme="minorHAnsi" w:hAnsiTheme="minorHAnsi"/>
          <w:b/>
          <w:sz w:val="32"/>
          <w:szCs w:val="28"/>
        </w:rPr>
        <w:t>Online Supplement</w:t>
      </w:r>
    </w:p>
    <w:p w14:paraId="0F2E96FA" w14:textId="77777777" w:rsidR="007210D9" w:rsidRPr="00354CD5" w:rsidRDefault="007210D9" w:rsidP="00053937">
      <w:pPr>
        <w:spacing w:after="120" w:line="276" w:lineRule="auto"/>
        <w:jc w:val="both"/>
        <w:rPr>
          <w:rFonts w:asciiTheme="minorHAnsi" w:hAnsiTheme="minorHAnsi"/>
          <w:b/>
          <w:sz w:val="32"/>
          <w:szCs w:val="28"/>
        </w:rPr>
      </w:pPr>
    </w:p>
    <w:p w14:paraId="597AE8DC" w14:textId="7044BD64" w:rsidR="00762C35" w:rsidRDefault="00EB0648" w:rsidP="00053937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eastAsiaTheme="minorHAnsi" w:hAnsiTheme="minorHAnsi"/>
          <w:b/>
          <w:sz w:val="28"/>
          <w:szCs w:val="28"/>
          <w:lang w:eastAsia="es-ES_tradnl"/>
        </w:rPr>
      </w:pPr>
      <w:r w:rsidRPr="00EB0648">
        <w:rPr>
          <w:rFonts w:asciiTheme="minorHAnsi" w:eastAsiaTheme="minorHAnsi" w:hAnsiTheme="minorHAnsi"/>
          <w:b/>
          <w:sz w:val="28"/>
          <w:szCs w:val="28"/>
          <w:lang w:eastAsia="es-ES_tradnl"/>
        </w:rPr>
        <w:t>KEY FACTORS ASSOCIATED WITH PULMONARY SEQUELAE IN THE FOLLOW-UP OF CRITICALLY ILL COVID-19 PATIENTS</w:t>
      </w:r>
    </w:p>
    <w:p w14:paraId="18229D5E" w14:textId="77777777" w:rsidR="007210D9" w:rsidRDefault="007210D9" w:rsidP="00053937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68A15E82" w14:textId="2B3C401B" w:rsidR="007210D9" w:rsidRPr="00E7516C" w:rsidRDefault="007210D9">
      <w:pPr>
        <w:spacing w:after="160" w:line="259" w:lineRule="auto"/>
        <w:rPr>
          <w:rFonts w:asciiTheme="minorHAnsi" w:eastAsiaTheme="majorEastAsia" w:hAnsiTheme="minorHAnsi" w:cstheme="majorBidi"/>
          <w:b/>
          <w:bCs/>
          <w:sz w:val="28"/>
          <w:szCs w:val="28"/>
          <w:lang w:val="en-GB" w:eastAsia="es-ES"/>
        </w:rPr>
      </w:pPr>
    </w:p>
    <w:p w14:paraId="64EDB913" w14:textId="12C347AC" w:rsidR="00BA3BAB" w:rsidRPr="00C172E5" w:rsidRDefault="00EB66AA" w:rsidP="00FB3F74">
      <w:pPr>
        <w:pStyle w:val="TOCHeading"/>
        <w:ind w:right="56"/>
        <w:jc w:val="both"/>
        <w:rPr>
          <w:rFonts w:asciiTheme="minorHAnsi" w:hAnsiTheme="minorHAnsi"/>
          <w:b/>
          <w:bCs/>
          <w:color w:val="auto"/>
          <w:sz w:val="28"/>
          <w:szCs w:val="28"/>
          <w:lang w:val="en-US"/>
        </w:rPr>
      </w:pPr>
      <w:r w:rsidRPr="00C172E5">
        <w:rPr>
          <w:rFonts w:asciiTheme="minorHAnsi" w:hAnsiTheme="minorHAnsi"/>
          <w:b/>
          <w:bCs/>
          <w:color w:val="auto"/>
          <w:sz w:val="28"/>
          <w:szCs w:val="28"/>
          <w:lang w:val="en-US"/>
        </w:rPr>
        <w:t>Table of contents</w:t>
      </w:r>
    </w:p>
    <w:sdt>
      <w:sdtPr>
        <w:id w:val="-688057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89AE21" w14:textId="29380392" w:rsidR="00A170DF" w:rsidRDefault="00A170DF" w:rsidP="00BA3BAB">
          <w:pPr>
            <w:spacing w:after="120" w:line="276" w:lineRule="auto"/>
            <w:jc w:val="both"/>
          </w:pPr>
        </w:p>
        <w:p w14:paraId="3D1A82FA" w14:textId="745122F9" w:rsidR="00C172E5" w:rsidRDefault="00A170DF">
          <w:pPr>
            <w:pStyle w:val="TOC1"/>
            <w:rPr>
              <w:rFonts w:cstheme="minorBidi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992470" w:history="1">
            <w:r w:rsidR="00C172E5" w:rsidRPr="00F035EA">
              <w:rPr>
                <w:rStyle w:val="Hyperlink"/>
                <w:rFonts w:cstheme="minorHAnsi"/>
                <w:b/>
                <w:noProof/>
              </w:rPr>
              <w:t>Comorbidity checklist</w:t>
            </w:r>
            <w:r w:rsidR="00C172E5">
              <w:rPr>
                <w:noProof/>
                <w:webHidden/>
              </w:rPr>
              <w:tab/>
            </w:r>
            <w:r w:rsidR="00C172E5">
              <w:rPr>
                <w:noProof/>
                <w:webHidden/>
              </w:rPr>
              <w:fldChar w:fldCharType="begin"/>
            </w:r>
            <w:r w:rsidR="00C172E5">
              <w:rPr>
                <w:noProof/>
                <w:webHidden/>
              </w:rPr>
              <w:instrText xml:space="preserve"> PAGEREF _Toc121992470 \h </w:instrText>
            </w:r>
            <w:r w:rsidR="00C172E5">
              <w:rPr>
                <w:noProof/>
                <w:webHidden/>
              </w:rPr>
            </w:r>
            <w:r w:rsidR="00C172E5">
              <w:rPr>
                <w:noProof/>
                <w:webHidden/>
              </w:rPr>
              <w:fldChar w:fldCharType="separate"/>
            </w:r>
            <w:r w:rsidR="00C172E5">
              <w:rPr>
                <w:noProof/>
                <w:webHidden/>
              </w:rPr>
              <w:t>2</w:t>
            </w:r>
            <w:r w:rsidR="00C172E5">
              <w:rPr>
                <w:noProof/>
                <w:webHidden/>
              </w:rPr>
              <w:fldChar w:fldCharType="end"/>
            </w:r>
          </w:hyperlink>
        </w:p>
        <w:p w14:paraId="3D1F8258" w14:textId="7EB62F04" w:rsidR="00C172E5" w:rsidRDefault="003C78AA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121992471" w:history="1">
            <w:r w:rsidR="00C172E5" w:rsidRPr="00F035EA">
              <w:rPr>
                <w:rStyle w:val="Hyperlink"/>
                <w:rFonts w:cstheme="minorHAnsi"/>
                <w:b/>
                <w:noProof/>
              </w:rPr>
              <w:t>eTable 1. Baseline characteristics according to patients with and without follow-up.</w:t>
            </w:r>
            <w:r w:rsidR="00C172E5">
              <w:rPr>
                <w:noProof/>
                <w:webHidden/>
              </w:rPr>
              <w:tab/>
            </w:r>
            <w:r w:rsidR="00C172E5">
              <w:rPr>
                <w:noProof/>
                <w:webHidden/>
              </w:rPr>
              <w:fldChar w:fldCharType="begin"/>
            </w:r>
            <w:r w:rsidR="00C172E5">
              <w:rPr>
                <w:noProof/>
                <w:webHidden/>
              </w:rPr>
              <w:instrText xml:space="preserve"> PAGEREF _Toc121992471 \h </w:instrText>
            </w:r>
            <w:r w:rsidR="00C172E5">
              <w:rPr>
                <w:noProof/>
                <w:webHidden/>
              </w:rPr>
            </w:r>
            <w:r w:rsidR="00C172E5">
              <w:rPr>
                <w:noProof/>
                <w:webHidden/>
              </w:rPr>
              <w:fldChar w:fldCharType="separate"/>
            </w:r>
            <w:r w:rsidR="00C172E5">
              <w:rPr>
                <w:noProof/>
                <w:webHidden/>
              </w:rPr>
              <w:t>3</w:t>
            </w:r>
            <w:r w:rsidR="00C172E5">
              <w:rPr>
                <w:noProof/>
                <w:webHidden/>
              </w:rPr>
              <w:fldChar w:fldCharType="end"/>
            </w:r>
          </w:hyperlink>
        </w:p>
        <w:p w14:paraId="7CD8356B" w14:textId="7041CEF3" w:rsidR="00C172E5" w:rsidRDefault="003C78AA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121992472" w:history="1">
            <w:r w:rsidR="00C172E5" w:rsidRPr="00F035EA">
              <w:rPr>
                <w:rStyle w:val="Hyperlink"/>
                <w:rFonts w:cstheme="minorHAnsi"/>
                <w:b/>
                <w:noProof/>
              </w:rPr>
              <w:t>eTable 2. External validation of selected clinical parameters at hospitalization related to lung diffusion capacity impairment at the follow-up visit.</w:t>
            </w:r>
            <w:r w:rsidR="00C172E5">
              <w:rPr>
                <w:noProof/>
                <w:webHidden/>
              </w:rPr>
              <w:tab/>
            </w:r>
            <w:r w:rsidR="00C172E5">
              <w:rPr>
                <w:noProof/>
                <w:webHidden/>
              </w:rPr>
              <w:fldChar w:fldCharType="begin"/>
            </w:r>
            <w:r w:rsidR="00C172E5">
              <w:rPr>
                <w:noProof/>
                <w:webHidden/>
              </w:rPr>
              <w:instrText xml:space="preserve"> PAGEREF _Toc121992472 \h </w:instrText>
            </w:r>
            <w:r w:rsidR="00C172E5">
              <w:rPr>
                <w:noProof/>
                <w:webHidden/>
              </w:rPr>
            </w:r>
            <w:r w:rsidR="00C172E5">
              <w:rPr>
                <w:noProof/>
                <w:webHidden/>
              </w:rPr>
              <w:fldChar w:fldCharType="separate"/>
            </w:r>
            <w:r w:rsidR="00C172E5">
              <w:rPr>
                <w:noProof/>
                <w:webHidden/>
              </w:rPr>
              <w:t>6</w:t>
            </w:r>
            <w:r w:rsidR="00C172E5">
              <w:rPr>
                <w:noProof/>
                <w:webHidden/>
              </w:rPr>
              <w:fldChar w:fldCharType="end"/>
            </w:r>
          </w:hyperlink>
        </w:p>
        <w:p w14:paraId="0D8646B4" w14:textId="6F2052F5" w:rsidR="00C172E5" w:rsidRDefault="003C78AA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121992473" w:history="1">
            <w:r w:rsidR="00C172E5" w:rsidRPr="00F035EA">
              <w:rPr>
                <w:rStyle w:val="Hyperlink"/>
                <w:rFonts w:cstheme="minorHAnsi"/>
                <w:b/>
                <w:noProof/>
              </w:rPr>
              <w:t>eFigure 1. Boxplot showing the time elapsed from hospital discharge to the follow-up visit.</w:t>
            </w:r>
            <w:r w:rsidR="00C172E5">
              <w:rPr>
                <w:noProof/>
                <w:webHidden/>
              </w:rPr>
              <w:tab/>
            </w:r>
            <w:r w:rsidR="00C172E5">
              <w:rPr>
                <w:noProof/>
                <w:webHidden/>
              </w:rPr>
              <w:fldChar w:fldCharType="begin"/>
            </w:r>
            <w:r w:rsidR="00C172E5">
              <w:rPr>
                <w:noProof/>
                <w:webHidden/>
              </w:rPr>
              <w:instrText xml:space="preserve"> PAGEREF _Toc121992473 \h </w:instrText>
            </w:r>
            <w:r w:rsidR="00C172E5">
              <w:rPr>
                <w:noProof/>
                <w:webHidden/>
              </w:rPr>
            </w:r>
            <w:r w:rsidR="00C172E5">
              <w:rPr>
                <w:noProof/>
                <w:webHidden/>
              </w:rPr>
              <w:fldChar w:fldCharType="separate"/>
            </w:r>
            <w:r w:rsidR="00C172E5">
              <w:rPr>
                <w:noProof/>
                <w:webHidden/>
              </w:rPr>
              <w:t>7</w:t>
            </w:r>
            <w:r w:rsidR="00C172E5">
              <w:rPr>
                <w:noProof/>
                <w:webHidden/>
              </w:rPr>
              <w:fldChar w:fldCharType="end"/>
            </w:r>
          </w:hyperlink>
        </w:p>
        <w:p w14:paraId="7353328A" w14:textId="671D83AB" w:rsidR="00C172E5" w:rsidRDefault="003C78AA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121992474" w:history="1">
            <w:r w:rsidR="00C172E5" w:rsidRPr="00F035EA">
              <w:rPr>
                <w:rStyle w:val="Hyperlink"/>
                <w:rFonts w:cstheme="minorHAnsi"/>
                <w:b/>
                <w:noProof/>
              </w:rPr>
              <w:t>eFigure 2. Distribution of hospital factors related to diffusion capacity impairment at the follow-up visit.</w:t>
            </w:r>
            <w:r w:rsidR="00C172E5">
              <w:rPr>
                <w:noProof/>
                <w:webHidden/>
              </w:rPr>
              <w:tab/>
            </w:r>
            <w:r w:rsidR="00C172E5">
              <w:rPr>
                <w:noProof/>
                <w:webHidden/>
              </w:rPr>
              <w:fldChar w:fldCharType="begin"/>
            </w:r>
            <w:r w:rsidR="00C172E5">
              <w:rPr>
                <w:noProof/>
                <w:webHidden/>
              </w:rPr>
              <w:instrText xml:space="preserve"> PAGEREF _Toc121992474 \h </w:instrText>
            </w:r>
            <w:r w:rsidR="00C172E5">
              <w:rPr>
                <w:noProof/>
                <w:webHidden/>
              </w:rPr>
            </w:r>
            <w:r w:rsidR="00C172E5">
              <w:rPr>
                <w:noProof/>
                <w:webHidden/>
              </w:rPr>
              <w:fldChar w:fldCharType="separate"/>
            </w:r>
            <w:r w:rsidR="00C172E5">
              <w:rPr>
                <w:noProof/>
                <w:webHidden/>
              </w:rPr>
              <w:t>8</w:t>
            </w:r>
            <w:r w:rsidR="00C172E5">
              <w:rPr>
                <w:noProof/>
                <w:webHidden/>
              </w:rPr>
              <w:fldChar w:fldCharType="end"/>
            </w:r>
          </w:hyperlink>
        </w:p>
        <w:p w14:paraId="59C6DF74" w14:textId="6CBDE11F" w:rsidR="00C172E5" w:rsidRDefault="003C78AA">
          <w:pPr>
            <w:pStyle w:val="TOC1"/>
            <w:rPr>
              <w:rFonts w:cstheme="minorBidi"/>
              <w:noProof/>
              <w:lang w:val="en-GB" w:eastAsia="en-GB"/>
            </w:rPr>
          </w:pPr>
          <w:hyperlink w:anchor="_Toc121992475" w:history="1">
            <w:r w:rsidR="00C172E5" w:rsidRPr="00F035EA">
              <w:rPr>
                <w:rStyle w:val="Hyperlink"/>
                <w:rFonts w:cstheme="minorHAnsi"/>
                <w:b/>
                <w:noProof/>
              </w:rPr>
              <w:t>eFigure 3. Hospital factors related to diffusion capacity impairment (continuous DLCO) at the follow-up visit.</w:t>
            </w:r>
            <w:r w:rsidR="00C172E5">
              <w:rPr>
                <w:noProof/>
                <w:webHidden/>
              </w:rPr>
              <w:tab/>
            </w:r>
            <w:r w:rsidR="00C172E5">
              <w:rPr>
                <w:noProof/>
                <w:webHidden/>
              </w:rPr>
              <w:fldChar w:fldCharType="begin"/>
            </w:r>
            <w:r w:rsidR="00C172E5">
              <w:rPr>
                <w:noProof/>
                <w:webHidden/>
              </w:rPr>
              <w:instrText xml:space="preserve"> PAGEREF _Toc121992475 \h </w:instrText>
            </w:r>
            <w:r w:rsidR="00C172E5">
              <w:rPr>
                <w:noProof/>
                <w:webHidden/>
              </w:rPr>
            </w:r>
            <w:r w:rsidR="00C172E5">
              <w:rPr>
                <w:noProof/>
                <w:webHidden/>
              </w:rPr>
              <w:fldChar w:fldCharType="separate"/>
            </w:r>
            <w:r w:rsidR="00C172E5">
              <w:rPr>
                <w:noProof/>
                <w:webHidden/>
              </w:rPr>
              <w:t>9</w:t>
            </w:r>
            <w:r w:rsidR="00C172E5">
              <w:rPr>
                <w:noProof/>
                <w:webHidden/>
              </w:rPr>
              <w:fldChar w:fldCharType="end"/>
            </w:r>
          </w:hyperlink>
        </w:p>
        <w:p w14:paraId="76E9DA0A" w14:textId="1C8533A2" w:rsidR="00A170DF" w:rsidRDefault="00A170DF" w:rsidP="00FB3F74">
          <w:pPr>
            <w:ind w:right="56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E2A8CD4" w14:textId="77777777" w:rsidR="00920E84" w:rsidRDefault="00920E84" w:rsidP="00FB3F74">
      <w:pPr>
        <w:spacing w:after="120" w:line="276" w:lineRule="auto"/>
        <w:ind w:right="56"/>
        <w:jc w:val="both"/>
        <w:rPr>
          <w:rFonts w:asciiTheme="minorHAnsi" w:hAnsiTheme="minorHAnsi"/>
          <w:bCs/>
          <w:lang w:val="es-ES"/>
        </w:rPr>
      </w:pPr>
    </w:p>
    <w:p w14:paraId="41E08A57" w14:textId="77777777" w:rsidR="00920E84" w:rsidRDefault="00920E84" w:rsidP="00053937">
      <w:pPr>
        <w:spacing w:after="120" w:line="276" w:lineRule="auto"/>
        <w:jc w:val="both"/>
        <w:rPr>
          <w:rFonts w:asciiTheme="minorHAnsi" w:hAnsiTheme="minorHAnsi"/>
          <w:bCs/>
          <w:lang w:val="es-ES"/>
        </w:rPr>
      </w:pPr>
    </w:p>
    <w:p w14:paraId="5E281627" w14:textId="77777777" w:rsidR="00920E84" w:rsidRDefault="00920E84" w:rsidP="00053937">
      <w:pPr>
        <w:spacing w:after="120" w:line="276" w:lineRule="auto"/>
        <w:jc w:val="both"/>
        <w:rPr>
          <w:rFonts w:asciiTheme="minorHAnsi" w:hAnsiTheme="minorHAnsi"/>
          <w:bCs/>
          <w:lang w:val="es-ES"/>
        </w:rPr>
      </w:pPr>
    </w:p>
    <w:p w14:paraId="37812061" w14:textId="77777777" w:rsidR="00C172E5" w:rsidRDefault="00C172E5">
      <w:pPr>
        <w:spacing w:after="160" w:line="259" w:lineRule="auto"/>
        <w:rPr>
          <w:rFonts w:asciiTheme="minorHAnsi" w:hAnsiTheme="minorHAnsi" w:cstheme="minorHAnsi"/>
          <w:b/>
        </w:rPr>
      </w:pPr>
    </w:p>
    <w:p w14:paraId="2CD952E7" w14:textId="77777777" w:rsidR="00C172E5" w:rsidRDefault="00C172E5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FC3AA6B" w14:textId="77777777" w:rsidR="00C172E5" w:rsidRPr="00C172E5" w:rsidRDefault="00C172E5" w:rsidP="00C172E5">
      <w:pPr>
        <w:pStyle w:val="Heading1"/>
        <w:spacing w:before="120" w:after="24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121992470"/>
      <w:r w:rsidRPr="00C172E5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Comorbidity checklist</w:t>
      </w:r>
      <w:bookmarkEnd w:id="0"/>
      <w:r w:rsidRPr="00C172E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353C35AD" w14:textId="7E8062B0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Obesity (BMI</w:t>
      </w:r>
      <w:r>
        <w:rPr>
          <w:rFonts w:cstheme="minorHAnsi"/>
          <w:lang w:val="en-US"/>
        </w:rPr>
        <w:t xml:space="preserve"> </w:t>
      </w:r>
      <w:r w:rsidRPr="00C172E5">
        <w:rPr>
          <w:rFonts w:cstheme="minorHAnsi"/>
          <w:lang w:val="en-US"/>
        </w:rPr>
        <w:t>&gt;</w:t>
      </w:r>
      <w:r>
        <w:rPr>
          <w:rFonts w:cstheme="minorHAnsi"/>
          <w:lang w:val="en-US"/>
        </w:rPr>
        <w:t xml:space="preserve"> </w:t>
      </w:r>
      <w:r w:rsidRPr="00C172E5">
        <w:rPr>
          <w:rFonts w:cstheme="minorHAnsi"/>
          <w:lang w:val="en-US"/>
        </w:rPr>
        <w:t>30</w:t>
      </w:r>
      <w:r>
        <w:rPr>
          <w:rFonts w:cstheme="minorHAnsi"/>
          <w:lang w:val="en-US"/>
        </w:rPr>
        <w:t xml:space="preserve"> kg/m</w:t>
      </w:r>
      <w:r w:rsidRPr="00C172E5">
        <w:rPr>
          <w:rFonts w:cstheme="minorHAnsi"/>
          <w:vertAlign w:val="superscript"/>
          <w:lang w:val="en-US"/>
        </w:rPr>
        <w:t>2</w:t>
      </w:r>
      <w:r w:rsidRPr="00C172E5">
        <w:rPr>
          <w:rFonts w:cstheme="minorHAnsi"/>
          <w:lang w:val="en-US"/>
        </w:rPr>
        <w:t>)</w:t>
      </w:r>
    </w:p>
    <w:p w14:paraId="61E3FB9F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Hypertension</w:t>
      </w:r>
    </w:p>
    <w:p w14:paraId="0238F16F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Diabetes mellitus (Type I / II)</w:t>
      </w:r>
    </w:p>
    <w:p w14:paraId="5D92EDAA" w14:textId="533C873C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Chronic disease (including cirrhosis, NYHA type IV, severe COPD, chronic dialysis, immunodeficie</w:t>
      </w:r>
      <w:r>
        <w:rPr>
          <w:rFonts w:cstheme="minorHAnsi"/>
          <w:lang w:val="en-US"/>
        </w:rPr>
        <w:t>ncy</w:t>
      </w:r>
      <w:r w:rsidRPr="00C172E5">
        <w:rPr>
          <w:rFonts w:cstheme="minorHAnsi"/>
          <w:lang w:val="en-US"/>
        </w:rPr>
        <w:t>)</w:t>
      </w:r>
    </w:p>
    <w:p w14:paraId="68B47164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Chronic heart disease</w:t>
      </w:r>
    </w:p>
    <w:p w14:paraId="6D6F09FA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Chronic renal disease (&lt; 60mL/min/1.73m</w:t>
      </w:r>
      <w:r w:rsidRPr="00C172E5">
        <w:rPr>
          <w:rFonts w:cstheme="minorHAnsi"/>
          <w:vertAlign w:val="superscript"/>
          <w:lang w:val="en-US"/>
        </w:rPr>
        <w:t>2</w:t>
      </w:r>
      <w:r w:rsidRPr="00C172E5">
        <w:rPr>
          <w:rFonts w:cstheme="minorHAnsi"/>
          <w:lang w:val="en-US"/>
        </w:rPr>
        <w:t>, transplant)</w:t>
      </w:r>
    </w:p>
    <w:p w14:paraId="57DEB74D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Chronic moderate liver disease (cirrhosis with portal hypertension or bleeding varicose)</w:t>
      </w:r>
    </w:p>
    <w:p w14:paraId="162AEC00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Chronic mild liver disease (cirrhosis without portal hypertension or chronic hepatitis)</w:t>
      </w:r>
    </w:p>
    <w:p w14:paraId="07AC8C7A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Chronic neurological disease</w:t>
      </w:r>
    </w:p>
    <w:p w14:paraId="0195DAF2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Chronic pulmonary disease</w:t>
      </w:r>
    </w:p>
    <w:p w14:paraId="6CFD3959" w14:textId="243A175B" w:rsidR="00C172E5" w:rsidRPr="00C172E5" w:rsidRDefault="00C172E5" w:rsidP="00C172E5">
      <w:pPr>
        <w:pStyle w:val="ListParagraph"/>
        <w:numPr>
          <w:ilvl w:val="1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Type of Chronic pulmonary disease: COPD, Bronchiectasis, Interstitial</w:t>
      </w:r>
    </w:p>
    <w:p w14:paraId="498DF774" w14:textId="2F16BB08" w:rsidR="00C172E5" w:rsidRPr="00C172E5" w:rsidRDefault="00C172E5" w:rsidP="00C172E5">
      <w:pPr>
        <w:pStyle w:val="ListParagraph"/>
        <w:numPr>
          <w:ilvl w:val="1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 xml:space="preserve">Patient with a chronic pathogen colonization (indicate type) </w:t>
      </w:r>
    </w:p>
    <w:p w14:paraId="665B06B6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Asthma</w:t>
      </w:r>
    </w:p>
    <w:p w14:paraId="4D1D71B2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Dementia</w:t>
      </w:r>
    </w:p>
    <w:p w14:paraId="7D9FA3FC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Rheumatic disease</w:t>
      </w:r>
    </w:p>
    <w:p w14:paraId="7062F115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Gastrointestinal/pancreatic disorders</w:t>
      </w:r>
    </w:p>
    <w:p w14:paraId="1EC79A42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Endocrine disorders</w:t>
      </w:r>
    </w:p>
    <w:p w14:paraId="6A75918B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Metabolic disorders</w:t>
      </w:r>
    </w:p>
    <w:p w14:paraId="3B5D6AD9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Malnutrition</w:t>
      </w:r>
    </w:p>
    <w:p w14:paraId="09D8C926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Genitourinary disorders</w:t>
      </w:r>
    </w:p>
    <w:p w14:paraId="5CA960C3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Hematology disorders</w:t>
      </w:r>
    </w:p>
    <w:p w14:paraId="68F20E40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Active malignant neoplasm (solid or hematologic)</w:t>
      </w:r>
    </w:p>
    <w:p w14:paraId="29199F4B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Solid organ transplantation</w:t>
      </w:r>
    </w:p>
    <w:p w14:paraId="5700C541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Bone marrow transplant</w:t>
      </w:r>
    </w:p>
    <w:p w14:paraId="539C339E" w14:textId="77777777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cstheme="minorHAnsi"/>
          <w:lang w:val="en-US"/>
        </w:rPr>
      </w:pPr>
      <w:r w:rsidRPr="00C172E5">
        <w:rPr>
          <w:rFonts w:cstheme="minorHAnsi"/>
          <w:lang w:val="en-US"/>
        </w:rPr>
        <w:t>HIV or AIDS</w:t>
      </w:r>
    </w:p>
    <w:p w14:paraId="5E0E1B8F" w14:textId="2A75088B" w:rsidR="00C172E5" w:rsidRPr="00C172E5" w:rsidRDefault="00C172E5" w:rsidP="00C172E5">
      <w:pPr>
        <w:pStyle w:val="ListParagraph"/>
        <w:numPr>
          <w:ilvl w:val="0"/>
          <w:numId w:val="2"/>
        </w:numPr>
        <w:spacing w:after="120" w:line="259" w:lineRule="auto"/>
        <w:ind w:hanging="357"/>
        <w:contextualSpacing w:val="0"/>
        <w:rPr>
          <w:rFonts w:eastAsiaTheme="majorEastAsia" w:cstheme="minorHAnsi"/>
          <w:lang w:val="en-US"/>
        </w:rPr>
      </w:pPr>
      <w:r w:rsidRPr="00C172E5">
        <w:rPr>
          <w:rFonts w:cstheme="minorHAnsi"/>
          <w:lang w:val="en-US"/>
        </w:rPr>
        <w:t>Other immunological disorders</w:t>
      </w:r>
      <w:r w:rsidRPr="00C172E5">
        <w:rPr>
          <w:rFonts w:cstheme="minorHAnsi"/>
          <w:sz w:val="24"/>
          <w:szCs w:val="24"/>
          <w:lang w:val="en-US"/>
        </w:rPr>
        <w:br w:type="page"/>
      </w:r>
    </w:p>
    <w:p w14:paraId="362CE5F1" w14:textId="77777777" w:rsidR="00A963B5" w:rsidRPr="00C172E5" w:rsidRDefault="00A963B5" w:rsidP="00053937">
      <w:pPr>
        <w:pStyle w:val="Heading1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  <w:sectPr w:rsidR="00A963B5" w:rsidRPr="00C172E5" w:rsidSect="00FB3F74">
          <w:footerReference w:type="default" r:id="rId8"/>
          <w:pgSz w:w="11906" w:h="16838"/>
          <w:pgMar w:top="1440" w:right="1247" w:bottom="1440" w:left="1247" w:header="708" w:footer="708" w:gutter="0"/>
          <w:cols w:space="708"/>
          <w:docGrid w:linePitch="360"/>
        </w:sectPr>
      </w:pPr>
    </w:p>
    <w:p w14:paraId="3D5C1F86" w14:textId="61E893BE" w:rsidR="00AE4385" w:rsidRPr="00540AE6" w:rsidRDefault="00AE4385" w:rsidP="00540AE6">
      <w:pPr>
        <w:pStyle w:val="Heading1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121992471"/>
      <w:proofErr w:type="gramStart"/>
      <w:r w:rsidRPr="00540AE6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eTable</w:t>
      </w:r>
      <w:proofErr w:type="gramEnd"/>
      <w:r w:rsidRPr="00540AE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1. Baseline characteristics according to patients with and without follow-up.</w:t>
      </w:r>
      <w:bookmarkEnd w:id="1"/>
    </w:p>
    <w:tbl>
      <w:tblPr>
        <w:tblW w:w="9129" w:type="dxa"/>
        <w:tblInd w:w="-108" w:type="dxa"/>
        <w:tblLook w:val="04A0" w:firstRow="1" w:lastRow="0" w:firstColumn="1" w:lastColumn="0" w:noHBand="0" w:noVBand="1"/>
      </w:tblPr>
      <w:tblGrid>
        <w:gridCol w:w="2841"/>
        <w:gridCol w:w="1806"/>
        <w:gridCol w:w="1770"/>
        <w:gridCol w:w="2049"/>
        <w:gridCol w:w="663"/>
      </w:tblGrid>
      <w:tr w:rsidR="00AE4385" w:rsidRPr="00AE4385" w14:paraId="3354942A" w14:textId="77777777" w:rsidTr="001A3B62">
        <w:trPr>
          <w:trHeight w:val="288"/>
        </w:trPr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060A" w14:textId="77777777" w:rsidR="00AE4385" w:rsidRPr="00AE4385" w:rsidRDefault="00AE4385" w:rsidP="00AE4385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FAA1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ALL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D02F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Included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7393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Without follow-up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B908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AE4385" w:rsidRPr="00AE4385" w14:paraId="10DE8DAC" w14:textId="77777777" w:rsidTr="001A3B62">
        <w:trPr>
          <w:trHeight w:val="288"/>
        </w:trPr>
        <w:tc>
          <w:tcPr>
            <w:tcW w:w="28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4D22B" w14:textId="77777777" w:rsidR="00AE4385" w:rsidRPr="00AE4385" w:rsidRDefault="00AE4385" w:rsidP="00AE4385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180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F9D5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n = 3860</w:t>
            </w:r>
          </w:p>
        </w:tc>
        <w:tc>
          <w:tcPr>
            <w:tcW w:w="17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373F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n = 1327</w:t>
            </w:r>
          </w:p>
        </w:tc>
        <w:tc>
          <w:tcPr>
            <w:tcW w:w="204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4731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n = 2533</w:t>
            </w:r>
          </w:p>
        </w:tc>
        <w:tc>
          <w:tcPr>
            <w:tcW w:w="66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11C1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AE4385" w:rsidRPr="00AE4385" w14:paraId="2E1FD576" w14:textId="77777777" w:rsidTr="001A3B62">
        <w:trPr>
          <w:trHeight w:val="288"/>
        </w:trPr>
        <w:tc>
          <w:tcPr>
            <w:tcW w:w="28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EDBCA0" w14:textId="77777777" w:rsidR="00AE4385" w:rsidRPr="00AE4385" w:rsidRDefault="00AE4385" w:rsidP="00AE4385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18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A285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Median [</w:t>
            </w:r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n-GB"/>
              </w:rPr>
              <w:t>p</w:t>
            </w:r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vertAlign w:val="subscript"/>
                <w:lang w:eastAsia="en-GB"/>
              </w:rPr>
              <w:t>25</w:t>
            </w:r>
            <w:proofErr w:type="gramStart"/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n-GB"/>
              </w:rPr>
              <w:t>;p</w:t>
            </w:r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vertAlign w:val="subscript"/>
                <w:lang w:eastAsia="en-GB"/>
              </w:rPr>
              <w:t>75</w:t>
            </w:r>
            <w:proofErr w:type="gramEnd"/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]</w:t>
            </w: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br/>
              <w:t>or n(%)</w:t>
            </w:r>
          </w:p>
        </w:tc>
        <w:tc>
          <w:tcPr>
            <w:tcW w:w="1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B09E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Median [</w:t>
            </w:r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n-GB"/>
              </w:rPr>
              <w:t>p</w:t>
            </w:r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vertAlign w:val="subscript"/>
                <w:lang w:eastAsia="en-GB"/>
              </w:rPr>
              <w:t>25</w:t>
            </w:r>
            <w:proofErr w:type="gramStart"/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n-GB"/>
              </w:rPr>
              <w:t>;p</w:t>
            </w:r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vertAlign w:val="subscript"/>
                <w:lang w:eastAsia="en-GB"/>
              </w:rPr>
              <w:t>75</w:t>
            </w:r>
            <w:proofErr w:type="gramEnd"/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]</w:t>
            </w: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br/>
              <w:t>or n(%)</w:t>
            </w:r>
          </w:p>
        </w:tc>
        <w:tc>
          <w:tcPr>
            <w:tcW w:w="20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854B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Median [</w:t>
            </w:r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n-GB"/>
              </w:rPr>
              <w:t>p</w:t>
            </w:r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vertAlign w:val="subscript"/>
                <w:lang w:eastAsia="en-GB"/>
              </w:rPr>
              <w:t>25</w:t>
            </w:r>
            <w:proofErr w:type="gramStart"/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n-GB"/>
              </w:rPr>
              <w:t>;p</w:t>
            </w:r>
            <w:r w:rsidRPr="00AE4385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vertAlign w:val="subscript"/>
                <w:lang w:eastAsia="en-GB"/>
              </w:rPr>
              <w:t>75</w:t>
            </w:r>
            <w:proofErr w:type="gramEnd"/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]</w:t>
            </w: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br/>
              <w:t>or n(%)</w:t>
            </w:r>
          </w:p>
        </w:tc>
        <w:tc>
          <w:tcPr>
            <w:tcW w:w="6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6A9E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E4385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</w:t>
            </w:r>
          </w:p>
        </w:tc>
      </w:tr>
      <w:tr w:rsidR="00AE4385" w:rsidRPr="00AE4385" w14:paraId="2E5A986E" w14:textId="77777777" w:rsidTr="001A3B62">
        <w:trPr>
          <w:trHeight w:val="288"/>
        </w:trPr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4CD69A" w14:textId="77777777" w:rsidR="00AE4385" w:rsidRPr="00AE4385" w:rsidRDefault="00AE4385" w:rsidP="00AE438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Sociodemographic data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D1976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AA32D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6E506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10676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3C7BF99C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838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Age,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years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F4D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61.0 [51.0;68.0]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90C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60.0 [53.0;67.0]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3CD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61.0 [51.0;69.0]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4C8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642A44B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9C1A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Sex,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woman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87C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1209 (31.4%)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F01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369 (27.8%)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BC8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840 (33.2%)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D2F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3856</w:t>
            </w:r>
          </w:p>
        </w:tc>
      </w:tr>
      <w:tr w:rsidR="00AE4385" w:rsidRPr="00AE4385" w14:paraId="2179819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0B67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Body mass index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4FF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28.9 [26.0;32.3]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F05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28.7 [26.2;32.1]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9D6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29.0 [25.9;32.4]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79C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3459</w:t>
            </w:r>
          </w:p>
        </w:tc>
      </w:tr>
      <w:tr w:rsidR="00AE4385" w:rsidRPr="00AE4385" w14:paraId="1772AD4E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3D7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Smoking history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069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0BE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5B2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F1D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4A993B7F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3CAA" w14:textId="77777777" w:rsidR="00AE4385" w:rsidRPr="00AE4385" w:rsidRDefault="00AE4385" w:rsidP="00AE4385">
            <w:pPr>
              <w:ind w:firstLineChars="200" w:firstLine="44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Non smoker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097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2319 (60.1%)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086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768 (57.9%)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4B4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1551 (61.2%)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F5E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3B4944A0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4C07" w14:textId="77777777" w:rsidR="00AE4385" w:rsidRPr="00AE4385" w:rsidRDefault="00AE4385" w:rsidP="00AE4385">
            <w:pPr>
              <w:ind w:firstLineChars="200" w:firstLine="44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Current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A10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199 (5.16%)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666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57 (4.30%)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731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142 (5.61%)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7A7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5069FE8B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8678" w14:textId="77777777" w:rsidR="00AE4385" w:rsidRPr="00AE4385" w:rsidRDefault="00AE4385" w:rsidP="00AE4385">
            <w:pPr>
              <w:ind w:firstLineChars="200" w:firstLine="44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Former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62F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1077 (27.9%)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62F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457 (34.4%)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975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620 (24.5%)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DCF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751704B4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FC48" w14:textId="77777777" w:rsidR="00AE4385" w:rsidRPr="00AE4385" w:rsidRDefault="00AE4385" w:rsidP="00AE4385">
            <w:pPr>
              <w:ind w:firstLineChars="200" w:firstLine="44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Unknown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0B3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265 (6.87%)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BAC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45 (3.39%)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66C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220 (8.69%)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900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141428C9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1C5505" w14:textId="77777777" w:rsidR="00AE4385" w:rsidRPr="00AE4385" w:rsidRDefault="00AE4385" w:rsidP="00AE438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Comorbidities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CF65C6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4304F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021C6F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DA4EF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3F92C94C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5AB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Obesity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2B6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1437 (37.3%)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9B4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475 (35.8%)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28B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962 (38.1%)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CF7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3853</w:t>
            </w:r>
          </w:p>
        </w:tc>
      </w:tr>
      <w:tr w:rsidR="00AE4385" w:rsidRPr="00AE4385" w14:paraId="6B91289A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4F1C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Hypertension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D19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1744 (45.2%)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87C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595 (44.8%)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31F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1149 (45.4%)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6AF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7287B34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7ABB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Diabetes mellitus (Type I / II)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293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814 (21.1%)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995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233 (17.6%)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A7C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581 (22.9%)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2D5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3859</w:t>
            </w:r>
          </w:p>
        </w:tc>
      </w:tr>
      <w:tr w:rsidR="00AE4385" w:rsidRPr="00AE4385" w14:paraId="01ED045A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A5F9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Chronic heart disease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32F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392 (10.2%)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5B6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127 (9.57%)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CD0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265 (10.5%)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242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3859</w:t>
            </w:r>
          </w:p>
        </w:tc>
      </w:tr>
      <w:tr w:rsidR="00AE4385" w:rsidRPr="00AE4385" w14:paraId="2BD2AD46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A0CC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Chronic renal disease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A37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203 (5.26%)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695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58 (4.37%)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2FA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145 (5.72%)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2B7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22D85052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2FBE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Chronic moderate liver disease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79A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35 (0.91%)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7ED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 (0.83%)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E3A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24 (0.95%)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563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028D226E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2E4E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Chronic mild liver disease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625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83 (2.15%)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950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28 (2.11%)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C77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55 (2.17%)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40C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2F844605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822A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Chronic neurological disease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8BE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194 (5.03%)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1D6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48 (3.62%)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7F6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146 (5.76%)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F4C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3A6D2BC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EB7D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Chronic lung disease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C8B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305 (7.90%)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F81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98 (7.39%)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4C2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207 (8.17%)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373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12BA2404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52C7" w14:textId="77777777" w:rsidR="00AE4385" w:rsidRPr="00AE4385" w:rsidRDefault="00AE4385" w:rsidP="00AE4385">
            <w:pPr>
              <w:ind w:left="720" w:firstLineChars="79" w:firstLine="17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COPD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5BD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142 (3.68%)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D56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54 (4.07%)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37F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88 (3.47%)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231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3910BBC8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6E32" w14:textId="77777777" w:rsidR="00AE4385" w:rsidRPr="00AE4385" w:rsidRDefault="00AE4385" w:rsidP="00AE4385">
            <w:pPr>
              <w:ind w:left="720"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Bronchiectasis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253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 (0.36%)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946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 (0.45%)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842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 (0.32%)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1B5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6FA4E51E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BAD3" w14:textId="77777777" w:rsidR="00AE4385" w:rsidRPr="00AE4385" w:rsidRDefault="00AE4385" w:rsidP="00AE4385">
            <w:pPr>
              <w:ind w:left="720"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Interstitial lung disease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225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 (0.23%)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6C5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 (0.08%)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590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 (0.32%)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8C0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1A20F313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992D" w14:textId="77777777" w:rsidR="00AE4385" w:rsidRPr="00AE4385" w:rsidRDefault="00AE4385" w:rsidP="00AE4385">
            <w:pPr>
              <w:ind w:left="720"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 xml:space="preserve">Other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0EC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124 (3.21%)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509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 (2.86%)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87F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86 (3.40%)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6B3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0DEE8B3D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EE6C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Asthma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B33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249 (6.45%)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73A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82 (6.18%)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1D9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167 (6.59%)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05F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07B98525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4BD9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Dementia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8F8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17 (0.44%)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599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 (0.08%)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27A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16 (0.63%)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599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4A24B76C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9203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Rheumatic disease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786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164 (4.25%)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A07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67 (5.05%)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289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97 (3.83%)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BCA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68A2EF81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9920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Gastrointestinal/pancreatic disorders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5A3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256 (6.64%)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822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95 (7.16%)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90D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161 (6.36%)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97C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3857</w:t>
            </w:r>
          </w:p>
        </w:tc>
      </w:tr>
      <w:tr w:rsidR="00AE4385" w:rsidRPr="00AE4385" w14:paraId="7A1171B9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20DF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Endocrine disorders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F24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313 (8.13%)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D9B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94 (7.08%)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387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219 (8.68%)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182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3851</w:t>
            </w:r>
          </w:p>
        </w:tc>
      </w:tr>
      <w:tr w:rsidR="00AE4385" w:rsidRPr="00AE4385" w14:paraId="74AC29B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B315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Metabolic disorders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DD4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914 (23.7%)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026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340 (25.6%)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B93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574 (22.7%)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CC6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3852</w:t>
            </w:r>
          </w:p>
        </w:tc>
      </w:tr>
      <w:tr w:rsidR="00AE4385" w:rsidRPr="00AE4385" w14:paraId="24A7A0AE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538F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Malnutrition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550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 (0.18%)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398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 (0.08%)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611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 (0.24%)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6FC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26D9DF94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632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Genitourinary disorders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C4D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189 (4.90%)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3C6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65 (4.90%)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170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124 (4.90%)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99C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3858</w:t>
            </w:r>
          </w:p>
        </w:tc>
      </w:tr>
      <w:tr w:rsidR="00AE4385" w:rsidRPr="00AE4385" w14:paraId="3F2FBB7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EF69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Hematology disorders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3CE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180 (4.66%)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294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50 (3.77%)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CF0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130 (5.13%)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F14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55841E95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8951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Malignant neoplasm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AE0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117 (3.03%)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5F4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33 (2.49%)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99C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84 (3.32%)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902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3860</w:t>
            </w:r>
          </w:p>
        </w:tc>
      </w:tr>
      <w:tr w:rsidR="00AE4385" w:rsidRPr="00AE4385" w14:paraId="2024A512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2D3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HIV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972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24 (0.62%)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B7C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 (0.30%)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F3C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20 (0.79%)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E78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3859</w:t>
            </w:r>
          </w:p>
        </w:tc>
      </w:tr>
      <w:tr w:rsidR="00AE4385" w:rsidRPr="00AE4385" w14:paraId="3183EA44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6F84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Immunological disorders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FBD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63 (1.63%)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154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17 (1.28%)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80F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46 (1.82%)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0EA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3857</w:t>
            </w:r>
          </w:p>
        </w:tc>
      </w:tr>
      <w:tr w:rsidR="00AE4385" w:rsidRPr="00AE4385" w14:paraId="7D7391FB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F9E3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Solid organ transplantation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425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56 (1.45%)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063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 (1.06%)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0FD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42 (1.66%)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FE4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3857</w:t>
            </w:r>
          </w:p>
        </w:tc>
      </w:tr>
      <w:tr w:rsidR="00AE4385" w:rsidRPr="00AE4385" w14:paraId="4C2142E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4B6F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Bone Marrow Transplantation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C7E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 (0.05%)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B5F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 (0.00%)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D44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 (0.08%)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016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3857</w:t>
            </w:r>
          </w:p>
        </w:tc>
      </w:tr>
      <w:tr w:rsidR="00AE4385" w:rsidRPr="00AE4385" w14:paraId="650097E1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6F23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lastRenderedPageBreak/>
              <w:t>Hospital admission in the last 30 days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55A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102 (2.65%)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9E0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24 (1.81%)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0D4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78 (3.08%)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CA2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3856</w:t>
            </w:r>
          </w:p>
        </w:tc>
      </w:tr>
      <w:tr w:rsidR="00AE4385" w:rsidRPr="00AE4385" w14:paraId="44C9AC49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7EC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Other risk factors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BC0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867 (22.5%)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948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357 (26.9%)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1BC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510 (20.1%)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EE3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3858</w:t>
            </w:r>
          </w:p>
        </w:tc>
      </w:tr>
      <w:tr w:rsidR="00AE4385" w:rsidRPr="00AE4385" w14:paraId="52F430D6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E3483C" w14:textId="77777777" w:rsidR="00AE4385" w:rsidRPr="00AE4385" w:rsidRDefault="00AE4385" w:rsidP="00AE438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ICU data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56E5D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1BD0E6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DD507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64CC0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760E93C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6B17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Hospital stay,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days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3A0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26.0 [16.0;45.0]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154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27.0 [17.0;43.0]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275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26.0 [16.0;46.5]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959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3680</w:t>
            </w:r>
          </w:p>
        </w:tc>
      </w:tr>
      <w:tr w:rsidR="00AE4385" w:rsidRPr="00AE4385" w14:paraId="6523F36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4124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ICU stay,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days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C1B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13.0 [7.00;28.0]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854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14.0 [7.00;28.0]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F1A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13.0 [7.00;27.0]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783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3859</w:t>
            </w:r>
          </w:p>
        </w:tc>
      </w:tr>
      <w:tr w:rsidR="00AE4385" w:rsidRPr="00AE4385" w14:paraId="42EDB301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A84F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Hospitalization days before ICU,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days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BC2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1.00 [0.00;3.00]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519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1.00 [0.00;3.00]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2E2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2.00 [0.00;3.00]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6FC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3583</w:t>
            </w:r>
          </w:p>
        </w:tc>
      </w:tr>
      <w:tr w:rsidR="00AE4385" w:rsidRPr="00AE4385" w14:paraId="3EABF5A3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106B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Symptoms to hospital admission,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days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B7A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7.00 [5.00;9.00]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794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7.00 [5.00;10.0]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888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7.00 [4.00;9.00]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968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3675</w:t>
            </w:r>
          </w:p>
        </w:tc>
      </w:tr>
      <w:tr w:rsidR="00AE4385" w:rsidRPr="00AE4385" w14:paraId="22B81FD3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4F52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Symptoms to ICU admission,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days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E63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9.00 [7.00;12.0]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954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9.00 [7.00;12.0]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F7B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9.00 [7.00;12.0]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1EA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3717</w:t>
            </w:r>
          </w:p>
        </w:tc>
      </w:tr>
      <w:tr w:rsidR="00AE4385" w:rsidRPr="00AE4385" w14:paraId="3337C30E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A0BF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Alive 28 post-ICU discharge,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709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3719 (97.6%)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1DD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1284 (98.0%)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7CA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2435 (97.3%)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BBD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3812</w:t>
            </w:r>
          </w:p>
        </w:tc>
      </w:tr>
      <w:tr w:rsidR="00AE4385" w:rsidRPr="00AE4385" w14:paraId="5B50A6FC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C06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APACHE score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623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11.0 [8.00;14.0]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014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10.0 [8.00;13.0]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47A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11.0 [8.00;15.0]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AE5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2291</w:t>
            </w:r>
          </w:p>
        </w:tc>
      </w:tr>
      <w:tr w:rsidR="00AE4385" w:rsidRPr="00AE4385" w14:paraId="6FAA0825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E7CA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SOFA score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0CD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4.00 [3.00;7.00]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99D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4.00 [3.00;7.00]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22C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4.00 [3.00;7.00]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EDD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2779</w:t>
            </w:r>
          </w:p>
        </w:tc>
      </w:tr>
      <w:tr w:rsidR="00AE4385" w:rsidRPr="00AE4385" w14:paraId="673779AB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6D7F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SOFA hemodynamic component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9D4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[0.00;4.00]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1F4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[0.00;4.00]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1F1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[0.00;4.00]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6F6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3650</w:t>
            </w:r>
          </w:p>
        </w:tc>
      </w:tr>
      <w:tr w:rsidR="00AE4385" w:rsidRPr="00AE4385" w14:paraId="6D5FED1E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837E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SOFA renal component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589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[0.00;0.00]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185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[0.00;0.00]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6A8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[0.00;0.00]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50B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3788</w:t>
            </w:r>
          </w:p>
        </w:tc>
      </w:tr>
      <w:tr w:rsidR="00AE4385" w:rsidRPr="00AE4385" w14:paraId="586BEC22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8F0A" w14:textId="77777777" w:rsidR="00AE4385" w:rsidRPr="00AE4385" w:rsidRDefault="00AE4385" w:rsidP="00AE4385">
            <w:pPr>
              <w:ind w:firstLineChars="14" w:firstLine="3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Arterial blood gas at admission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1EE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DE4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6F5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C6A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3894FF9A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B5E9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pH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722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7.43 [7.36;7.46]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191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7.43 [7.37;7.46]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2F7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7.42 [7.35;7.46]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E2C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3488</w:t>
            </w:r>
          </w:p>
        </w:tc>
      </w:tr>
      <w:tr w:rsidR="00AE4385" w:rsidRPr="00AE4385" w14:paraId="4C7501CC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94D5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Partial pressure of oxygen,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mmHg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79B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77.0 [63.6;100]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F5C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76.0 [62.2;98.0]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028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78.0 [64.0;101]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AFA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3338</w:t>
            </w:r>
          </w:p>
        </w:tc>
      </w:tr>
      <w:tr w:rsidR="00AE4385" w:rsidRPr="00AE4385" w14:paraId="5E835554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BE4F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Partial pressure of carbon dioxide,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mmHg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B65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38.0 [33.0;45.0]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FE3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37.6 [33.0;44.0]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838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38.0 [33.3;45.0]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ABB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3357</w:t>
            </w:r>
          </w:p>
        </w:tc>
      </w:tr>
      <w:tr w:rsidR="00AE4385" w:rsidRPr="00AE4385" w14:paraId="37BD2CC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61E9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Bicarbonate, 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mmol</w:t>
            </w:r>
            <w:proofErr w:type="spellEnd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252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24.3 [22.2;27.0]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063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24.5 [22.1;27.0]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071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24.3 [22.2;27.0]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AD6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3328</w:t>
            </w:r>
          </w:p>
        </w:tc>
      </w:tr>
      <w:tr w:rsidR="00AE4385" w:rsidRPr="00AE4385" w14:paraId="0B3C8681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A3A2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Oxygen saturation,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%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79C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95.0 [91.6;97.0]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D84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95.0 [91.7;97.0]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07D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95.0 [91.5;97.0]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9A1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3548</w:t>
            </w:r>
          </w:p>
        </w:tc>
      </w:tr>
      <w:tr w:rsidR="00AE4385" w:rsidRPr="00AE4385" w14:paraId="5470102E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B90A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FiO2,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 xml:space="preserve"> %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749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70.0 [50.0;100]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D63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70.0 [50.0;100]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0A9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75.0 [50.0;100]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760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3702</w:t>
            </w:r>
          </w:p>
        </w:tc>
      </w:tr>
      <w:tr w:rsidR="00AE4385" w:rsidRPr="00AE4385" w14:paraId="5F5EA258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8C4D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PaO</w:t>
            </w: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  <w:lang w:eastAsia="en-GB"/>
              </w:rPr>
              <w:t>2</w:t>
            </w: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to FiO</w:t>
            </w: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  <w:lang w:eastAsia="en-GB"/>
              </w:rPr>
              <w:t>2</w:t>
            </w: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ratio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4CC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116 [84.0;169]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29D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115 [84.0;166]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C64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116 [83.8;171]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2DB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3240</w:t>
            </w:r>
          </w:p>
        </w:tc>
      </w:tr>
      <w:tr w:rsidR="00AE4385" w:rsidRPr="00AE4385" w14:paraId="2C81771B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FF62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Respiratory rate,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rpm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1E4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25.0 [21.0;31.0]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752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25.0 [22.0;31.0]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B15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25.0 [21.0;31.0]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0B5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3466</w:t>
            </w:r>
          </w:p>
        </w:tc>
      </w:tr>
      <w:tr w:rsidR="00AE4385" w:rsidRPr="00AE4385" w14:paraId="1DBD4807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0080" w14:textId="77777777" w:rsidR="00AE4385" w:rsidRPr="00AE4385" w:rsidRDefault="00AE4385" w:rsidP="00AE4385">
            <w:pPr>
              <w:ind w:firstLineChars="14" w:firstLine="3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Laboratory data at admission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297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4A3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07B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40D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3A210E22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ED91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Hemoglobin,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g/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dL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8FE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13.2 [12.1;14.4]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05B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13.2 [12.1;14.3]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E62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13.3 [12.0;14.4]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CB4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3718</w:t>
            </w:r>
          </w:p>
        </w:tc>
      </w:tr>
      <w:tr w:rsidR="00AE4385" w:rsidRPr="00AE4385" w14:paraId="690943ED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FAEE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White blood count,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×10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9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485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8.60 [6.26;11.9]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F1B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8.41 [6.30;11.7]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38A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8.70 [6.20;12.1]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CD6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3787</w:t>
            </w:r>
          </w:p>
        </w:tc>
      </w:tr>
      <w:tr w:rsidR="00AE4385" w:rsidRPr="00AE4385" w14:paraId="7BECA8F1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C9C5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Lymphocyte count,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×10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9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48E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0.70 [0.50;1.00]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CAE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0.70 [0.50;1.00]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5CB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0.70 [0.50;1.00]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572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3731</w:t>
            </w:r>
          </w:p>
        </w:tc>
      </w:tr>
      <w:tr w:rsidR="00AE4385" w:rsidRPr="00AE4385" w14:paraId="51980254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18B7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Neutrophil count,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×10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9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055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7.33 [5.08;10.5]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954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7.24 [5.10;10.1]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A6F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7.40 [5.06;10.6]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B64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3716</w:t>
            </w:r>
          </w:p>
        </w:tc>
      </w:tr>
      <w:tr w:rsidR="00AE4385" w:rsidRPr="00AE4385" w14:paraId="3158DA40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3033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Monocyte count,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×10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9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ECA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0.35 [0.20;0.53]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40C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0.37 [0.20;0.51]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973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0.35 [0.20;0.53]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35C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3669</w:t>
            </w:r>
          </w:p>
        </w:tc>
      </w:tr>
      <w:tr w:rsidR="00AE4385" w:rsidRPr="00AE4385" w14:paraId="606AA9A4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A39D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Eosinophil count,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×10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9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9A1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[0.00;0.01]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7A2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[0.00;0.01]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947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[0.00;0.01]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990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3669</w:t>
            </w:r>
          </w:p>
        </w:tc>
      </w:tr>
      <w:tr w:rsidR="00AE4385" w:rsidRPr="00AE4385" w14:paraId="7C91F418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E692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Basophil count,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×10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9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61C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0.01 [0.00;0.02]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068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[0.00;0.02]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161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0.01 [0.00;0.02]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DD3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3666</w:t>
            </w:r>
          </w:p>
        </w:tc>
      </w:tr>
      <w:tr w:rsidR="00AE4385" w:rsidRPr="00AE4385" w14:paraId="51E6D401" w14:textId="77777777" w:rsidTr="001A3B62">
        <w:trPr>
          <w:trHeight w:val="31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459E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Hematocrit,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%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6C7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39.7 [36.5;42.9]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795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39.7 [36.7;42.7]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8D9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39.8 [36.4;43.0]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E65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3742</w:t>
            </w:r>
          </w:p>
        </w:tc>
      </w:tr>
      <w:tr w:rsidR="00AE4385" w:rsidRPr="00AE4385" w14:paraId="3B97DA40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1031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Platelet count,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×10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9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FBD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237 [184;312]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6C3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237 [189;309]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110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238 [182;312]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443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3782</w:t>
            </w:r>
          </w:p>
        </w:tc>
      </w:tr>
      <w:tr w:rsidR="00AE4385" w:rsidRPr="00AE4385" w14:paraId="521F9DC8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A9E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Prothrombin, </w:t>
            </w:r>
            <w:r w:rsidRPr="00AE438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seconds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0F4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13.0 [12.1;14.2]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38F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13.1 [12.3;14.3]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E58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13.0 [12.0;14.1]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440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2804</w:t>
            </w:r>
          </w:p>
        </w:tc>
      </w:tr>
      <w:tr w:rsidR="00AE4385" w:rsidRPr="00AE4385" w14:paraId="55C8528C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F38D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International Normalized Ratio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1F4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1.14 [1.06;1.24]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6D7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1.14 [1.07;1.24]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E2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1.14 [1.06;1.24]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A7D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3391</w:t>
            </w:r>
          </w:p>
        </w:tc>
      </w:tr>
      <w:tr w:rsidR="00AE4385" w:rsidRPr="00AE4385" w14:paraId="58A789E5" w14:textId="77777777" w:rsidTr="001A3B62">
        <w:trPr>
          <w:trHeight w:val="3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993C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D-dimer,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mg/L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342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832 [456;1782]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1C6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800 [429;1635]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59C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860 [472;1834]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461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3292</w:t>
            </w:r>
          </w:p>
        </w:tc>
      </w:tr>
      <w:tr w:rsidR="00AE4385" w:rsidRPr="00AE4385" w14:paraId="52BB3014" w14:textId="77777777" w:rsidTr="001A3B62">
        <w:trPr>
          <w:trHeight w:val="3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FB6C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D-dimer,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log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20E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2.92 [2.66;3.25]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CA8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2.90 [2.63;3.21]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CAA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2.93 [2.67;3.26]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3D3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3288</w:t>
            </w:r>
          </w:p>
        </w:tc>
      </w:tr>
      <w:tr w:rsidR="00AE4385" w:rsidRPr="00AE4385" w14:paraId="2E3A1ABC" w14:textId="77777777" w:rsidTr="001A3B62">
        <w:trPr>
          <w:trHeight w:val="3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60B4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C-Reactive Protein,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mg/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dL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D9B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126 [63.0;214]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2DB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137 [70.0;225]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50D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121 [60.0;207]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45D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3599</w:t>
            </w:r>
          </w:p>
        </w:tc>
      </w:tr>
      <w:tr w:rsidR="00AE4385" w:rsidRPr="00AE4385" w14:paraId="109450AC" w14:textId="77777777" w:rsidTr="001A3B62">
        <w:trPr>
          <w:trHeight w:val="3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63E9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Glucose,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mg/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dL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8B4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138 [111;181]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08E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132 [108;173]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558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141 [113;185]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52A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3718</w:t>
            </w:r>
          </w:p>
        </w:tc>
      </w:tr>
      <w:tr w:rsidR="00AE4385" w:rsidRPr="00AE4385" w14:paraId="6CAFA8D4" w14:textId="77777777" w:rsidTr="001A3B62">
        <w:trPr>
          <w:trHeight w:val="3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9577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lastRenderedPageBreak/>
              <w:t xml:space="preserve">Bilirubin,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mg/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dL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B03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0.59 [0.40;0.80]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FB3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0.60 [0.43;0.84]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349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0.56 [0.40;0.80]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7D9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3343</w:t>
            </w:r>
          </w:p>
        </w:tc>
      </w:tr>
      <w:tr w:rsidR="00AE4385" w:rsidRPr="00AE4385" w14:paraId="7E459DD6" w14:textId="77777777" w:rsidTr="001A3B62">
        <w:trPr>
          <w:trHeight w:val="3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C115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Aspartate transaminase,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U/L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040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45.0 [31.0;71.0]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E36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47.0 [32.0;71.2]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A6B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44.0 [30.1;70.0]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67D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2990</w:t>
            </w:r>
          </w:p>
        </w:tc>
      </w:tr>
      <w:tr w:rsidR="00AE4385" w:rsidRPr="00AE4385" w14:paraId="5FE09CBC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08F6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Alanine Aminotransferase,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U/L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A6B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41.0 [26.0;67.0]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F8F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44.0 [27.0;67.0]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0B8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39.0 [25.0;66.0]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13F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3528</w:t>
            </w:r>
          </w:p>
        </w:tc>
      </w:tr>
      <w:tr w:rsidR="00AE4385" w:rsidRPr="00AE4385" w14:paraId="6117581C" w14:textId="77777777" w:rsidTr="001A3B62">
        <w:trPr>
          <w:trHeight w:val="32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D19B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Urea,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mg/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dL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041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42.0 [31.0;57.0]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FB7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41.0 [29.4;54.0]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A37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43.0 [32.0;59.0]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294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3356</w:t>
            </w:r>
          </w:p>
        </w:tc>
      </w:tr>
      <w:tr w:rsidR="00AE4385" w:rsidRPr="00AE4385" w14:paraId="263064BD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1E89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Blood urea nitrogen, mg/</w:t>
            </w:r>
            <w:proofErr w:type="spellStart"/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dL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4AF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19.6 [14.5;26.6]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578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19.1 [13.6;25.2]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8F6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20.1 [14.9;27.5]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9AC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3347</w:t>
            </w:r>
          </w:p>
        </w:tc>
      </w:tr>
      <w:tr w:rsidR="00AE4385" w:rsidRPr="00AE4385" w14:paraId="5EA12340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7317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Lactate, 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mmol</w:t>
            </w:r>
            <w:proofErr w:type="spellEnd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F75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1.40 [1.10;1.90]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E6F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1.35 [1.05;1.80]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A9C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1.40 [1.10;1.90]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202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2679</w:t>
            </w:r>
          </w:p>
        </w:tc>
      </w:tr>
      <w:tr w:rsidR="00AE4385" w:rsidRPr="00AE4385" w14:paraId="2CAB4A10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391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Creatinine,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 xml:space="preserve"> mg/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dL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4EA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0.80 [0.66;1.00]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E71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0.80 [0.65;0.99]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1A1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0.80 [0.66;1.00]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433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3792</w:t>
            </w:r>
          </w:p>
        </w:tc>
      </w:tr>
      <w:tr w:rsidR="00AE4385" w:rsidRPr="00AE4385" w14:paraId="1155927B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058E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Creatine Kinase,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U/L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E5D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86.0 [45.0;184]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26F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83.0 [50.0;174]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DFF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87.0 [44.0;191]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3D6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2157</w:t>
            </w:r>
          </w:p>
        </w:tc>
      </w:tr>
      <w:tr w:rsidR="00AE4385" w:rsidRPr="00AE4385" w14:paraId="7B25931B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280A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Procalcitonine,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ng/mL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D9A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0.18 [0.09;0.42]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BE1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0.18 [0.09;0.39]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E53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0.18 [0.08;0.44]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95E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2714</w:t>
            </w:r>
          </w:p>
        </w:tc>
      </w:tr>
      <w:tr w:rsidR="00AE4385" w:rsidRPr="00AE4385" w14:paraId="2D0076C5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5FC1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Lactate Dehydrogenase,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U/L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4D2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448 [344;600]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832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457 [350;624]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023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442 [342;592]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3D9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3192</w:t>
            </w:r>
          </w:p>
        </w:tc>
      </w:tr>
      <w:tr w:rsidR="00AE4385" w:rsidRPr="00AE4385" w14:paraId="76E4617E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2907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Sodium, 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mmol</w:t>
            </w:r>
            <w:proofErr w:type="spellEnd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B3A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138 [135;140]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094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138 [135;140]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778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138 [135;141]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542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3771</w:t>
            </w:r>
          </w:p>
        </w:tc>
      </w:tr>
      <w:tr w:rsidR="00AE4385" w:rsidRPr="00AE4385" w14:paraId="448BEF2D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177C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Potassium, 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mmol</w:t>
            </w:r>
            <w:proofErr w:type="spellEnd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BB8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4.00 [3.70;4.40]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F3F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3.98 [3.60;4.30]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3C1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4.05 [3.70;4.40]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5E1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3745</w:t>
            </w:r>
          </w:p>
        </w:tc>
      </w:tr>
      <w:tr w:rsidR="00AE4385" w:rsidRPr="00AE4385" w14:paraId="4967D0EA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621F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Albumin,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g/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dL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11C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3.20 [2.90;3.60]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18C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3.20 [2.90;3.60]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EB0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3.20 [2.90;3.60]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553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2075</w:t>
            </w:r>
          </w:p>
        </w:tc>
      </w:tr>
      <w:tr w:rsidR="00AE4385" w:rsidRPr="00AE4385" w14:paraId="33EAB235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6CFD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Troponin T,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ng/L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E06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0.01 [0.01;0.02]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B07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0.01 [0.01;0.02]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345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0.01 [0.01;0.03]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459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664</w:t>
            </w:r>
          </w:p>
        </w:tc>
      </w:tr>
      <w:tr w:rsidR="00AE4385" w:rsidRPr="00AE4385" w14:paraId="15766744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7ADD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Troponin I,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ng/L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4CE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0.01 [0.00;0.02]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4A7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0.01 [0.00;0.02]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52D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0.01 [0.00;0.02]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A2C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1350</w:t>
            </w:r>
          </w:p>
        </w:tc>
      </w:tr>
      <w:tr w:rsidR="00AE4385" w:rsidRPr="00AE4385" w14:paraId="35393C06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4D4D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Ferritin,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ng/mL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8C9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1121 [592;1822]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56C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1226 [698;1908]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C26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1045 [545;1765]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B6C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2091</w:t>
            </w:r>
          </w:p>
        </w:tc>
      </w:tr>
      <w:tr w:rsidR="00AE4385" w:rsidRPr="00AE4385" w14:paraId="387DF365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8785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Ferritin,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log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F53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3.05 [2.77;3.26]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5C8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3.09 [2.84;3.28]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D34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3.02 [2.74;3.25]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FB9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2091</w:t>
            </w:r>
          </w:p>
        </w:tc>
      </w:tr>
      <w:tr w:rsidR="00AE4385" w:rsidRPr="00AE4385" w14:paraId="5B5602E8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3DFC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IL6, 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pg</w:t>
            </w:r>
            <w:proofErr w:type="spellEnd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/mL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D3A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74.4 [24.4;195]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5EB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84.4 [26.7;209]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9E4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63.0 [23.1;186]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E76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1357</w:t>
            </w:r>
          </w:p>
        </w:tc>
      </w:tr>
      <w:tr w:rsidR="00AE4385" w:rsidRPr="00AE4385" w14:paraId="1172ECB0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74F9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IL6,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log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1D2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1.84 [1.40;2.25]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E01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1.91 [1.43;2.27]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CA4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1.79 [1.37;2.24]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9E1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1296</w:t>
            </w:r>
          </w:p>
        </w:tc>
      </w:tr>
      <w:tr w:rsidR="00AE4385" w:rsidRPr="00AE4385" w14:paraId="5B4CC140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CEBE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NT-</w:t>
            </w:r>
            <w:proofErr w:type="spellStart"/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proBNP</w:t>
            </w:r>
            <w:proofErr w:type="spellEnd"/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pg</w:t>
            </w:r>
            <w:proofErr w:type="spellEnd"/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/mL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085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292 [120;876]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F01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250 [107;538]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524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330 [134;1065]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842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756</w:t>
            </w:r>
          </w:p>
        </w:tc>
      </w:tr>
      <w:tr w:rsidR="00AE4385" w:rsidRPr="00AE4385" w14:paraId="2DDC46E3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973B" w14:textId="77777777" w:rsidR="00AE4385" w:rsidRPr="00AE4385" w:rsidRDefault="00AE4385" w:rsidP="00AE4385">
            <w:pPr>
              <w:ind w:firstLineChars="14" w:firstLine="3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Pharmacological treatment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8A4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8E9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32C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337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423D82CA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2B55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Corticosteroids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56E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3293 (85.6%)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0C6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1104 (83.3%)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8FA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2189 (86.8%)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A5C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3847</w:t>
            </w:r>
          </w:p>
        </w:tc>
      </w:tr>
      <w:tr w:rsidR="00AE4385" w:rsidRPr="00AE4385" w14:paraId="398499FA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46A4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Anticoagulant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D17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3706 (96.4%)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1AB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1288 (97.1%)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CF6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2418 (96.0%)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71B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3845</w:t>
            </w:r>
          </w:p>
        </w:tc>
      </w:tr>
      <w:tr w:rsidR="00AE4385" w:rsidRPr="00AE4385" w14:paraId="614822B8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E8A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Antibiotics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50E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3550 (92.4%)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2F3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1244 (93.7%)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480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2306 (91.7%)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736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3842</w:t>
            </w:r>
          </w:p>
        </w:tc>
      </w:tr>
      <w:tr w:rsidR="00AE4385" w:rsidRPr="00AE4385" w14:paraId="103FA42D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CC14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Hydroxychloroquine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EFE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1671 (43.5%)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876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695 (52.4%)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63B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976 (38.7%)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5F0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3845</w:t>
            </w:r>
          </w:p>
        </w:tc>
      </w:tr>
      <w:tr w:rsidR="00AE4385" w:rsidRPr="00AE4385" w14:paraId="73E21660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FAA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Remdesivir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F49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640 (16.6%)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44E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164 (12.4%)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627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476 (18.9%)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E4B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3845</w:t>
            </w:r>
          </w:p>
        </w:tc>
      </w:tr>
      <w:tr w:rsidR="00AE4385" w:rsidRPr="00AE4385" w14:paraId="50B9F096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5A69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Tocilizumab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399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1495 (38.9%)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790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557 (42.0%)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B2B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938 (37.2%)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5C9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3845</w:t>
            </w:r>
          </w:p>
        </w:tc>
      </w:tr>
      <w:tr w:rsidR="00AE4385" w:rsidRPr="00AE4385" w14:paraId="42984404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7B45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Convalescent plasm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B23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174 (4.53%)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27D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60 (4.52%)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50B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114 (4.53%)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BF7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3845</w:t>
            </w:r>
          </w:p>
        </w:tc>
      </w:tr>
      <w:tr w:rsidR="00AE4385" w:rsidRPr="00AE4385" w14:paraId="665245E4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31EE" w14:textId="77777777" w:rsidR="00AE4385" w:rsidRPr="00AE4385" w:rsidRDefault="00AE4385" w:rsidP="00AE4385">
            <w:pPr>
              <w:ind w:firstLineChars="14" w:firstLine="3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Procedures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678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823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14D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067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7E305716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3848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Ventilatory support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170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E89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FD9F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78C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4385" w:rsidRPr="00AE4385" w14:paraId="5DB20E03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DD4E" w14:textId="77777777" w:rsidR="00AE4385" w:rsidRPr="00AE4385" w:rsidRDefault="00AE4385" w:rsidP="00AE4385">
            <w:pPr>
              <w:ind w:firstLineChars="143" w:firstLine="315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High-flow nasal cannula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CBFC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2718 (80.7%)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437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969 (83.7%)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DEB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1749 (79.1%)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700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3369</w:t>
            </w:r>
          </w:p>
        </w:tc>
      </w:tr>
      <w:tr w:rsidR="00AE4385" w:rsidRPr="00AE4385" w14:paraId="1DD73EB5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6AA6" w14:textId="77777777" w:rsidR="00AE4385" w:rsidRPr="00AE4385" w:rsidRDefault="00AE4385" w:rsidP="00AE4385">
            <w:pPr>
              <w:ind w:firstLineChars="143" w:firstLine="315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NIMV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28D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1277 (33.3%)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8A7B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459 (34.7%)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5F2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818 (32.6%)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7C03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3830</w:t>
            </w:r>
          </w:p>
        </w:tc>
      </w:tr>
      <w:tr w:rsidR="00AE4385" w:rsidRPr="00AE4385" w14:paraId="7FF0355B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6165" w14:textId="77777777" w:rsidR="00AE4385" w:rsidRPr="00AE4385" w:rsidRDefault="00AE4385" w:rsidP="00AE4385">
            <w:pPr>
              <w:ind w:firstLineChars="143" w:firstLine="315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IMV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5001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2568 (66.6%)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4148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849 (64.0%)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3800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1719 (67.9%)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57D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3858</w:t>
            </w:r>
          </w:p>
        </w:tc>
      </w:tr>
      <w:tr w:rsidR="00AE4385" w:rsidRPr="00AE4385" w14:paraId="2076441B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DFFE" w14:textId="77777777" w:rsidR="00AE4385" w:rsidRPr="00AE4385" w:rsidRDefault="00AE4385" w:rsidP="00AE4385">
            <w:pPr>
              <w:ind w:firstLineChars="143" w:firstLine="315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IMV, days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D78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14.0 [8.00;27.0]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687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16.0 [9.00;27.0]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012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14.0 [8.00;27.0]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4AC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2501</w:t>
            </w:r>
          </w:p>
        </w:tc>
      </w:tr>
      <w:tr w:rsidR="00AE4385" w:rsidRPr="00AE4385" w14:paraId="0809AB0F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7FCB" w14:textId="77777777" w:rsidR="00AE4385" w:rsidRPr="00AE4385" w:rsidRDefault="00AE4385" w:rsidP="00AE4385">
            <w:pPr>
              <w:ind w:firstLineChars="143" w:firstLine="315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 xml:space="preserve">Delay ICU start IMV, </w:t>
            </w:r>
            <w:r w:rsidRPr="00AE438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days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9397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[0.00;1.00]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0A02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[0.00;1.00]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B5D5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0.00 [0.00;1.00]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94AE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2404</w:t>
            </w:r>
          </w:p>
        </w:tc>
      </w:tr>
      <w:tr w:rsidR="00AE4385" w:rsidRPr="00AE4385" w14:paraId="3931265D" w14:textId="77777777" w:rsidTr="001A3B62">
        <w:trPr>
          <w:trHeight w:val="288"/>
        </w:trPr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41BBD" w14:textId="77777777" w:rsidR="00AE4385" w:rsidRPr="00AE4385" w:rsidRDefault="00AE4385" w:rsidP="00AE4385">
            <w:pPr>
              <w:ind w:firstLineChars="79" w:firstLine="174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Prone position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911D4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2008 (52.1%)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DC8B6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726 (54.7%)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9A7A9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1282 (50.7%)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1EB6A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3854</w:t>
            </w:r>
          </w:p>
        </w:tc>
      </w:tr>
      <w:tr w:rsidR="00AE4385" w:rsidRPr="00AE4385" w14:paraId="6CAD5A25" w14:textId="77777777" w:rsidTr="001A3B62">
        <w:trPr>
          <w:trHeight w:val="288"/>
        </w:trPr>
        <w:tc>
          <w:tcPr>
            <w:tcW w:w="9129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9983FF" w14:textId="77777777" w:rsidR="00AE4385" w:rsidRPr="00AE4385" w:rsidRDefault="00AE4385" w:rsidP="00AE438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E438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Abbreviations: COPD, chronic obstructive pulmonary disease; ICU, intensive care unit; HIV, human immunodeficiency viruses; NIMV, non-invasive mechanic ventilation; IMV, invasive mechanic ventilation.</w:t>
            </w:r>
          </w:p>
          <w:p w14:paraId="756988AD" w14:textId="77777777" w:rsidR="00AE4385" w:rsidRPr="00AE4385" w:rsidRDefault="00AE4385" w:rsidP="00AE43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278B9DD" w14:textId="30E484EB" w:rsidR="00AE4385" w:rsidRDefault="00AE4385" w:rsidP="00AE4385">
      <w:pPr>
        <w:rPr>
          <w:rFonts w:asciiTheme="minorHAnsi" w:eastAsiaTheme="majorEastAsia" w:hAnsiTheme="minorHAnsi" w:cstheme="minorHAnsi"/>
        </w:rPr>
      </w:pPr>
    </w:p>
    <w:p w14:paraId="18D64AFF" w14:textId="00BF8E5B" w:rsidR="00B36992" w:rsidRPr="00B36992" w:rsidRDefault="00B36992" w:rsidP="00B36992">
      <w:pPr>
        <w:pStyle w:val="Heading1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121992472"/>
      <w:proofErr w:type="gramStart"/>
      <w:r w:rsidRPr="00B36992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eTable</w:t>
      </w:r>
      <w:proofErr w:type="gramEnd"/>
      <w:r w:rsidRPr="00B3699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E7516C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B36992">
        <w:rPr>
          <w:rFonts w:asciiTheme="minorHAnsi" w:hAnsiTheme="minorHAnsi" w:cstheme="minorHAnsi"/>
          <w:b/>
          <w:color w:val="auto"/>
          <w:sz w:val="24"/>
          <w:szCs w:val="24"/>
        </w:rPr>
        <w:t>. External validation of selected clinical parameters at hospitalization related to lung diffusion capacity impairment at the follow-up visit.</w:t>
      </w:r>
      <w:bookmarkEnd w:id="2"/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4027"/>
        <w:gridCol w:w="1340"/>
        <w:gridCol w:w="1400"/>
        <w:gridCol w:w="2589"/>
      </w:tblGrid>
      <w:tr w:rsidR="00B36992" w:rsidRPr="001B797A" w14:paraId="01A207D4" w14:textId="77777777" w:rsidTr="00B36992">
        <w:trPr>
          <w:trHeight w:val="288"/>
        </w:trPr>
        <w:tc>
          <w:tcPr>
            <w:tcW w:w="4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07D853" w14:textId="77777777" w:rsidR="00B36992" w:rsidRPr="001B797A" w:rsidRDefault="00B36992" w:rsidP="00B3699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D</w:t>
            </w:r>
            <w:r w:rsidRPr="00311A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bscript"/>
                <w:lang w:eastAsia="en-GB"/>
              </w:rPr>
              <w:t>LCO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02D120" w14:textId="77777777" w:rsidR="00B36992" w:rsidRDefault="00B36992" w:rsidP="008B34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&gt;80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%</w:t>
            </w:r>
          </w:p>
          <w:p w14:paraId="1F1DA4E6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(n=79)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4BD12A" w14:textId="77777777" w:rsidR="00B36992" w:rsidRDefault="00B36992" w:rsidP="008B34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&lt;80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%</w:t>
            </w:r>
          </w:p>
          <w:p w14:paraId="2AA40848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(n=121)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DE8BB1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OR (</w:t>
            </w:r>
            <w:proofErr w:type="spellStart"/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univariable</w:t>
            </w:r>
            <w:proofErr w:type="spellEnd"/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B36992" w:rsidRPr="001B797A" w14:paraId="14CCDB8B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13AD" w14:textId="77777777" w:rsidR="00B36992" w:rsidRPr="001B797A" w:rsidRDefault="00B36992" w:rsidP="008B34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Predictors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AE83" w14:textId="77777777" w:rsidR="00B36992" w:rsidRPr="001B797A" w:rsidRDefault="00B36992" w:rsidP="008B34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B4A7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3513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36992" w:rsidRPr="001B797A" w14:paraId="3236B920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1B78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Age, </w:t>
            </w:r>
            <w:r w:rsidRPr="001B79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years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985E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54.1 (11.0)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3CD2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60.2 (11.6)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02A1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8768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1.71 (1.27-2.34, p=0.001)</w:t>
            </w:r>
          </w:p>
        </w:tc>
      </w:tr>
      <w:tr w:rsidR="00B36992" w:rsidRPr="001B797A" w14:paraId="57C4DC05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CF5F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Sex, woman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6C0A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 (36.7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B7A3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(26.4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D9A8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0.62 (0.34-1.14, p=0.125)</w:t>
            </w:r>
          </w:p>
        </w:tc>
      </w:tr>
      <w:tr w:rsidR="00B36992" w:rsidRPr="001B797A" w14:paraId="5171CC44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8B6D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Smoking history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A5BE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5F5D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377E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36992" w:rsidRPr="001B797A" w14:paraId="7CE4D84F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3156" w14:textId="77777777" w:rsidR="00B36992" w:rsidRPr="001B797A" w:rsidRDefault="00B36992" w:rsidP="008B348F">
            <w:pPr>
              <w:ind w:firstLineChars="200" w:firstLine="44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Non smoker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618C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(58.2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FF44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 (43.8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B184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-</w:t>
            </w:r>
          </w:p>
        </w:tc>
      </w:tr>
      <w:tr w:rsidR="00B36992" w:rsidRPr="001B797A" w14:paraId="12ACBD4E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5A37" w14:textId="77777777" w:rsidR="00B36992" w:rsidRPr="001B797A" w:rsidRDefault="00B36992" w:rsidP="008B348F">
            <w:pPr>
              <w:ind w:firstLineChars="200" w:firstLine="44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Current / Former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D236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(41.8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408E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 (56.2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4062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1.79 (1.01-3.19, p=0.047)</w:t>
            </w:r>
          </w:p>
        </w:tc>
      </w:tr>
      <w:tr w:rsidR="00B36992" w:rsidRPr="001B797A" w14:paraId="565917D9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71AAD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NIMV duration, </w:t>
            </w:r>
            <w:r w:rsidRPr="001B797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days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214F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3.0 (2.7)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B1F5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4.4 (6.6)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F12D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E1FA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1.65 (1.05-2.83, p=0.055)</w:t>
            </w:r>
          </w:p>
        </w:tc>
      </w:tr>
      <w:tr w:rsidR="00B36992" w:rsidRPr="001B797A" w14:paraId="64BDDCD6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4CB21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IMV duration, </w:t>
            </w:r>
            <w:r w:rsidRPr="001B797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days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8F05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3.2 (4.9)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B172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9.9 (15.6)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3B5B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E1FA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2.40 (1.50-4.38, p=0.001)</w:t>
            </w:r>
          </w:p>
        </w:tc>
      </w:tr>
      <w:tr w:rsidR="00B36992" w:rsidRPr="001B797A" w14:paraId="7E75B8BC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E238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Infectious complication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6E71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(8.9)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8E56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(10.7)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564E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1.24 (0.48-3.43, p=0.665)</w:t>
            </w:r>
          </w:p>
        </w:tc>
      </w:tr>
      <w:tr w:rsidR="00B36992" w:rsidRPr="001B797A" w14:paraId="28B37BF1" w14:textId="77777777" w:rsidTr="008B348F">
        <w:trPr>
          <w:trHeight w:val="336"/>
        </w:trPr>
        <w:tc>
          <w:tcPr>
            <w:tcW w:w="4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D12AA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EGFR, </w:t>
            </w:r>
            <w:r w:rsidRPr="001B79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mL/min/1.73m</w:t>
            </w:r>
            <w:r w:rsidRPr="001B79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1BBBB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102.1 (17.6)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BC2B6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94.2 (21.4)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9886C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BE1FA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0.63 (0.44-0.88, p=0.009)</w:t>
            </w:r>
          </w:p>
        </w:tc>
      </w:tr>
      <w:tr w:rsidR="00B36992" w:rsidRPr="001B797A" w14:paraId="2C3A9305" w14:textId="77777777" w:rsidTr="00B36992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A684D3" w14:textId="77777777" w:rsidR="00B36992" w:rsidRPr="001B797A" w:rsidRDefault="00B36992" w:rsidP="00B3699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D</w:t>
            </w:r>
            <w:r w:rsidRPr="00311A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bscript"/>
                <w:lang w:eastAsia="en-GB"/>
              </w:rPr>
              <w:t>LCO</w:t>
            </w: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4255EF" w14:textId="77777777" w:rsidR="00B36992" w:rsidRDefault="00B36992" w:rsidP="008B34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&gt;60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%</w:t>
            </w:r>
          </w:p>
          <w:p w14:paraId="46E7B65F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(n=160)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4C40CA" w14:textId="77777777" w:rsidR="00B36992" w:rsidRDefault="00B36992" w:rsidP="008B34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&lt;60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%</w:t>
            </w:r>
          </w:p>
          <w:p w14:paraId="025E5CE7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(n=40)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91EC363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OR (</w:t>
            </w:r>
            <w:proofErr w:type="spellStart"/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univariable</w:t>
            </w:r>
            <w:proofErr w:type="spellEnd"/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B36992" w:rsidRPr="001B797A" w14:paraId="4B2DC144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0081" w14:textId="77777777" w:rsidR="00B36992" w:rsidRPr="001B797A" w:rsidRDefault="00B36992" w:rsidP="008B34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Predictors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3EF7" w14:textId="77777777" w:rsidR="00B36992" w:rsidRPr="001B797A" w:rsidRDefault="00B36992" w:rsidP="008B34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44FF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DE7B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36992" w:rsidRPr="001B797A" w14:paraId="05DA5393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2A77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Age, </w:t>
            </w:r>
            <w:r w:rsidRPr="001B79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years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EC20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56.5 (11.8)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59BF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62.8 (10.0)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138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C139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1.88 (1.26-2.93, p=0.003)</w:t>
            </w:r>
          </w:p>
        </w:tc>
      </w:tr>
      <w:tr w:rsidR="00B36992" w:rsidRPr="001B797A" w14:paraId="458F00D3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D631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Chronic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lung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disease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DA96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(3.8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7C96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(5.0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%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8D5E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1.35 (0.19-6.13, p=0.719)</w:t>
            </w:r>
          </w:p>
        </w:tc>
      </w:tr>
      <w:tr w:rsidR="00B36992" w:rsidRPr="001B797A" w14:paraId="67D89D5F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F88E7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IMV duration, </w:t>
            </w:r>
            <w:r w:rsidRPr="001B797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days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CF1F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5.0 (8.7)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C3DC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16.4 (21.0)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A277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C139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2.09 (1.50-3.06, p&lt;0.001)</w:t>
            </w:r>
          </w:p>
        </w:tc>
      </w:tr>
      <w:tr w:rsidR="00B36992" w:rsidRPr="001B797A" w14:paraId="4FC768D5" w14:textId="77777777" w:rsidTr="008B348F">
        <w:trPr>
          <w:trHeight w:val="288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464F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Urea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at ICU admission, </w:t>
            </w:r>
            <w:r w:rsidRPr="001B79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mg/</w:t>
            </w:r>
            <w:proofErr w:type="spellStart"/>
            <w:r w:rsidRPr="001B79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dL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4E1F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47.2 (20.1)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B3D5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62.7 (39.8)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D189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C139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1.67 (1.21-2.40, p=0.003)</w:t>
            </w:r>
          </w:p>
        </w:tc>
      </w:tr>
      <w:tr w:rsidR="00B36992" w:rsidRPr="001B797A" w14:paraId="23129C0D" w14:textId="77777777" w:rsidTr="008B348F">
        <w:trPr>
          <w:trHeight w:val="336"/>
        </w:trPr>
        <w:tc>
          <w:tcPr>
            <w:tcW w:w="4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D9B28" w14:textId="77777777" w:rsidR="00B36992" w:rsidRPr="001B797A" w:rsidRDefault="00B36992" w:rsidP="008B348F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EGFR, </w:t>
            </w:r>
            <w:r w:rsidRPr="001B79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  <w:t>mL/min/1.73m</w:t>
            </w:r>
            <w:r w:rsidRPr="001B797A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n-GB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616F7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99.8 (18.1)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BB582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87.6 (25.6)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F0369" w14:textId="77777777" w:rsidR="00B36992" w:rsidRPr="001B797A" w:rsidRDefault="00B36992" w:rsidP="008B34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C139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0.59 (0.42-0.81, p=0.001)</w:t>
            </w:r>
          </w:p>
        </w:tc>
      </w:tr>
      <w:tr w:rsidR="00B36992" w:rsidRPr="001B797A" w14:paraId="4B0EEF71" w14:textId="77777777" w:rsidTr="008B348F">
        <w:trPr>
          <w:trHeight w:val="672"/>
        </w:trPr>
        <w:tc>
          <w:tcPr>
            <w:tcW w:w="935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96E73" w14:textId="77777777" w:rsidR="00B36992" w:rsidRPr="001B797A" w:rsidRDefault="00B36992" w:rsidP="008B348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Abbreviations: </w:t>
            </w:r>
            <w:r w:rsidRPr="00E6359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63598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LCO</w:t>
            </w:r>
            <w:r w:rsidRPr="00E6359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E63598">
              <w:rPr>
                <w:rFonts w:asciiTheme="minorHAnsi" w:hAnsiTheme="minorHAnsi" w:cstheme="minorHAnsi"/>
                <w:bCs/>
                <w:sz w:val="22"/>
                <w:szCs w:val="22"/>
              </w:rPr>
              <w:t>lung diffusing capacity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r w:rsidRPr="00E6359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1B797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NIMV, non-invasive mechanic ventilation; IMV, invasive mechanic ventilation; EGFR, Estimated Glomerular Filtration Rate; ICU, intensive care unit.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Note: </w:t>
            </w:r>
            <w:r w:rsidRPr="003D05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odds ratios are presented for the 1-SD change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of </w:t>
            </w:r>
            <w:r w:rsidRPr="003D05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continuous variable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. In descriptive data, mean (SD) or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n(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%) </w:t>
            </w:r>
            <w:r w:rsidRPr="005F32F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accordingly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</w:tbl>
    <w:p w14:paraId="7EC1949B" w14:textId="662795D7" w:rsidR="001A3B62" w:rsidRDefault="001A3B62" w:rsidP="001A3B62"/>
    <w:p w14:paraId="3D91884D" w14:textId="77777777" w:rsidR="00171251" w:rsidRDefault="00171251">
      <w:pPr>
        <w:spacing w:after="160" w:line="259" w:lineRule="auto"/>
      </w:pPr>
      <w:r>
        <w:br w:type="page"/>
      </w:r>
    </w:p>
    <w:p w14:paraId="7FD0670C" w14:textId="77777777" w:rsidR="00171251" w:rsidRDefault="00171251">
      <w:pPr>
        <w:spacing w:after="160" w:line="259" w:lineRule="auto"/>
      </w:pPr>
    </w:p>
    <w:p w14:paraId="44AF6CE9" w14:textId="77777777" w:rsidR="00171251" w:rsidRPr="00171251" w:rsidRDefault="00171251" w:rsidP="00171251">
      <w:pPr>
        <w:pStyle w:val="Heading1"/>
        <w:spacing w:before="0" w:after="120" w:line="276" w:lineRule="auto"/>
        <w:ind w:right="424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gramStart"/>
      <w:r w:rsidRPr="00171251">
        <w:rPr>
          <w:rFonts w:asciiTheme="minorHAnsi" w:hAnsiTheme="minorHAnsi" w:cstheme="minorHAnsi"/>
          <w:b/>
          <w:color w:val="auto"/>
          <w:sz w:val="24"/>
          <w:szCs w:val="24"/>
        </w:rPr>
        <w:t>eTable</w:t>
      </w:r>
      <w:proofErr w:type="gramEnd"/>
      <w:r w:rsidRPr="0017125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3. Sensitivity analysis including the time since hospital discharge as a confounder of the associations between clinical parameters at hospitalization and lung diffusion capacity impairment, CT scan findings and spirometry parameters at the follow-up visit.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3469"/>
      </w:tblGrid>
      <w:tr w:rsidR="00171251" w:rsidRPr="00171251" w14:paraId="458070FA" w14:textId="77777777" w:rsidTr="00171251">
        <w:trPr>
          <w:trHeight w:val="300"/>
        </w:trPr>
        <w:tc>
          <w:tcPr>
            <w:tcW w:w="5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F1F0E7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D</w:t>
            </w: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vertAlign w:val="subscript"/>
                <w:lang w:eastAsia="es-ES"/>
              </w:rPr>
              <w:t>LCO</w:t>
            </w: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(&lt;80%)</w:t>
            </w:r>
          </w:p>
        </w:tc>
        <w:tc>
          <w:tcPr>
            <w:tcW w:w="3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B3819F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OR (complete cases)</w:t>
            </w:r>
          </w:p>
        </w:tc>
      </w:tr>
      <w:tr w:rsidR="00171251" w:rsidRPr="00171251" w14:paraId="2AF31B57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F3D8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Predictors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9B2E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35934CAA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9419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Age,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years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6577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1.21 (1.05-1.40, p=0.010)</w:t>
            </w:r>
          </w:p>
        </w:tc>
      </w:tr>
      <w:tr w:rsidR="00171251" w:rsidRPr="00171251" w14:paraId="35BD0796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E5B4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Sex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2354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673A4267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D691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Men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40AF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-</w:t>
            </w:r>
          </w:p>
        </w:tc>
      </w:tr>
      <w:tr w:rsidR="00171251" w:rsidRPr="00171251" w14:paraId="372E8EA5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5889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Women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67EB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 1.88 (1.41-2.54, p&lt;0.001)</w:t>
            </w:r>
          </w:p>
        </w:tc>
      </w:tr>
      <w:tr w:rsidR="00171251" w:rsidRPr="00171251" w14:paraId="3D3D546D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158E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Smoking history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923F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72ADF27E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B5C2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Non smoker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BD59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-</w:t>
            </w:r>
          </w:p>
        </w:tc>
      </w:tr>
      <w:tr w:rsidR="00171251" w:rsidRPr="00171251" w14:paraId="4F42BDFE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D2F2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Former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5B77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1.76 (1.33-2.34, p&lt;0.001)</w:t>
            </w:r>
          </w:p>
        </w:tc>
      </w:tr>
      <w:tr w:rsidR="00171251" w:rsidRPr="00171251" w14:paraId="0482B1C1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AA57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Current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A91E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2.26 (1.17-4.69, p=0.020)</w:t>
            </w:r>
          </w:p>
        </w:tc>
      </w:tr>
      <w:tr w:rsidR="00171251" w:rsidRPr="00171251" w14:paraId="400B77D9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9E207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 xml:space="preserve">NIMV duration,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es-ES"/>
              </w:rPr>
              <w:t>days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E0C3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1.33 (1.11-1.63, p=0.004)</w:t>
            </w:r>
          </w:p>
        </w:tc>
      </w:tr>
      <w:tr w:rsidR="00171251" w:rsidRPr="00171251" w14:paraId="18FA06FE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1A5F6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 xml:space="preserve">IMV duration,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es-ES"/>
              </w:rPr>
              <w:t>days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97F2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1.62 (1.34-1.98, p&lt;0.001)</w:t>
            </w:r>
          </w:p>
        </w:tc>
      </w:tr>
      <w:tr w:rsidR="00171251" w:rsidRPr="00171251" w14:paraId="231C65E6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FD36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Infectious complication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F0A3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1804C071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E360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A3E7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-</w:t>
            </w:r>
          </w:p>
        </w:tc>
      </w:tr>
      <w:tr w:rsidR="00171251" w:rsidRPr="00171251" w14:paraId="230C253F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7BA2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9B63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1.20 (0.88-1.64, p=0.246)</w:t>
            </w:r>
          </w:p>
        </w:tc>
      </w:tr>
      <w:tr w:rsidR="00171251" w:rsidRPr="00171251" w14:paraId="2C30DDA5" w14:textId="77777777" w:rsidTr="00171251">
        <w:trPr>
          <w:trHeight w:val="34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942A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Estimated Glomerular Filtration Rate,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mL/min/1.73m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s-ES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E487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0.73 (0.62-0.86, p&lt;0.001)</w:t>
            </w:r>
          </w:p>
        </w:tc>
      </w:tr>
      <w:tr w:rsidR="00171251" w:rsidRPr="00171251" w14:paraId="04A1599A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CB2C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Time since hospital discharge, months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34B9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0.77 (0.68-0.87, p&lt;0.001)</w:t>
            </w:r>
          </w:p>
        </w:tc>
      </w:tr>
      <w:tr w:rsidR="00171251" w:rsidRPr="00171251" w14:paraId="3112CF26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F72BDB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D</w:t>
            </w: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vertAlign w:val="subscript"/>
                <w:lang w:eastAsia="es-ES"/>
              </w:rPr>
              <w:t>LCO</w:t>
            </w: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(&lt;60%)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5A5243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OR (multiple imputation)</w:t>
            </w:r>
          </w:p>
        </w:tc>
      </w:tr>
      <w:tr w:rsidR="00171251" w:rsidRPr="00171251" w14:paraId="34F8D59C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B38E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Predictors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24C2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1E21F19C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7ED0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Age,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years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D3CC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1.41 (1.18-1.68, p&lt;0.001)</w:t>
            </w:r>
          </w:p>
        </w:tc>
      </w:tr>
      <w:tr w:rsidR="00171251" w:rsidRPr="00171251" w14:paraId="5247081D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9F81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Chronic pulmonary disease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C352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55B94D3E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2CE3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A69B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7012E611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2190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5A38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2.09 (1.28-3.39, p=0.003)</w:t>
            </w:r>
          </w:p>
        </w:tc>
      </w:tr>
      <w:tr w:rsidR="00171251" w:rsidRPr="00171251" w14:paraId="3FB23904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0FE35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 xml:space="preserve">IMV duration,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es-ES"/>
              </w:rPr>
              <w:t>days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FD9D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1.60 (1.40-1.83, p&lt;0.001)</w:t>
            </w:r>
          </w:p>
        </w:tc>
      </w:tr>
      <w:tr w:rsidR="00171251" w:rsidRPr="00171251" w14:paraId="5BED2F5A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2525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Urea nitrogen ICU admission,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mg/</w:t>
            </w:r>
            <w:proofErr w:type="spellStart"/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dL</w:t>
            </w:r>
            <w:proofErr w:type="spellEnd"/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DC5A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1.21 (1.01-1.47, p=0.046)</w:t>
            </w:r>
          </w:p>
        </w:tc>
      </w:tr>
      <w:tr w:rsidR="00171251" w:rsidRPr="00171251" w14:paraId="74655C5D" w14:textId="77777777" w:rsidTr="00171251">
        <w:trPr>
          <w:trHeight w:val="34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748D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Estimated Glomerular Filtration Rate,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mL/min/1.73m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s-ES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0B6E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0.91 (0.74-1.11, p=0.328)</w:t>
            </w:r>
          </w:p>
        </w:tc>
      </w:tr>
      <w:tr w:rsidR="00171251" w:rsidRPr="00171251" w14:paraId="147D9008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6114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Time since hospital discharge, months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41DD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0.73 (0.62-0.85, p&lt;0.001)</w:t>
            </w:r>
          </w:p>
        </w:tc>
      </w:tr>
      <w:tr w:rsidR="00171251" w:rsidRPr="00171251" w14:paraId="623CD76F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00B4718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D</w:t>
            </w: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vertAlign w:val="subscript"/>
                <w:lang w:eastAsia="es-ES"/>
              </w:rPr>
              <w:t>LCO</w:t>
            </w: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(continuous)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B3226F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OR (multiple imputation)</w:t>
            </w:r>
          </w:p>
        </w:tc>
      </w:tr>
      <w:tr w:rsidR="00171251" w:rsidRPr="00171251" w14:paraId="7D5D8DDD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B8BB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Predictors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BDFE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19F8D4FA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5A43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Age,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years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834D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-2.71 (-3.77 to -1.66, p&lt;0.001)</w:t>
            </w:r>
          </w:p>
        </w:tc>
      </w:tr>
      <w:tr w:rsidR="00171251" w:rsidRPr="00171251" w14:paraId="53E26B44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308A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IMV duration,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es-ES"/>
              </w:rPr>
              <w:t>days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767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-4.24 (-5.17 to -3.30, p&lt;0.001)</w:t>
            </w:r>
          </w:p>
        </w:tc>
      </w:tr>
      <w:tr w:rsidR="00171251" w:rsidRPr="00171251" w14:paraId="430D788F" w14:textId="77777777" w:rsidTr="00171251">
        <w:trPr>
          <w:trHeight w:val="34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E92B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Estimated Glomerular Filtration Rate,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mL/min/1.73m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s-ES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EBD1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 2.62 (1.57 to 3.67, p&lt;0.001)</w:t>
            </w:r>
          </w:p>
        </w:tc>
      </w:tr>
      <w:tr w:rsidR="00171251" w:rsidRPr="00171251" w14:paraId="27F5F04F" w14:textId="77777777" w:rsidTr="0017125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6D24C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Time since hospital discharge, months 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EB156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 2.17 (1.25 to 3.10, p&lt;0.001)</w:t>
            </w:r>
          </w:p>
        </w:tc>
      </w:tr>
      <w:tr w:rsidR="00171251" w:rsidRPr="00171251" w14:paraId="1B80ADFA" w14:textId="77777777" w:rsidTr="00171251">
        <w:trPr>
          <w:trHeight w:val="435"/>
        </w:trPr>
        <w:tc>
          <w:tcPr>
            <w:tcW w:w="8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10C5CB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ES"/>
              </w:rPr>
              <w:t>CT FINDINGS</w:t>
            </w:r>
          </w:p>
        </w:tc>
      </w:tr>
      <w:tr w:rsidR="00171251" w:rsidRPr="00171251" w14:paraId="7166CEA1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29F1043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 Persistent pulmonary infiltrate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B3F95E9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OR (multiple imputation)</w:t>
            </w:r>
          </w:p>
        </w:tc>
      </w:tr>
      <w:tr w:rsidR="00171251" w:rsidRPr="00171251" w14:paraId="77C3E90C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DF2B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Predictors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1EA9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45AAF97C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5F48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Antiviral treatment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129E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53C3E984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EBD4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FF6D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-</w:t>
            </w:r>
          </w:p>
        </w:tc>
      </w:tr>
      <w:tr w:rsidR="00171251" w:rsidRPr="00171251" w14:paraId="1F88563E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3C88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DD24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 1.43 (0.94-2.20, p=0.100)</w:t>
            </w:r>
          </w:p>
        </w:tc>
      </w:tr>
      <w:tr w:rsidR="00171251" w:rsidRPr="00171251" w14:paraId="1E14C4C2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49C9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Prone position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85E0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4CF097CA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0CE9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lastRenderedPageBreak/>
              <w:t>No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1697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>-</w:t>
            </w:r>
          </w:p>
        </w:tc>
      </w:tr>
      <w:tr w:rsidR="00171251" w:rsidRPr="00171251" w14:paraId="6096AB39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00AA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6343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>1.72 (1.17-2.55, p=0.006)</w:t>
            </w:r>
          </w:p>
        </w:tc>
      </w:tr>
      <w:tr w:rsidR="00171251" w:rsidRPr="00171251" w14:paraId="247CF1BB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9828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ARDS complication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DFF7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7FA96CE2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5518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6278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>-</w:t>
            </w:r>
          </w:p>
        </w:tc>
      </w:tr>
      <w:tr w:rsidR="00171251" w:rsidRPr="00171251" w14:paraId="4FE579E0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0B65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EDBE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>1.35 (0.88-2.10, p=0.169)</w:t>
            </w:r>
          </w:p>
        </w:tc>
      </w:tr>
      <w:tr w:rsidR="00171251" w:rsidRPr="00171251" w14:paraId="4DD294D5" w14:textId="77777777" w:rsidTr="00171251">
        <w:trPr>
          <w:trHeight w:val="34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56C6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Neutrophil count ICU admission,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×10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s-ES"/>
              </w:rPr>
              <w:t>9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/L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BFF2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>1.17 (0.96-1.43, p=0.118)</w:t>
            </w:r>
          </w:p>
        </w:tc>
      </w:tr>
      <w:tr w:rsidR="00171251" w:rsidRPr="00171251" w14:paraId="6ED77DB5" w14:textId="77777777" w:rsidTr="00171251">
        <w:trPr>
          <w:trHeight w:val="34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9B21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Platelet count ICU admission,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×10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vertAlign w:val="superscript"/>
                <w:lang w:eastAsia="es-ES"/>
              </w:rPr>
              <w:t>9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/L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FC1C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>1.18 (0.99-1.40, p=0.060)</w:t>
            </w:r>
          </w:p>
        </w:tc>
      </w:tr>
      <w:tr w:rsidR="00171251" w:rsidRPr="00171251" w14:paraId="57FF745B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8A27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APACHE score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EEAE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>1.14 (0.95-1.37, p=0.145)</w:t>
            </w:r>
          </w:p>
        </w:tc>
      </w:tr>
      <w:tr w:rsidR="00171251" w:rsidRPr="00171251" w14:paraId="4D1FB1B1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BD84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 xml:space="preserve">Partial pressure of carbon dioxide,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es-ES"/>
              </w:rPr>
              <w:t>mmHg</w:t>
            </w: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 xml:space="preserve"> (max)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77D3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>1.08 (0.88-1.32, p=0.442)</w:t>
            </w:r>
          </w:p>
        </w:tc>
      </w:tr>
      <w:tr w:rsidR="00171251" w:rsidRPr="00171251" w14:paraId="25B8A832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BD8C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Time since hospital discharge, months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936D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1.01 (0.84-1.20, p=0.933)</w:t>
            </w:r>
          </w:p>
        </w:tc>
      </w:tr>
      <w:tr w:rsidR="00171251" w:rsidRPr="00171251" w14:paraId="1445EBD9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1959B6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Emphysema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F9362E6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OR (multiple imputation)</w:t>
            </w:r>
          </w:p>
        </w:tc>
      </w:tr>
      <w:tr w:rsidR="00171251" w:rsidRPr="00171251" w14:paraId="2F7A9DCA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9296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Predictors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6B86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1FDE960A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2B5F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Pulmonary embolism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9EF2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154407D9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B53B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69BB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-</w:t>
            </w:r>
          </w:p>
        </w:tc>
      </w:tr>
      <w:tr w:rsidR="00171251" w:rsidRPr="00171251" w14:paraId="22A6DBEF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CC4C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6FDA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3.85 (1.24-11.38, p=0.015)</w:t>
            </w:r>
          </w:p>
        </w:tc>
      </w:tr>
      <w:tr w:rsidR="00171251" w:rsidRPr="00171251" w14:paraId="0321C666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1C37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Time since hospital discharge, months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5340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1.34 (0.79-2.21, p=0.254)</w:t>
            </w:r>
          </w:p>
        </w:tc>
      </w:tr>
      <w:tr w:rsidR="00171251" w:rsidRPr="00171251" w14:paraId="781C4A40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1C4EC2E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Fibrotic lesions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AA5723C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OR (multiple imputation)</w:t>
            </w:r>
          </w:p>
        </w:tc>
      </w:tr>
      <w:tr w:rsidR="00171251" w:rsidRPr="00171251" w14:paraId="7AA5C30B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6D03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Predictors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FE5B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2DD85A80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882F8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 xml:space="preserve">NIMV duration,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es-ES"/>
              </w:rPr>
              <w:t>days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353E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1.25 (1.08-1.46, p=0.003)</w:t>
            </w:r>
          </w:p>
        </w:tc>
      </w:tr>
      <w:tr w:rsidR="00171251" w:rsidRPr="00171251" w14:paraId="54057104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4A535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 xml:space="preserve">IMV duration,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es-ES"/>
              </w:rPr>
              <w:t>days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D1C0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1.17 (0.97-1.40, p=0.106)</w:t>
            </w:r>
          </w:p>
        </w:tc>
      </w:tr>
      <w:tr w:rsidR="00171251" w:rsidRPr="00171251" w14:paraId="06E0A803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7E1E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Prone duration,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days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32AB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1.18 (0.99-1.41, p=0.065)</w:t>
            </w:r>
          </w:p>
        </w:tc>
      </w:tr>
      <w:tr w:rsidR="00171251" w:rsidRPr="00171251" w14:paraId="56838A6E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1F0D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Bacterial pneumonia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3D1D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7BBC2DB3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7269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CE75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-</w:t>
            </w:r>
          </w:p>
        </w:tc>
      </w:tr>
      <w:tr w:rsidR="00171251" w:rsidRPr="00171251" w14:paraId="0912989B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2C00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057F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1.74 (1.18-2.56, p=0.005)</w:t>
            </w:r>
          </w:p>
        </w:tc>
      </w:tr>
      <w:tr w:rsidR="00171251" w:rsidRPr="00171251" w14:paraId="527DC31C" w14:textId="77777777" w:rsidTr="0017125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2004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Time since hospital discharge, months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0BA7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1.12 (0.96-1.30, p=0.145)</w:t>
            </w:r>
          </w:p>
        </w:tc>
      </w:tr>
      <w:tr w:rsidR="00171251" w:rsidRPr="00171251" w14:paraId="126B3F63" w14:textId="77777777" w:rsidTr="00171251">
        <w:trPr>
          <w:trHeight w:val="435"/>
        </w:trPr>
        <w:tc>
          <w:tcPr>
            <w:tcW w:w="8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B2E0EA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ES"/>
              </w:rPr>
              <w:t>SPIROMETRY</w:t>
            </w:r>
          </w:p>
        </w:tc>
      </w:tr>
      <w:tr w:rsidR="00171251" w:rsidRPr="00171251" w14:paraId="68FE4AD0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76B6C4B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FEV</w:t>
            </w: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vertAlign w:val="subscript"/>
                <w:lang w:eastAsia="es-ES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F263CFC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OR (multiple imputation)</w:t>
            </w:r>
          </w:p>
        </w:tc>
      </w:tr>
      <w:tr w:rsidR="00171251" w:rsidRPr="00171251" w14:paraId="6473CFE1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0166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Predictors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9F36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20F4D41A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CED8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Chronic renal disease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01B9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72327033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9E44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9914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-</w:t>
            </w:r>
          </w:p>
        </w:tc>
      </w:tr>
      <w:tr w:rsidR="00171251" w:rsidRPr="00171251" w14:paraId="57CDFF8C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4FDD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8429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2.71 (1.48-4.96, p=0.001)</w:t>
            </w:r>
          </w:p>
        </w:tc>
      </w:tr>
      <w:tr w:rsidR="00171251" w:rsidRPr="00171251" w14:paraId="64503FB9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7202" w14:textId="77777777" w:rsidR="00171251" w:rsidRPr="00171251" w:rsidRDefault="00171251" w:rsidP="001E4A50">
            <w:pPr>
              <w:ind w:firstLine="209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Chronic lung disease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6987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477D5CE8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9AAF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1CCB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54B92B91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FCDC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4FD3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1.89 (1.17-3.02, p=0.009)</w:t>
            </w:r>
          </w:p>
        </w:tc>
      </w:tr>
      <w:tr w:rsidR="00171251" w:rsidRPr="00171251" w14:paraId="6BEBD543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93250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 xml:space="preserve">IMV duration,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es-ES"/>
              </w:rPr>
              <w:t>days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22B1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1.35 (1.19-1.53, p&lt;0.001)</w:t>
            </w:r>
          </w:p>
        </w:tc>
      </w:tr>
      <w:tr w:rsidR="00171251" w:rsidRPr="00171251" w14:paraId="60C967B4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59EF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Urea nitrogen ICU admission,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mg/</w:t>
            </w:r>
            <w:proofErr w:type="spellStart"/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dL</w:t>
            </w:r>
            <w:proofErr w:type="spellEnd"/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0390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1.15 (1.00-1.32, p=0.056)</w:t>
            </w:r>
          </w:p>
        </w:tc>
      </w:tr>
      <w:tr w:rsidR="00171251" w:rsidRPr="00171251" w14:paraId="2D212DAD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4DAB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Time since hospital discharge, months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5476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0.79 (0.69-0.92, p=0.002)</w:t>
            </w:r>
          </w:p>
        </w:tc>
      </w:tr>
      <w:tr w:rsidR="00171251" w:rsidRPr="00171251" w14:paraId="185F2665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E21498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FVC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83D07C0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>OR (multiple imputation)</w:t>
            </w:r>
          </w:p>
        </w:tc>
      </w:tr>
      <w:tr w:rsidR="00171251" w:rsidRPr="00171251" w14:paraId="1F127D32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BBC6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  <w:t xml:space="preserve">Predictors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4E8E" w14:textId="77777777" w:rsidR="00171251" w:rsidRPr="00171251" w:rsidRDefault="00171251" w:rsidP="001E4A5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67A1D857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B850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Chronic renal disease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A409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</w:p>
        </w:tc>
      </w:tr>
      <w:tr w:rsidR="00171251" w:rsidRPr="00171251" w14:paraId="22880DC9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7119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B0B6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-</w:t>
            </w:r>
          </w:p>
        </w:tc>
      </w:tr>
      <w:tr w:rsidR="00171251" w:rsidRPr="00171251" w14:paraId="1296DD82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9F6D" w14:textId="77777777" w:rsidR="00171251" w:rsidRPr="00171251" w:rsidRDefault="00171251" w:rsidP="001E4A50">
            <w:pPr>
              <w:ind w:firstLineChars="200" w:firstLine="440"/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s-ES"/>
              </w:rPr>
              <w:t>Yes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F669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3.50 (2.01-6.24, p&lt;0.001)</w:t>
            </w:r>
          </w:p>
        </w:tc>
      </w:tr>
      <w:tr w:rsidR="00171251" w:rsidRPr="00171251" w14:paraId="2D02E2B2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C8304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 xml:space="preserve">NIMV duration,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es-ES"/>
              </w:rPr>
              <w:t>days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1289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1.23 (1.08-1.40, p=0.002)</w:t>
            </w:r>
          </w:p>
        </w:tc>
      </w:tr>
      <w:tr w:rsidR="00171251" w:rsidRPr="00171251" w14:paraId="78686D84" w14:textId="77777777" w:rsidTr="00171251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F80BB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sz w:val="22"/>
                <w:szCs w:val="22"/>
                <w:lang w:eastAsia="es-ES"/>
              </w:rPr>
              <w:t xml:space="preserve">IMV duration, </w:t>
            </w:r>
            <w:r w:rsidRPr="00171251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es-ES"/>
              </w:rPr>
              <w:t>days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7D5E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1.43 (1.27-1.61, p&lt;0.001)</w:t>
            </w:r>
          </w:p>
        </w:tc>
      </w:tr>
      <w:tr w:rsidR="00171251" w:rsidRPr="00171251" w14:paraId="71F17819" w14:textId="77777777" w:rsidTr="0017125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E5025" w14:textId="77777777" w:rsidR="00171251" w:rsidRPr="00171251" w:rsidRDefault="00171251" w:rsidP="001E4A50">
            <w:pPr>
              <w:ind w:firstLineChars="100" w:firstLine="2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 xml:space="preserve">Time since hospital discharge, months 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58A8F" w14:textId="77777777" w:rsidR="00171251" w:rsidRPr="00171251" w:rsidRDefault="00171251" w:rsidP="001E4A5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</w:pPr>
            <w:r w:rsidRPr="0017125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/>
              </w:rPr>
              <w:t>0.79 (0.70-0.90, p&lt;0.001)</w:t>
            </w:r>
          </w:p>
        </w:tc>
      </w:tr>
    </w:tbl>
    <w:p w14:paraId="5799435A" w14:textId="77777777" w:rsidR="00171251" w:rsidRPr="00171251" w:rsidRDefault="00171251" w:rsidP="001712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17125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lastRenderedPageBreak/>
        <w:t>Abbreviations:  D</w:t>
      </w:r>
      <w:r w:rsidRPr="00171251">
        <w:rPr>
          <w:rFonts w:asciiTheme="minorHAnsi" w:hAnsiTheme="minorHAnsi" w:cstheme="minorHAnsi"/>
          <w:color w:val="000000"/>
          <w:sz w:val="22"/>
          <w:szCs w:val="22"/>
          <w:vertAlign w:val="subscript"/>
          <w:lang w:eastAsia="en-GB"/>
        </w:rPr>
        <w:t>LCO</w:t>
      </w:r>
      <w:r w:rsidRPr="0017125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: lung diffusing capacity; NIMV: non-invasive mechanic ventilation; IMV: invasive mechanic ventilation; ARDS: acute respiratory distress syndrome; FEV</w:t>
      </w:r>
      <w:r w:rsidRPr="00171251">
        <w:rPr>
          <w:rFonts w:asciiTheme="minorHAnsi" w:hAnsiTheme="minorHAnsi" w:cstheme="minorHAnsi"/>
          <w:color w:val="000000"/>
          <w:sz w:val="22"/>
          <w:szCs w:val="22"/>
          <w:vertAlign w:val="subscript"/>
          <w:lang w:eastAsia="en-GB"/>
        </w:rPr>
        <w:t>1</w:t>
      </w:r>
      <w:r w:rsidRPr="0017125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: forced expiratory volume in 1 second; FVC: forced vital capacity. </w:t>
      </w:r>
    </w:p>
    <w:p w14:paraId="089EC7CE" w14:textId="5FDEC249" w:rsidR="00776794" w:rsidRDefault="00776794">
      <w:pPr>
        <w:spacing w:after="160" w:line="259" w:lineRule="auto"/>
      </w:pPr>
      <w:r>
        <w:br w:type="page"/>
      </w:r>
      <w:bookmarkStart w:id="3" w:name="_GoBack"/>
      <w:bookmarkEnd w:id="3"/>
    </w:p>
    <w:p w14:paraId="7ED4C3BE" w14:textId="77777777" w:rsidR="00776794" w:rsidRDefault="00776794" w:rsidP="00776794"/>
    <w:p w14:paraId="43665CE4" w14:textId="77777777" w:rsidR="00776794" w:rsidRDefault="00776794" w:rsidP="00776794">
      <w:r>
        <w:rPr>
          <w:rFonts w:ascii="Segoe UI" w:hAnsi="Segoe UI" w:cs="Segoe UI"/>
          <w:b/>
          <w:noProof/>
          <w:color w:val="424242"/>
          <w:shd w:val="clear" w:color="auto" w:fill="FFFFFF"/>
          <w:lang w:val="en-GB" w:eastAsia="en-GB"/>
        </w:rPr>
        <w:drawing>
          <wp:inline distT="0" distB="0" distL="0" distR="0" wp14:anchorId="1B090F01" wp14:editId="45915169">
            <wp:extent cx="3905250" cy="3761316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6"/>
                    <a:stretch/>
                  </pic:blipFill>
                  <pic:spPr bwMode="auto">
                    <a:xfrm>
                      <a:off x="0" y="0"/>
                      <a:ext cx="3958665" cy="381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65CE3" w14:textId="77777777" w:rsidR="00776794" w:rsidRDefault="00776794" w:rsidP="00776794"/>
    <w:p w14:paraId="142643F0" w14:textId="0423CFEC" w:rsidR="00776794" w:rsidRDefault="00776794" w:rsidP="00776794">
      <w:pPr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</w:pPr>
      <w:bookmarkStart w:id="4" w:name="_Toc121992473"/>
      <w:proofErr w:type="spellStart"/>
      <w:proofErr w:type="gramStart"/>
      <w:r w:rsidRPr="003C329A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eFigure</w:t>
      </w:r>
      <w:proofErr w:type="spellEnd"/>
      <w:proofErr w:type="gramEnd"/>
      <w:r w:rsidRPr="003C329A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1</w:t>
      </w:r>
      <w:r w:rsidRPr="003C329A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 xml:space="preserve">Boxplot showing the time elapsed from hospital discharge to </w:t>
      </w:r>
      <w:r w:rsidRPr="003C329A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the follow-up visit</w:t>
      </w:r>
      <w:r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.</w:t>
      </w:r>
      <w:bookmarkEnd w:id="4"/>
    </w:p>
    <w:p w14:paraId="17AC52A4" w14:textId="68546475" w:rsidR="008B348F" w:rsidRDefault="008B348F">
      <w:pPr>
        <w:spacing w:after="160" w:line="259" w:lineRule="auto"/>
      </w:pPr>
      <w:r>
        <w:br w:type="page"/>
      </w:r>
    </w:p>
    <w:p w14:paraId="76F93CDC" w14:textId="77777777" w:rsidR="00A032DE" w:rsidRDefault="00A032DE" w:rsidP="00E47125">
      <w:pPr>
        <w:jc w:val="both"/>
        <w:rPr>
          <w:rFonts w:asciiTheme="minorHAnsi" w:hAnsiTheme="minorHAnsi" w:cstheme="minorHAnsi"/>
          <w:b/>
        </w:rPr>
        <w:sectPr w:rsidR="00A032DE" w:rsidSect="00B36992">
          <w:pgSz w:w="11906" w:h="16838"/>
          <w:pgMar w:top="1418" w:right="1559" w:bottom="1418" w:left="1134" w:header="709" w:footer="709" w:gutter="0"/>
          <w:cols w:space="708"/>
          <w:docGrid w:linePitch="360"/>
        </w:sectPr>
      </w:pPr>
    </w:p>
    <w:p w14:paraId="3F300399" w14:textId="03AC98D2" w:rsidR="00A032DE" w:rsidRDefault="00A032DE" w:rsidP="00A032DE">
      <w:pPr>
        <w:jc w:val="both"/>
      </w:pPr>
    </w:p>
    <w:p w14:paraId="0F6F5A54" w14:textId="77777777" w:rsidR="00A032DE" w:rsidRPr="00E47125" w:rsidRDefault="00A032DE" w:rsidP="00A032DE">
      <w:pPr>
        <w:jc w:val="both"/>
      </w:pPr>
    </w:p>
    <w:p w14:paraId="0A2F3EB9" w14:textId="3E7D3E21" w:rsidR="00A032DE" w:rsidRDefault="00A032DE" w:rsidP="001A3B62">
      <w:r>
        <w:rPr>
          <w:noProof/>
          <w:lang w:val="en-GB" w:eastAsia="en-GB"/>
        </w:rPr>
        <w:drawing>
          <wp:inline distT="0" distB="0" distL="0" distR="0" wp14:anchorId="0013EAAB" wp14:editId="08E417E5">
            <wp:extent cx="8916430" cy="2984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B_CGP.t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" r="1139"/>
                    <a:stretch/>
                  </pic:blipFill>
                  <pic:spPr bwMode="auto">
                    <a:xfrm>
                      <a:off x="0" y="0"/>
                      <a:ext cx="8927305" cy="298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5478F" w14:textId="012B2074" w:rsidR="00A032DE" w:rsidRDefault="00A032DE" w:rsidP="00A032DE"/>
    <w:p w14:paraId="6BD87941" w14:textId="2D4B6B19" w:rsidR="00A032DE" w:rsidRDefault="00A032DE" w:rsidP="00A032DE">
      <w:pPr>
        <w:jc w:val="both"/>
        <w:rPr>
          <w:rFonts w:asciiTheme="minorHAnsi" w:hAnsiTheme="minorHAnsi" w:cstheme="minorHAnsi"/>
          <w:b/>
        </w:rPr>
      </w:pPr>
      <w:bookmarkStart w:id="5" w:name="_Toc121992474"/>
      <w:proofErr w:type="spellStart"/>
      <w:proofErr w:type="gramStart"/>
      <w:r w:rsidRPr="003301A7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eFigure</w:t>
      </w:r>
      <w:proofErr w:type="spellEnd"/>
      <w:proofErr w:type="gramEnd"/>
      <w:r w:rsidRPr="003301A7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776794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3301A7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. Distribution of hospital factors related to diffusion capacity impairment at the follow-up visit.</w:t>
      </w:r>
      <w:bookmarkEnd w:id="5"/>
      <w:r w:rsidRPr="003301A7">
        <w:rPr>
          <w:rFonts w:asciiTheme="minorHAnsi" w:hAnsiTheme="minorHAnsi" w:cstheme="minorHAnsi"/>
          <w:b/>
          <w:sz w:val="28"/>
        </w:rPr>
        <w:t xml:space="preserve"> </w:t>
      </w:r>
      <w:r w:rsidRPr="00E47125">
        <w:rPr>
          <w:rFonts w:asciiTheme="minorHAnsi" w:hAnsiTheme="minorHAnsi" w:cstheme="minorHAnsi"/>
          <w:b/>
        </w:rPr>
        <w:t>A) Factors related to risk of D</w:t>
      </w:r>
      <w:r w:rsidRPr="00E47125">
        <w:rPr>
          <w:rFonts w:asciiTheme="minorHAnsi" w:hAnsiTheme="minorHAnsi" w:cstheme="minorHAnsi"/>
          <w:b/>
          <w:vertAlign w:val="subscript"/>
        </w:rPr>
        <w:t xml:space="preserve">LCO </w:t>
      </w:r>
      <w:r w:rsidRPr="00E47125">
        <w:rPr>
          <w:rFonts w:asciiTheme="minorHAnsi" w:hAnsiTheme="minorHAnsi" w:cstheme="minorHAnsi"/>
          <w:b/>
        </w:rPr>
        <w:t>&lt; 80% selected by logistic LASSO; violin plots for continuous factors and stacked bar plots for categorical factors. B) Factors related to risk of D</w:t>
      </w:r>
      <w:r w:rsidRPr="00E47125">
        <w:rPr>
          <w:rFonts w:asciiTheme="minorHAnsi" w:hAnsiTheme="minorHAnsi" w:cstheme="minorHAnsi"/>
          <w:b/>
          <w:vertAlign w:val="subscript"/>
        </w:rPr>
        <w:t xml:space="preserve">LCO </w:t>
      </w:r>
      <w:r w:rsidRPr="00E47125">
        <w:rPr>
          <w:rFonts w:asciiTheme="minorHAnsi" w:hAnsiTheme="minorHAnsi" w:cstheme="minorHAnsi"/>
          <w:b/>
        </w:rPr>
        <w:t>&lt; 60% selected by logistic LASSO; Violin plots for continuous factors and stacked bar plots for categorical factors. C) GAM models for continuous D</w:t>
      </w:r>
      <w:r w:rsidRPr="00E47125">
        <w:rPr>
          <w:rFonts w:asciiTheme="minorHAnsi" w:hAnsiTheme="minorHAnsi" w:cstheme="minorHAnsi"/>
          <w:b/>
          <w:vertAlign w:val="subscript"/>
        </w:rPr>
        <w:t>LCO</w:t>
      </w:r>
      <w:r w:rsidRPr="00E47125">
        <w:rPr>
          <w:rFonts w:asciiTheme="minorHAnsi" w:hAnsiTheme="minorHAnsi" w:cstheme="minorHAnsi"/>
          <w:b/>
        </w:rPr>
        <w:t xml:space="preserve"> and predictors identified with linear LASSO regression. Abbreviations:  D</w:t>
      </w:r>
      <w:r w:rsidRPr="00496033">
        <w:rPr>
          <w:rFonts w:asciiTheme="minorHAnsi" w:hAnsiTheme="minorHAnsi" w:cstheme="minorHAnsi"/>
          <w:b/>
          <w:vertAlign w:val="subscript"/>
        </w:rPr>
        <w:t>LCO</w:t>
      </w:r>
      <w:r w:rsidRPr="00E47125">
        <w:rPr>
          <w:rFonts w:asciiTheme="minorHAnsi" w:hAnsiTheme="minorHAnsi" w:cstheme="minorHAnsi"/>
          <w:b/>
        </w:rPr>
        <w:t>: lung diffusing capacity; NIMV, non-invasive mechanic ventilation; IMV, invasive mechanic ventilation; EGFR, Estimated Glomerular Filtration Rate</w:t>
      </w:r>
      <w:r w:rsidRPr="00A032DE">
        <w:rPr>
          <w:rFonts w:asciiTheme="minorHAnsi" w:hAnsiTheme="minorHAnsi" w:cstheme="minorHAnsi"/>
          <w:b/>
        </w:rPr>
        <w:t>; LASSO, least absolute shrinkage and selection operator</w:t>
      </w:r>
      <w:r>
        <w:rPr>
          <w:rFonts w:asciiTheme="minorHAnsi" w:hAnsiTheme="minorHAnsi" w:cstheme="minorHAnsi"/>
          <w:b/>
        </w:rPr>
        <w:t>.</w:t>
      </w:r>
    </w:p>
    <w:p w14:paraId="6E88BC0F" w14:textId="0A8E5833" w:rsidR="00273E27" w:rsidRDefault="00273E27">
      <w:pPr>
        <w:spacing w:after="160" w:line="259" w:lineRule="auto"/>
      </w:pPr>
      <w:r>
        <w:br w:type="page"/>
      </w:r>
    </w:p>
    <w:p w14:paraId="526E17F8" w14:textId="77777777" w:rsidR="00273E27" w:rsidRDefault="00273E27" w:rsidP="00A032DE">
      <w:pPr>
        <w:sectPr w:rsidR="00273E27" w:rsidSect="00A032DE">
          <w:pgSz w:w="16838" w:h="11906" w:orient="landscape"/>
          <w:pgMar w:top="1134" w:right="1418" w:bottom="1559" w:left="1418" w:header="709" w:footer="709" w:gutter="0"/>
          <w:cols w:space="708"/>
          <w:docGrid w:linePitch="360"/>
        </w:sectPr>
      </w:pPr>
    </w:p>
    <w:p w14:paraId="11DA4A03" w14:textId="7BF11AF1" w:rsidR="008B348F" w:rsidRDefault="008B348F" w:rsidP="00A032DE"/>
    <w:p w14:paraId="6BA393B9" w14:textId="744F5FF5" w:rsidR="00273E27" w:rsidRDefault="00273E27" w:rsidP="00A032DE"/>
    <w:p w14:paraId="2421356A" w14:textId="2357FFEE" w:rsidR="00273E27" w:rsidRDefault="00273E27" w:rsidP="00A032DE"/>
    <w:p w14:paraId="020205A9" w14:textId="2ED66AA2" w:rsidR="00273E27" w:rsidRDefault="00273E27" w:rsidP="00A032DE">
      <w:r>
        <w:rPr>
          <w:noProof/>
          <w:lang w:val="en-GB" w:eastAsia="en-GB"/>
        </w:rPr>
        <w:drawing>
          <wp:inline distT="0" distB="0" distL="0" distR="0" wp14:anchorId="570252FC" wp14:editId="5466C0E8">
            <wp:extent cx="5850255" cy="4282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1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58B4F" w14:textId="133C3A15" w:rsidR="00273E27" w:rsidRDefault="00273E27" w:rsidP="00273E27"/>
    <w:p w14:paraId="3087B703" w14:textId="3442E37F" w:rsidR="00273E27" w:rsidRPr="00D07BBF" w:rsidRDefault="00273E27" w:rsidP="0050302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bookmarkStart w:id="6" w:name="_Toc121992475"/>
      <w:proofErr w:type="spellStart"/>
      <w:proofErr w:type="gramStart"/>
      <w:r w:rsidRPr="003C329A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eFigure</w:t>
      </w:r>
      <w:proofErr w:type="spellEnd"/>
      <w:proofErr w:type="gramEnd"/>
      <w:r w:rsidRPr="003C329A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776794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3</w:t>
      </w:r>
      <w:r w:rsidRPr="003C329A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. Hospital factors related to diffusion capacity impairment (continuous DLCO) at the follow-up visit.</w:t>
      </w:r>
      <w:bookmarkEnd w:id="6"/>
      <w:r>
        <w:rPr>
          <w:rFonts w:asciiTheme="minorHAnsi" w:hAnsiTheme="minorHAnsi" w:cstheme="minorHAnsi"/>
        </w:rPr>
        <w:t xml:space="preserve"> </w:t>
      </w:r>
      <w:r w:rsidRPr="003C329A">
        <w:rPr>
          <w:rFonts w:asciiTheme="minorHAnsi" w:hAnsiTheme="minorHAnsi" w:cstheme="minorHAnsi"/>
          <w:b/>
        </w:rPr>
        <w:t>Linear LASSO regression. Abbreviations:  D</w:t>
      </w:r>
      <w:r w:rsidRPr="003C329A">
        <w:rPr>
          <w:rFonts w:asciiTheme="minorHAnsi" w:hAnsiTheme="minorHAnsi" w:cstheme="minorHAnsi"/>
          <w:b/>
          <w:vertAlign w:val="subscript"/>
        </w:rPr>
        <w:t>LCO</w:t>
      </w:r>
      <w:r w:rsidRPr="003C329A">
        <w:rPr>
          <w:rFonts w:asciiTheme="minorHAnsi" w:hAnsiTheme="minorHAnsi" w:cstheme="minorHAnsi"/>
          <w:b/>
        </w:rPr>
        <w:t>: lung diffusing capacity; IMV, invasive mechanic ventilation; EGFR, Estimated Glomerular Filtration Rate; LASSO, least absolute shrinkage and selection operator.</w:t>
      </w:r>
    </w:p>
    <w:p w14:paraId="088CEABC" w14:textId="7B4B5D3C" w:rsidR="006067EA" w:rsidRDefault="006067EA">
      <w:pPr>
        <w:spacing w:after="160" w:line="259" w:lineRule="auto"/>
      </w:pPr>
    </w:p>
    <w:p w14:paraId="6F46EF67" w14:textId="77777777" w:rsidR="00776794" w:rsidRPr="006067EA" w:rsidRDefault="00776794" w:rsidP="006067EA"/>
    <w:sectPr w:rsidR="00776794" w:rsidRPr="006067EA" w:rsidSect="00273E27">
      <w:pgSz w:w="11906" w:h="16838"/>
      <w:pgMar w:top="1418" w:right="1134" w:bottom="1418" w:left="15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BC78F" w16cex:dateUtc="2022-01-14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803A39" w16cid:durableId="258BC7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3FFB6" w14:textId="77777777" w:rsidR="003C78AA" w:rsidRDefault="003C78AA" w:rsidP="00452FBB">
      <w:r>
        <w:separator/>
      </w:r>
    </w:p>
  </w:endnote>
  <w:endnote w:type="continuationSeparator" w:id="0">
    <w:p w14:paraId="05E73AA9" w14:textId="77777777" w:rsidR="003C78AA" w:rsidRDefault="003C78AA" w:rsidP="0045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896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A4539" w14:textId="5BF75883" w:rsidR="00C172E5" w:rsidRDefault="00C172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2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9439F82" w14:textId="77777777" w:rsidR="00C172E5" w:rsidRDefault="00C17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8EE3E" w14:textId="77777777" w:rsidR="003C78AA" w:rsidRDefault="003C78AA" w:rsidP="00452FBB">
      <w:r>
        <w:separator/>
      </w:r>
    </w:p>
  </w:footnote>
  <w:footnote w:type="continuationSeparator" w:id="0">
    <w:p w14:paraId="43D9785F" w14:textId="77777777" w:rsidR="003C78AA" w:rsidRDefault="003C78AA" w:rsidP="0045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037D2"/>
    <w:multiLevelType w:val="hybridMultilevel"/>
    <w:tmpl w:val="527E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9376B"/>
    <w:multiLevelType w:val="hybridMultilevel"/>
    <w:tmpl w:val="68D4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43"/>
    <w:rsid w:val="00046FD8"/>
    <w:rsid w:val="00053937"/>
    <w:rsid w:val="00073BE8"/>
    <w:rsid w:val="000754E7"/>
    <w:rsid w:val="0007684F"/>
    <w:rsid w:val="000A3060"/>
    <w:rsid w:val="000B425B"/>
    <w:rsid w:val="000C26DC"/>
    <w:rsid w:val="000D0C54"/>
    <w:rsid w:val="00122DBD"/>
    <w:rsid w:val="00171251"/>
    <w:rsid w:val="001730AA"/>
    <w:rsid w:val="00180A1D"/>
    <w:rsid w:val="00181F56"/>
    <w:rsid w:val="00191502"/>
    <w:rsid w:val="001A3B62"/>
    <w:rsid w:val="001B527D"/>
    <w:rsid w:val="001F3C10"/>
    <w:rsid w:val="001F5A3B"/>
    <w:rsid w:val="00204887"/>
    <w:rsid w:val="00221FB0"/>
    <w:rsid w:val="00273E27"/>
    <w:rsid w:val="0028447C"/>
    <w:rsid w:val="00295CEF"/>
    <w:rsid w:val="002C3123"/>
    <w:rsid w:val="002F1872"/>
    <w:rsid w:val="002F26BA"/>
    <w:rsid w:val="002F2C03"/>
    <w:rsid w:val="003301A7"/>
    <w:rsid w:val="00341F29"/>
    <w:rsid w:val="00341FE4"/>
    <w:rsid w:val="00354CD5"/>
    <w:rsid w:val="003865F2"/>
    <w:rsid w:val="00393541"/>
    <w:rsid w:val="00394689"/>
    <w:rsid w:val="003A5CDE"/>
    <w:rsid w:val="003C329A"/>
    <w:rsid w:val="003C3F34"/>
    <w:rsid w:val="003C78AA"/>
    <w:rsid w:val="003D0274"/>
    <w:rsid w:val="003D14FC"/>
    <w:rsid w:val="003D2A49"/>
    <w:rsid w:val="003F1F79"/>
    <w:rsid w:val="00411B7F"/>
    <w:rsid w:val="004255BC"/>
    <w:rsid w:val="00431BCF"/>
    <w:rsid w:val="00431E16"/>
    <w:rsid w:val="0044507D"/>
    <w:rsid w:val="0044595F"/>
    <w:rsid w:val="004469D2"/>
    <w:rsid w:val="00452FBB"/>
    <w:rsid w:val="00465AB9"/>
    <w:rsid w:val="00472420"/>
    <w:rsid w:val="00482411"/>
    <w:rsid w:val="00485D7E"/>
    <w:rsid w:val="004862EB"/>
    <w:rsid w:val="00496033"/>
    <w:rsid w:val="004C54DD"/>
    <w:rsid w:val="004E5077"/>
    <w:rsid w:val="00503029"/>
    <w:rsid w:val="005119AB"/>
    <w:rsid w:val="00511FA7"/>
    <w:rsid w:val="005137E7"/>
    <w:rsid w:val="00526104"/>
    <w:rsid w:val="00540AE6"/>
    <w:rsid w:val="00551CDD"/>
    <w:rsid w:val="0057294B"/>
    <w:rsid w:val="00577E63"/>
    <w:rsid w:val="005A38BC"/>
    <w:rsid w:val="005A5A4B"/>
    <w:rsid w:val="005B76A5"/>
    <w:rsid w:val="005D46C2"/>
    <w:rsid w:val="005E2749"/>
    <w:rsid w:val="005F6426"/>
    <w:rsid w:val="0060150F"/>
    <w:rsid w:val="006067EA"/>
    <w:rsid w:val="00612C68"/>
    <w:rsid w:val="006360A7"/>
    <w:rsid w:val="006369D7"/>
    <w:rsid w:val="0064129D"/>
    <w:rsid w:val="00642EAE"/>
    <w:rsid w:val="00674ED7"/>
    <w:rsid w:val="006B067B"/>
    <w:rsid w:val="006D0051"/>
    <w:rsid w:val="007210D9"/>
    <w:rsid w:val="00731B43"/>
    <w:rsid w:val="007557E3"/>
    <w:rsid w:val="00762C35"/>
    <w:rsid w:val="00776794"/>
    <w:rsid w:val="007A01D2"/>
    <w:rsid w:val="007C1C49"/>
    <w:rsid w:val="00803B25"/>
    <w:rsid w:val="00813826"/>
    <w:rsid w:val="00820FDC"/>
    <w:rsid w:val="00826B48"/>
    <w:rsid w:val="0086539F"/>
    <w:rsid w:val="008A36C8"/>
    <w:rsid w:val="008B348F"/>
    <w:rsid w:val="008D2B16"/>
    <w:rsid w:val="008E1B8D"/>
    <w:rsid w:val="008E2BBC"/>
    <w:rsid w:val="008F316A"/>
    <w:rsid w:val="008F3909"/>
    <w:rsid w:val="00920E84"/>
    <w:rsid w:val="009254F4"/>
    <w:rsid w:val="00953D65"/>
    <w:rsid w:val="00961184"/>
    <w:rsid w:val="00965FC3"/>
    <w:rsid w:val="0097512B"/>
    <w:rsid w:val="00984C00"/>
    <w:rsid w:val="009A15F4"/>
    <w:rsid w:val="009B4BCF"/>
    <w:rsid w:val="009E3DAB"/>
    <w:rsid w:val="00A032DE"/>
    <w:rsid w:val="00A13530"/>
    <w:rsid w:val="00A170DF"/>
    <w:rsid w:val="00A358CA"/>
    <w:rsid w:val="00A475EA"/>
    <w:rsid w:val="00A55B20"/>
    <w:rsid w:val="00A963B5"/>
    <w:rsid w:val="00AC3F29"/>
    <w:rsid w:val="00AE4385"/>
    <w:rsid w:val="00AF31B2"/>
    <w:rsid w:val="00AF7FAC"/>
    <w:rsid w:val="00B1602A"/>
    <w:rsid w:val="00B2622A"/>
    <w:rsid w:val="00B36992"/>
    <w:rsid w:val="00B50326"/>
    <w:rsid w:val="00B6210D"/>
    <w:rsid w:val="00B91287"/>
    <w:rsid w:val="00BA3BAB"/>
    <w:rsid w:val="00BD0943"/>
    <w:rsid w:val="00BD5A66"/>
    <w:rsid w:val="00BE649E"/>
    <w:rsid w:val="00BF3352"/>
    <w:rsid w:val="00C04C64"/>
    <w:rsid w:val="00C172E5"/>
    <w:rsid w:val="00C2239F"/>
    <w:rsid w:val="00C250F0"/>
    <w:rsid w:val="00C32DFD"/>
    <w:rsid w:val="00C5727C"/>
    <w:rsid w:val="00C8571B"/>
    <w:rsid w:val="00C87B43"/>
    <w:rsid w:val="00CD1F9C"/>
    <w:rsid w:val="00D00963"/>
    <w:rsid w:val="00D02E72"/>
    <w:rsid w:val="00D1485B"/>
    <w:rsid w:val="00D53367"/>
    <w:rsid w:val="00D7008B"/>
    <w:rsid w:val="00D959A6"/>
    <w:rsid w:val="00D96674"/>
    <w:rsid w:val="00DA7D78"/>
    <w:rsid w:val="00DC2D07"/>
    <w:rsid w:val="00DD55ED"/>
    <w:rsid w:val="00DD752C"/>
    <w:rsid w:val="00E31B23"/>
    <w:rsid w:val="00E47125"/>
    <w:rsid w:val="00E47409"/>
    <w:rsid w:val="00E7516C"/>
    <w:rsid w:val="00E8754E"/>
    <w:rsid w:val="00EB0648"/>
    <w:rsid w:val="00EB66AA"/>
    <w:rsid w:val="00ED3F5C"/>
    <w:rsid w:val="00ED66D1"/>
    <w:rsid w:val="00EE3387"/>
    <w:rsid w:val="00EF4401"/>
    <w:rsid w:val="00F348C6"/>
    <w:rsid w:val="00F37467"/>
    <w:rsid w:val="00F50F8F"/>
    <w:rsid w:val="00F62D05"/>
    <w:rsid w:val="00F7153D"/>
    <w:rsid w:val="00F74428"/>
    <w:rsid w:val="00F754B5"/>
    <w:rsid w:val="00F75D54"/>
    <w:rsid w:val="00F95478"/>
    <w:rsid w:val="00FA1619"/>
    <w:rsid w:val="00FA308B"/>
    <w:rsid w:val="00FA65DE"/>
    <w:rsid w:val="00FB32B8"/>
    <w:rsid w:val="00FB3F74"/>
    <w:rsid w:val="00F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B7AA"/>
  <w15:chartTrackingRefBased/>
  <w15:docId w15:val="{E7B15307-7924-4A05-949A-84BF5FB6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B43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E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B4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7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B43"/>
    <w:pPr>
      <w:spacing w:after="160"/>
    </w:pPr>
    <w:rPr>
      <w:rFonts w:asciiTheme="minorHAnsi" w:hAnsiTheme="minorHAnsi" w:cstheme="minorBidi"/>
      <w:sz w:val="20"/>
      <w:szCs w:val="20"/>
      <w:lang w:val="es-E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B4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87B43"/>
    <w:pPr>
      <w:spacing w:before="100" w:beforeAutospacing="1" w:after="100" w:afterAutospacing="1"/>
    </w:pPr>
    <w:rPr>
      <w:rFonts w:eastAsia="Times New Roman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43"/>
    <w:rPr>
      <w:rFonts w:ascii="Segoe UI" w:hAnsi="Segoe UI" w:cs="Segoe UI"/>
      <w:sz w:val="18"/>
      <w:szCs w:val="18"/>
      <w:lang w:val="en-US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920E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920E84"/>
    <w:pPr>
      <w:spacing w:line="259" w:lineRule="auto"/>
      <w:outlineLvl w:val="9"/>
    </w:pPr>
    <w:rPr>
      <w:lang w:val="es-ES" w:eastAsia="es-ES"/>
    </w:rPr>
  </w:style>
  <w:style w:type="paragraph" w:styleId="TOC2">
    <w:name w:val="toc 2"/>
    <w:basedOn w:val="Normal"/>
    <w:next w:val="Normal"/>
    <w:autoRedefine/>
    <w:uiPriority w:val="39"/>
    <w:unhideWhenUsed/>
    <w:rsid w:val="00920E84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FB3F74"/>
    <w:pPr>
      <w:tabs>
        <w:tab w:val="right" w:leader="dot" w:pos="9214"/>
      </w:tabs>
      <w:spacing w:after="120" w:line="312" w:lineRule="auto"/>
      <w:ind w:right="198"/>
      <w:jc w:val="both"/>
    </w:pPr>
    <w:rPr>
      <w:rFonts w:asciiTheme="minorHAnsi" w:eastAsiaTheme="minorEastAsia" w:hAnsiTheme="minorHAnsi"/>
      <w:sz w:val="22"/>
      <w:szCs w:val="22"/>
      <w:lang w:val="es-ES"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920E84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 w:eastAsia="es-ES"/>
    </w:rPr>
  </w:style>
  <w:style w:type="paragraph" w:styleId="Revision">
    <w:name w:val="Revision"/>
    <w:hidden/>
    <w:uiPriority w:val="99"/>
    <w:semiHidden/>
    <w:rsid w:val="00F75D54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D54"/>
    <w:pPr>
      <w:spacing w:after="0"/>
    </w:pPr>
    <w:rPr>
      <w:rFonts w:ascii="Times New Roman" w:hAnsi="Times New Roman" w:cs="Times New Roman"/>
      <w:b/>
      <w:bCs/>
      <w:lang w:val="en-US" w:eastAsia="es-ES_trad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D54"/>
    <w:rPr>
      <w:rFonts w:ascii="Times New Roman" w:hAnsi="Times New Roman" w:cs="Times New Roman"/>
      <w:b/>
      <w:bCs/>
      <w:sz w:val="20"/>
      <w:szCs w:val="20"/>
      <w:lang w:val="en-US" w:eastAsia="es-ES_tradnl"/>
    </w:rPr>
  </w:style>
  <w:style w:type="paragraph" w:styleId="ListParagraph">
    <w:name w:val="List Paragraph"/>
    <w:basedOn w:val="Normal"/>
    <w:uiPriority w:val="34"/>
    <w:qFormat/>
    <w:rsid w:val="00F50F8F"/>
    <w:pPr>
      <w:spacing w:line="360" w:lineRule="auto"/>
      <w:ind w:left="720"/>
      <w:contextualSpacing/>
      <w:jc w:val="both"/>
    </w:pPr>
    <w:rPr>
      <w:rFonts w:asciiTheme="minorHAnsi" w:hAnsiTheme="minorHAnsi"/>
      <w:sz w:val="22"/>
      <w:szCs w:val="22"/>
      <w:lang w:val="es-ES" w:eastAsia="en-US"/>
    </w:rPr>
  </w:style>
  <w:style w:type="paragraph" w:styleId="Header">
    <w:name w:val="header"/>
    <w:basedOn w:val="Normal"/>
    <w:link w:val="HeaderChar"/>
    <w:uiPriority w:val="99"/>
    <w:unhideWhenUsed/>
    <w:rsid w:val="00452FB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FBB"/>
    <w:rPr>
      <w:rFonts w:ascii="Times New Roman" w:hAnsi="Times New Roman" w:cs="Times New Roman"/>
      <w:sz w:val="24"/>
      <w:szCs w:val="24"/>
      <w:lang w:val="en-US" w:eastAsia="es-ES_tradnl"/>
    </w:rPr>
  </w:style>
  <w:style w:type="paragraph" w:styleId="Footer">
    <w:name w:val="footer"/>
    <w:basedOn w:val="Normal"/>
    <w:link w:val="FooterChar"/>
    <w:uiPriority w:val="99"/>
    <w:unhideWhenUsed/>
    <w:rsid w:val="00452FB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FBB"/>
    <w:rPr>
      <w:rFonts w:ascii="Times New Roman" w:hAnsi="Times New Roman" w:cs="Times New Roman"/>
      <w:sz w:val="24"/>
      <w:szCs w:val="24"/>
      <w:lang w:val="en-US" w:eastAsia="es-ES_tradnl"/>
    </w:rPr>
  </w:style>
  <w:style w:type="table" w:styleId="TableGrid">
    <w:name w:val="Table Grid"/>
    <w:basedOn w:val="TableNormal"/>
    <w:uiPriority w:val="39"/>
    <w:rsid w:val="00AF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F6D80-09C4-4A63-9249-B3277CEC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2350</Words>
  <Characters>13400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Benítez</dc:creator>
  <cp:keywords/>
  <dc:description/>
  <cp:lastModifiedBy>Jordi dB</cp:lastModifiedBy>
  <cp:revision>7</cp:revision>
  <cp:lastPrinted>2022-09-15T09:12:00Z</cp:lastPrinted>
  <dcterms:created xsi:type="dcterms:W3CDTF">2022-12-05T09:50:00Z</dcterms:created>
  <dcterms:modified xsi:type="dcterms:W3CDTF">2022-12-23T10:03:00Z</dcterms:modified>
</cp:coreProperties>
</file>