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777" w:rsidRPr="00837777" w:rsidRDefault="001B5C9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Materiales complementarios </w:t>
      </w:r>
    </w:p>
    <w:p w:rsidR="00837777" w:rsidRDefault="00837777">
      <w:pPr>
        <w:rPr>
          <w:rFonts w:ascii="Times New Roman" w:hAnsi="Times New Roman" w:cs="Times New Roman"/>
          <w:b/>
        </w:rPr>
      </w:pPr>
    </w:p>
    <w:p w:rsidR="00204CD0" w:rsidRPr="00204CD0" w:rsidRDefault="001B5C9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Tabla</w:t>
      </w:r>
      <w:r w:rsidR="00221567">
        <w:rPr>
          <w:rFonts w:ascii="Times New Roman" w:hAnsi="Times New Roman" w:cs="Times New Roman"/>
          <w:b/>
        </w:rPr>
        <w:t xml:space="preserve"> </w:t>
      </w:r>
      <w:r w:rsidR="00402C66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 complementaria</w:t>
      </w:r>
      <w:r w:rsidR="00204CD0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 xml:space="preserve">Resumen de los estudios no incluidos en el análisis </w:t>
      </w:r>
    </w:p>
    <w:tbl>
      <w:tblPr>
        <w:tblW w:w="12020" w:type="dxa"/>
        <w:tblLayout w:type="fixed"/>
        <w:tblLook w:val="04A0"/>
      </w:tblPr>
      <w:tblGrid>
        <w:gridCol w:w="1876"/>
        <w:gridCol w:w="1876"/>
        <w:gridCol w:w="1516"/>
        <w:gridCol w:w="969"/>
        <w:gridCol w:w="1225"/>
        <w:gridCol w:w="1182"/>
        <w:gridCol w:w="1012"/>
        <w:gridCol w:w="1181"/>
        <w:gridCol w:w="1183"/>
      </w:tblGrid>
      <w:tr w:rsidR="00204CD0" w:rsidRPr="00204CD0" w:rsidTr="00204CD0">
        <w:trPr>
          <w:trHeight w:val="268"/>
        </w:trPr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04CD0" w:rsidRPr="00204CD0" w:rsidRDefault="001B5C98" w:rsidP="001B5C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I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ID"/>
              </w:rPr>
              <w:t xml:space="preserve">Comentario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04CD0" w:rsidRPr="00204CD0" w:rsidRDefault="001B5C98" w:rsidP="00204C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I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ID"/>
              </w:rPr>
              <w:t>Aut</w:t>
            </w:r>
            <w:r w:rsidR="00204CD0" w:rsidRPr="00204CD0">
              <w:rPr>
                <w:rFonts w:ascii="Times New Roman" w:eastAsia="Times New Roman" w:hAnsi="Times New Roman" w:cs="Times New Roman"/>
                <w:b/>
                <w:color w:val="000000"/>
                <w:lang w:val="en-ID"/>
              </w:rPr>
              <w:t>or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04CD0" w:rsidRPr="00204CD0" w:rsidRDefault="001B5C98" w:rsidP="001B5C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I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ID"/>
              </w:rPr>
              <w:t xml:space="preserve">Tipo 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04CD0" w:rsidRPr="00204CD0" w:rsidRDefault="001B5C98" w:rsidP="001B5C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I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ID"/>
              </w:rPr>
              <w:t xml:space="preserve">Caso 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b/>
                <w:color w:val="000000"/>
                <w:lang w:val="en-ID"/>
              </w:rPr>
              <w:t>Control</w:t>
            </w:r>
          </w:p>
        </w:tc>
      </w:tr>
      <w:tr w:rsidR="00204CD0" w:rsidRPr="00204CD0" w:rsidTr="00204CD0">
        <w:trPr>
          <w:trHeight w:val="268"/>
        </w:trPr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b/>
                <w:color w:val="000000"/>
                <w:lang w:val="en-ID"/>
              </w:rPr>
              <w:t>n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04CD0" w:rsidRPr="00204CD0" w:rsidRDefault="001B5C98" w:rsidP="00204C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I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ID"/>
              </w:rPr>
              <w:t>Media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04CD0" w:rsidRPr="00204CD0" w:rsidRDefault="001B5C98" w:rsidP="00204C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I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ID"/>
              </w:rPr>
              <w:t>DS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b/>
                <w:color w:val="000000"/>
                <w:lang w:val="en-ID"/>
              </w:rPr>
              <w:t>n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04CD0" w:rsidRPr="00204CD0" w:rsidRDefault="001B5C98" w:rsidP="00204C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I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ID"/>
              </w:rPr>
              <w:t>Media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04CD0" w:rsidRPr="00204CD0" w:rsidRDefault="001B5C98" w:rsidP="001B5C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I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ID"/>
              </w:rPr>
              <w:t>DS</w:t>
            </w:r>
          </w:p>
        </w:tc>
      </w:tr>
      <w:tr w:rsidR="00204CD0" w:rsidRPr="00204CD0" w:rsidTr="00204CD0">
        <w:trPr>
          <w:trHeight w:val="268"/>
        </w:trPr>
        <w:tc>
          <w:tcPr>
            <w:tcW w:w="18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04CD0" w:rsidRPr="00204CD0" w:rsidRDefault="001B5C98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No adecuado para análisis de datos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Chono et al, 2018</w:t>
            </w:r>
            <w:r w:rsidR="00CE19BF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 xml:space="preserve"> [1]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1B5C98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GPAA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38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n</w:t>
            </w: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#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na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100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na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na</w:t>
            </w:r>
          </w:p>
        </w:tc>
      </w:tr>
      <w:tr w:rsidR="00204CD0" w:rsidRPr="00204CD0" w:rsidTr="00204CD0">
        <w:trPr>
          <w:trHeight w:val="268"/>
        </w:trPr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1B5C98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GEX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31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na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na</w:t>
            </w: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</w:p>
        </w:tc>
      </w:tr>
      <w:tr w:rsidR="00204CD0" w:rsidRPr="00204CD0" w:rsidTr="00204CD0">
        <w:trPr>
          <w:trHeight w:val="268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D0" w:rsidRPr="00204CD0" w:rsidRDefault="001B5C98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No adecuado para análisis de datos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Chua et al, 2012*</w:t>
            </w:r>
            <w:r w:rsidR="00CE19BF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 xml:space="preserve"> [2]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1B5C98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GPCA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24,75</w:t>
            </w:r>
            <w:r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#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19,5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6,79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4,75</w:t>
            </w:r>
          </w:p>
        </w:tc>
      </w:tr>
      <w:tr w:rsidR="00204CD0" w:rsidRPr="00204CD0" w:rsidTr="00204CD0">
        <w:trPr>
          <w:trHeight w:val="268"/>
        </w:trPr>
        <w:tc>
          <w:tcPr>
            <w:tcW w:w="18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04CD0" w:rsidRPr="00204CD0" w:rsidRDefault="00204CD0" w:rsidP="001B5C9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No</w:t>
            </w:r>
            <w:r w:rsidR="001B5C98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 xml:space="preserve"> fue caso y control 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Cvenkel et al, 2010*</w:t>
            </w:r>
            <w:r w:rsidR="00CE19BF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 xml:space="preserve"> [3]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1B5C98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GPAA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26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69,5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39,5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na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na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na</w:t>
            </w:r>
          </w:p>
        </w:tc>
      </w:tr>
      <w:tr w:rsidR="00204CD0" w:rsidRPr="00204CD0" w:rsidTr="00204CD0">
        <w:trPr>
          <w:trHeight w:val="268"/>
        </w:trPr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1B5C98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GEX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36,5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6,25</w:t>
            </w: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</w:p>
        </w:tc>
      </w:tr>
      <w:tr w:rsidR="00204CD0" w:rsidRPr="00204CD0" w:rsidTr="00204CD0">
        <w:trPr>
          <w:trHeight w:val="268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D0" w:rsidRPr="00204CD0" w:rsidRDefault="001B5C98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No adecuado para análisis de datos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Du et al, 2016*</w:t>
            </w:r>
            <w:r w:rsidR="00CE19BF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 xml:space="preserve"> [4]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1B5C98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GPCA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18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346,755</w:t>
            </w:r>
            <w:r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#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254,93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18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5,1625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3,1375</w:t>
            </w:r>
          </w:p>
        </w:tc>
      </w:tr>
      <w:tr w:rsidR="00204CD0" w:rsidRPr="00204CD0" w:rsidTr="00204CD0">
        <w:trPr>
          <w:trHeight w:val="268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D0" w:rsidRPr="00204CD0" w:rsidRDefault="001B5C98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No adecuado para análisis de datos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Duvesh et al, 2017*</w:t>
            </w:r>
            <w:r w:rsidR="00CE19BF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 xml:space="preserve"> [5]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1B5C98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GPCA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52,69</w:t>
            </w:r>
            <w:r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#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39,23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11,905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3,925</w:t>
            </w:r>
          </w:p>
        </w:tc>
      </w:tr>
      <w:tr w:rsidR="00204CD0" w:rsidRPr="00204CD0" w:rsidTr="00204CD0">
        <w:trPr>
          <w:trHeight w:val="268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D0" w:rsidRPr="00204CD0" w:rsidRDefault="001B5C98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No adecuado para análisis de datos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Gramlich et al, 2013</w:t>
            </w:r>
            <w:r w:rsidR="00CE19BF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 xml:space="preserve"> [6]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Glaucoma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13394</w:t>
            </w:r>
            <w:r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#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2749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9990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1632</w:t>
            </w:r>
          </w:p>
        </w:tc>
      </w:tr>
      <w:tr w:rsidR="00204CD0" w:rsidRPr="00204CD0" w:rsidTr="00204CD0">
        <w:trPr>
          <w:trHeight w:val="268"/>
        </w:trPr>
        <w:tc>
          <w:tcPr>
            <w:tcW w:w="18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04CD0" w:rsidRPr="00204CD0" w:rsidRDefault="001B5C98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No adecuado para análisis de datos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Inoue et al, 2012</w:t>
            </w:r>
            <w:r w:rsidR="00CE19BF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 xml:space="preserve"> [7]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1B5C98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GPAA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23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15,2</w:t>
            </w:r>
            <w:r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#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na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52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4,6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na</w:t>
            </w:r>
          </w:p>
        </w:tc>
      </w:tr>
      <w:tr w:rsidR="00204CD0" w:rsidRPr="00204CD0" w:rsidTr="00204CD0">
        <w:trPr>
          <w:trHeight w:val="268"/>
        </w:trPr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1B5C98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GEX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26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12,3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na</w:t>
            </w: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</w:p>
        </w:tc>
      </w:tr>
      <w:tr w:rsidR="00204CD0" w:rsidRPr="00204CD0" w:rsidTr="00204CD0">
        <w:trPr>
          <w:trHeight w:val="268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D0" w:rsidRPr="00204CD0" w:rsidRDefault="001B5C98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No adecuado para análisis de datos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Wang et al, 2018</w:t>
            </w:r>
            <w:r w:rsidR="00837777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 xml:space="preserve"> [8</w:t>
            </w:r>
            <w:r w:rsidR="00CE19BF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]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1B5C98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GPCA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5,8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7,5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24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6,7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7,7</w:t>
            </w:r>
          </w:p>
        </w:tc>
      </w:tr>
    </w:tbl>
    <w:p w:rsidR="00B74DD6" w:rsidRDefault="001B5C98" w:rsidP="001B5C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GPAA</w:t>
      </w:r>
      <w:r w:rsidR="008D3CC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glaucoma primario de ángulo abierto</w:t>
      </w:r>
      <w:r w:rsidR="00204CD0" w:rsidRPr="0041752F">
        <w:rPr>
          <w:rFonts w:ascii="Times New Roman" w:hAnsi="Times New Roman" w:cs="Times New Roman"/>
        </w:rPr>
        <w:t>;</w:t>
      </w:r>
      <w:r w:rsidR="00204C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GPCA</w:t>
      </w:r>
      <w:r w:rsidR="00204CD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glaucoma primario de cierre angular</w:t>
      </w:r>
      <w:r w:rsidR="00204CD0" w:rsidRPr="0041752F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GEX</w:t>
      </w:r>
      <w:r w:rsidR="00204CD0" w:rsidRPr="0041752F">
        <w:rPr>
          <w:rFonts w:ascii="Times New Roman" w:hAnsi="Times New Roman" w:cs="Times New Roman"/>
        </w:rPr>
        <w:t>, glaucoma</w:t>
      </w:r>
      <w:r>
        <w:rPr>
          <w:rFonts w:ascii="Times New Roman" w:hAnsi="Times New Roman" w:cs="Times New Roman"/>
        </w:rPr>
        <w:t xml:space="preserve"> exfoliativ</w:t>
      </w:r>
      <w:r w:rsidR="002A554C">
        <w:rPr>
          <w:rFonts w:ascii="Times New Roman" w:hAnsi="Times New Roman" w:cs="Times New Roman"/>
        </w:rPr>
        <w:t>o</w:t>
      </w:r>
      <w:r w:rsidR="00204CD0" w:rsidRPr="0041752F">
        <w:rPr>
          <w:rFonts w:ascii="Times New Roman" w:hAnsi="Times New Roman" w:cs="Times New Roman"/>
        </w:rPr>
        <w:t xml:space="preserve">; </w:t>
      </w:r>
      <w:r w:rsidR="00204CD0">
        <w:rPr>
          <w:rFonts w:ascii="Times New Roman" w:hAnsi="Times New Roman" w:cs="Times New Roman"/>
        </w:rPr>
        <w:t xml:space="preserve">n and </w:t>
      </w:r>
      <w:r w:rsidR="00204CD0" w:rsidRPr="0041752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S</w:t>
      </w:r>
      <w:r w:rsidR="00204CD0" w:rsidRPr="0041752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representa el número de muestras y de</w:t>
      </w:r>
      <w:r w:rsidR="002A554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viación estándar de pacientes de glaucoma y sujetos de control, respectivamente</w:t>
      </w:r>
      <w:r w:rsidR="000D7E4E">
        <w:rPr>
          <w:rFonts w:ascii="Times New Roman" w:hAnsi="Times New Roman" w:cs="Times New Roman"/>
        </w:rPr>
        <w:t>. *</w:t>
      </w:r>
      <w:r w:rsidR="000D7E4E" w:rsidRPr="00B33B4A">
        <w:rPr>
          <w:rFonts w:ascii="Times New Roman" w:hAnsi="Times New Roman" w:cs="Times New Roman"/>
        </w:rPr>
        <w:t>Indica</w:t>
      </w:r>
      <w:r>
        <w:rPr>
          <w:rFonts w:ascii="Times New Roman" w:hAnsi="Times New Roman" w:cs="Times New Roman"/>
        </w:rPr>
        <w:t xml:space="preserve"> que la media y DS se estimaron de mediana, rango y tamaño de la muestra según lo descrito anteriormente</w:t>
      </w:r>
      <w:r w:rsidR="000D7E4E">
        <w:rPr>
          <w:rFonts w:ascii="Times New Roman" w:hAnsi="Times New Roman" w:cs="Times New Roman"/>
        </w:rPr>
        <w:t xml:space="preserve"> [9]. </w:t>
      </w:r>
      <w:r w:rsidR="004D2CB5">
        <w:rPr>
          <w:rFonts w:ascii="Times New Roman" w:hAnsi="Times New Roman" w:cs="Times New Roman"/>
        </w:rPr>
        <w:t>#Indica</w:t>
      </w:r>
      <w:r>
        <w:rPr>
          <w:rFonts w:ascii="Times New Roman" w:hAnsi="Times New Roman" w:cs="Times New Roman"/>
        </w:rPr>
        <w:t xml:space="preserve"> una diferencia significativa comparada con el control</w:t>
      </w:r>
      <w:r w:rsidR="004D2CB5">
        <w:rPr>
          <w:rFonts w:ascii="Times New Roman" w:hAnsi="Times New Roman" w:cs="Times New Roman"/>
        </w:rPr>
        <w:t>.</w:t>
      </w:r>
    </w:p>
    <w:p w:rsidR="00BA7250" w:rsidRDefault="00920052">
      <w:pPr>
        <w:rPr>
          <w:rFonts w:ascii="Times New Roman" w:hAnsi="Times New Roman" w:cs="Times New Roman"/>
        </w:rPr>
        <w:sectPr w:rsidR="00BA7250" w:rsidSect="0041752F">
          <w:pgSz w:w="16840" w:h="11900" w:orient="landscape"/>
          <w:pgMar w:top="1418" w:right="1418" w:bottom="1418" w:left="993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 xml:space="preserve"> </w:t>
      </w:r>
    </w:p>
    <w:p w:rsidR="00136127" w:rsidRPr="00136127" w:rsidRDefault="001B5C98" w:rsidP="00136127">
      <w:pPr>
        <w:pStyle w:val="Prrafodelista"/>
        <w:ind w:left="567"/>
        <w:jc w:val="both"/>
        <w:rPr>
          <w:rFonts w:ascii="Times New Roman" w:hAnsi="Times New Roman" w:cs="Times New Roman"/>
          <w:lang w:val="en-ID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Bibliografía</w:t>
      </w:r>
    </w:p>
    <w:p w:rsidR="00136127" w:rsidRPr="00136127" w:rsidRDefault="00136127" w:rsidP="00136127">
      <w:pPr>
        <w:pStyle w:val="Prrafodelista"/>
        <w:ind w:left="567"/>
        <w:jc w:val="both"/>
        <w:rPr>
          <w:rFonts w:ascii="Times New Roman" w:hAnsi="Times New Roman" w:cs="Times New Roman"/>
          <w:lang w:val="en-ID"/>
        </w:rPr>
      </w:pPr>
    </w:p>
    <w:p w:rsidR="00136127" w:rsidRPr="00E30A99" w:rsidRDefault="00136127" w:rsidP="00136127">
      <w:pPr>
        <w:pStyle w:val="Prrafodelist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lang w:val="en-ID"/>
        </w:rPr>
      </w:pPr>
      <w:r w:rsidRPr="00E30A99">
        <w:rPr>
          <w:rFonts w:ascii="Times New Roman" w:hAnsi="Times New Roman" w:cs="Times New Roman"/>
          <w:lang w:val="en-ID"/>
        </w:rPr>
        <w:t>Chono I,</w:t>
      </w:r>
      <w:r w:rsidRPr="00E30A99">
        <w:rPr>
          <w:rFonts w:ascii="Times New Roman" w:hAnsi="Times New Roman" w:cs="Times New Roman"/>
          <w:vertAlign w:val="superscript"/>
          <w:lang w:val="en-ID"/>
        </w:rPr>
        <w:t xml:space="preserve"> </w:t>
      </w:r>
      <w:r w:rsidRPr="00E30A99">
        <w:rPr>
          <w:rFonts w:ascii="Times New Roman" w:hAnsi="Times New Roman" w:cs="Times New Roman"/>
          <w:lang w:val="en-ID"/>
        </w:rPr>
        <w:t>Miyazaki D,</w:t>
      </w:r>
      <w:r w:rsidRPr="00E30A99">
        <w:rPr>
          <w:rFonts w:ascii="Times New Roman" w:hAnsi="Times New Roman" w:cs="Times New Roman"/>
          <w:vertAlign w:val="superscript"/>
          <w:lang w:val="en-ID"/>
        </w:rPr>
        <w:t xml:space="preserve"> </w:t>
      </w:r>
      <w:r w:rsidRPr="00E30A99">
        <w:rPr>
          <w:rFonts w:ascii="Times New Roman" w:hAnsi="Times New Roman" w:cs="Times New Roman"/>
          <w:lang w:val="en-ID"/>
        </w:rPr>
        <w:t>Miyake H, Komatsu N, Ehara F, Nagase D,</w:t>
      </w:r>
      <w:r w:rsidRPr="00E30A99">
        <w:rPr>
          <w:rFonts w:ascii="Times New Roman" w:hAnsi="Times New Roman" w:cs="Times New Roman"/>
          <w:vertAlign w:val="superscript"/>
          <w:lang w:val="en-ID"/>
        </w:rPr>
        <w:t xml:space="preserve"> </w:t>
      </w:r>
      <w:r w:rsidRPr="00E30A99">
        <w:rPr>
          <w:rFonts w:ascii="Times New Roman" w:hAnsi="Times New Roman" w:cs="Times New Roman"/>
          <w:lang w:val="en-ID"/>
        </w:rPr>
        <w:t xml:space="preserve">et al. High interleukin-8 level in aqueous humor is associated with poor prognosis in eyes with open </w:t>
      </w:r>
      <w:r w:rsidRPr="00E30A99">
        <w:rPr>
          <w:rFonts w:ascii="Times New Roman" w:hAnsi="Times New Roman" w:cs="Times New Roman"/>
          <w:bCs/>
          <w:lang w:val="en-ID"/>
        </w:rPr>
        <w:t>angle</w:t>
      </w:r>
      <w:r w:rsidRPr="00E30A99">
        <w:rPr>
          <w:rFonts w:ascii="Times New Roman" w:hAnsi="Times New Roman" w:cs="Times New Roman"/>
          <w:lang w:val="en-ID"/>
        </w:rPr>
        <w:t xml:space="preserve"> glaucoma and neovascular glaucoma. Sci Rep 2018; 8:14533. doi: </w:t>
      </w:r>
      <w:r>
        <w:rPr>
          <w:rFonts w:ascii="Times New Roman" w:hAnsi="Times New Roman" w:cs="Times New Roman"/>
          <w:lang w:val="en-ID"/>
        </w:rPr>
        <w:t>10.1038/s41598-018-32725-3.</w:t>
      </w:r>
    </w:p>
    <w:p w:rsidR="00136127" w:rsidRDefault="00136127" w:rsidP="00136127">
      <w:pPr>
        <w:pStyle w:val="Prrafodelist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bCs/>
          <w:lang w:val="en-ID"/>
        </w:rPr>
      </w:pPr>
      <w:r w:rsidRPr="003B3486">
        <w:rPr>
          <w:rFonts w:ascii="Times New Roman" w:hAnsi="Times New Roman" w:cs="Times New Roman"/>
          <w:bCs/>
          <w:lang w:val="en-ID"/>
        </w:rPr>
        <w:t xml:space="preserve">Chua J, Vania M, Cheung CM, Ang M, Chee SP, Yang H, et al. Expression profile of inflammatory cytokines in aqueous from glaucomatous eyes. Mol Vis 2012; 18:431-8. </w:t>
      </w:r>
    </w:p>
    <w:p w:rsidR="00136127" w:rsidRPr="006610DF" w:rsidRDefault="00136127" w:rsidP="00136127">
      <w:pPr>
        <w:pStyle w:val="Prrafodelist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bCs/>
          <w:lang w:val="en-ID"/>
        </w:rPr>
      </w:pPr>
      <w:r w:rsidRPr="006610DF">
        <w:rPr>
          <w:rFonts w:ascii="Times New Roman" w:hAnsi="Times New Roman" w:cs="Times New Roman"/>
          <w:lang w:val="en-ID"/>
        </w:rPr>
        <w:t>Cvenkel B, Kopitar AN, Ihan A.</w:t>
      </w:r>
      <w:r w:rsidRPr="006610DF">
        <w:rPr>
          <w:rFonts w:ascii="Times New Roman" w:hAnsi="Times New Roman" w:cs="Times New Roman"/>
          <w:bCs/>
          <w:lang w:val="en-ID"/>
        </w:rPr>
        <w:t xml:space="preserve"> Inflammatory molecules in aqueous humour and on ocular surface and glaucoma surgery outcome.</w:t>
      </w:r>
      <w:r w:rsidRPr="006610DF">
        <w:rPr>
          <w:rFonts w:ascii="Times New Roman" w:hAnsi="Times New Roman" w:cs="Times New Roman"/>
          <w:lang w:val="en-ID"/>
        </w:rPr>
        <w:t xml:space="preserve"> Mediators Inflamm 2010;</w:t>
      </w:r>
      <w:r>
        <w:rPr>
          <w:rFonts w:ascii="Times New Roman" w:hAnsi="Times New Roman" w:cs="Times New Roman"/>
          <w:lang w:val="en-ID"/>
        </w:rPr>
        <w:t xml:space="preserve"> </w:t>
      </w:r>
      <w:r w:rsidRPr="006610DF">
        <w:rPr>
          <w:rFonts w:ascii="Times New Roman" w:hAnsi="Times New Roman" w:cs="Times New Roman"/>
          <w:lang w:val="en-ID"/>
        </w:rPr>
        <w:t xml:space="preserve">2010:939602. doi: 10.1155/2010/939602. </w:t>
      </w:r>
    </w:p>
    <w:p w:rsidR="00136127" w:rsidRPr="006610DF" w:rsidRDefault="00136127" w:rsidP="00136127">
      <w:pPr>
        <w:pStyle w:val="Prrafodelist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bCs/>
          <w:lang w:val="en-ID"/>
        </w:rPr>
      </w:pPr>
      <w:r w:rsidRPr="006610DF">
        <w:rPr>
          <w:rFonts w:ascii="Times New Roman" w:hAnsi="Times New Roman" w:cs="Times New Roman"/>
          <w:lang w:val="en-ID"/>
        </w:rPr>
        <w:t>Du S, Huang W, Zhang X, Wang J, Wang W, Lam DSC.</w:t>
      </w:r>
      <w:r w:rsidRPr="006610DF">
        <w:rPr>
          <w:rFonts w:ascii="Times New Roman" w:hAnsi="Times New Roman" w:cs="Times New Roman"/>
          <w:bCs/>
          <w:lang w:val="en-ID"/>
        </w:rPr>
        <w:t xml:space="preserve"> Multiplex cytokine levels of aqueous humor in acute primary angle-closure patients: fellow eye comparison.</w:t>
      </w:r>
      <w:r w:rsidRPr="006610DF">
        <w:rPr>
          <w:rFonts w:ascii="Times New Roman" w:hAnsi="Times New Roman" w:cs="Times New Roman"/>
          <w:lang w:val="en-ID"/>
        </w:rPr>
        <w:t xml:space="preserve"> BMC Ophthalmol 2016; 16:6. doi: 10.1186/s12886-016-0182-8.</w:t>
      </w:r>
    </w:p>
    <w:p w:rsidR="00136127" w:rsidRPr="006610DF" w:rsidRDefault="00136127" w:rsidP="00136127">
      <w:pPr>
        <w:pStyle w:val="Prrafodelist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bCs/>
          <w:lang w:val="en-ID"/>
        </w:rPr>
      </w:pPr>
      <w:r w:rsidRPr="006610DF">
        <w:rPr>
          <w:rFonts w:ascii="Times New Roman" w:hAnsi="Times New Roman" w:cs="Times New Roman"/>
          <w:lang w:val="en-ID"/>
        </w:rPr>
        <w:t>Duvesh R, Puthuran G, Srinivasan K, Rengaraj V, Krishnadas SR, Rajendrababu S, et al.</w:t>
      </w:r>
      <w:r w:rsidRPr="006610DF">
        <w:rPr>
          <w:rFonts w:ascii="Times New Roman" w:hAnsi="Times New Roman" w:cs="Times New Roman"/>
          <w:bCs/>
          <w:lang w:val="en-ID"/>
        </w:rPr>
        <w:t xml:space="preserve"> Multiplex Cytokine Analysis of Aqueous Humor from the Patients with Chronic Primary Angle Closure Glaucoma.</w:t>
      </w:r>
      <w:r w:rsidRPr="006610DF">
        <w:rPr>
          <w:rFonts w:ascii="Times New Roman" w:hAnsi="Times New Roman" w:cs="Times New Roman"/>
          <w:lang w:val="en-ID"/>
        </w:rPr>
        <w:t xml:space="preserve"> Curr Eye Res 2017; 42:1608-1613. doi: 10.1080/02713683.2017.1362003. </w:t>
      </w:r>
    </w:p>
    <w:p w:rsidR="00136127" w:rsidRPr="006610DF" w:rsidRDefault="00136127" w:rsidP="00136127">
      <w:pPr>
        <w:pStyle w:val="Prrafodelist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bCs/>
          <w:lang w:val="en-ID"/>
        </w:rPr>
      </w:pPr>
      <w:r w:rsidRPr="006610DF">
        <w:rPr>
          <w:rFonts w:ascii="Times New Roman" w:hAnsi="Times New Roman" w:cs="Times New Roman"/>
          <w:lang w:val="en-ID"/>
        </w:rPr>
        <w:t>Gramlich OW, Beck , von Thun Und Hohenstein-Blaul N, Boehm N, Ziegler A, Vetter JM, et al.</w:t>
      </w:r>
      <w:r w:rsidRPr="006610DF">
        <w:rPr>
          <w:rFonts w:ascii="Times New Roman" w:hAnsi="Times New Roman" w:cs="Times New Roman"/>
          <w:bCs/>
          <w:lang w:val="en-ID"/>
        </w:rPr>
        <w:t xml:space="preserve"> Enhanced insight into the autoimmune component of glaucoma: IgG autoantibody accumulation and pro-inflammatory conditions in human glaucomatous retina.</w:t>
      </w:r>
      <w:r w:rsidRPr="006610DF">
        <w:rPr>
          <w:rFonts w:ascii="Times New Roman" w:hAnsi="Times New Roman" w:cs="Times New Roman"/>
          <w:lang w:val="en-ID"/>
        </w:rPr>
        <w:t xml:space="preserve"> PLoS One 2013; 8:e57557. doi: 10.1371/journal.pone.0057557. </w:t>
      </w:r>
    </w:p>
    <w:p w:rsidR="00136127" w:rsidRDefault="00136127" w:rsidP="00136127">
      <w:pPr>
        <w:pStyle w:val="Prrafodelist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bCs/>
          <w:lang w:val="en-ID"/>
        </w:rPr>
      </w:pPr>
      <w:r w:rsidRPr="006610DF">
        <w:rPr>
          <w:rFonts w:ascii="Times New Roman" w:hAnsi="Times New Roman" w:cs="Times New Roman"/>
          <w:bCs/>
          <w:lang w:val="en-ID"/>
        </w:rPr>
        <w:t>Inoue T, Kawaji T, Inatani M, Kameda T, Yoshimura N, Tanihara H. Simultaneous increases in multiple proinflammatory cytokines in the aqueous humor in pseudophakic glaucomatous eyes. J Cataract Refract Surg 2012; 38(8):1389-97. doi: 10.1016/j.jcrs.2012.04.028.</w:t>
      </w:r>
    </w:p>
    <w:p w:rsidR="00136127" w:rsidRPr="006610DF" w:rsidRDefault="00136127" w:rsidP="00136127">
      <w:pPr>
        <w:pStyle w:val="Prrafodelist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bCs/>
          <w:lang w:val="en-ID"/>
        </w:rPr>
      </w:pPr>
      <w:r w:rsidRPr="006610DF">
        <w:rPr>
          <w:rFonts w:ascii="Times New Roman" w:hAnsi="Times New Roman" w:cs="Times New Roman"/>
          <w:lang w:val="en-ID"/>
        </w:rPr>
        <w:t xml:space="preserve">Wang Y, Chen S, Liu Y, Huang W, Li X, Zhang X. </w:t>
      </w:r>
      <w:r w:rsidRPr="006610DF">
        <w:rPr>
          <w:rFonts w:ascii="Times New Roman" w:hAnsi="Times New Roman" w:cs="Times New Roman"/>
          <w:bCs/>
          <w:lang w:val="en-ID"/>
        </w:rPr>
        <w:t>Inflammatory cytokine profiles in eyes with primary angle-closure glaucoma.</w:t>
      </w:r>
      <w:r w:rsidRPr="006610DF">
        <w:rPr>
          <w:rFonts w:ascii="Times New Roman" w:hAnsi="Times New Roman" w:cs="Times New Roman"/>
          <w:lang w:val="en-ID"/>
        </w:rPr>
        <w:t xml:space="preserve"> Biosci Rep 2018; 38. pii: BSR20181411. doi: 10.1042/BSR20181411. </w:t>
      </w:r>
    </w:p>
    <w:p w:rsidR="00136127" w:rsidRPr="006610DF" w:rsidRDefault="00136127" w:rsidP="00136127">
      <w:pPr>
        <w:pStyle w:val="Prrafodelist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bCs/>
          <w:lang w:val="en-ID"/>
        </w:rPr>
      </w:pPr>
      <w:r w:rsidRPr="006610DF">
        <w:rPr>
          <w:rFonts w:ascii="Times New Roman" w:hAnsi="Times New Roman" w:cs="Times New Roman"/>
          <w:bCs/>
          <w:lang w:val="en-ID"/>
        </w:rPr>
        <w:t>Hozo SP, Djulbegovic B, Hozo I. Estimating the mean and variance from the median, range, and the size of a sample. BMC Med Res Methodol 2005;5:13. doi: 10.1186/1471-2288-5-13.</w:t>
      </w:r>
    </w:p>
    <w:p w:rsidR="00136127" w:rsidRPr="00E30A99" w:rsidRDefault="00136127" w:rsidP="00136127">
      <w:pPr>
        <w:rPr>
          <w:rFonts w:ascii="Times New Roman" w:hAnsi="Times New Roman" w:cs="Times New Roman"/>
          <w:lang w:val="en-ID"/>
        </w:rPr>
      </w:pPr>
    </w:p>
    <w:p w:rsidR="00BA7250" w:rsidRPr="00E30A99" w:rsidRDefault="00BA7250" w:rsidP="00BA725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A7250" w:rsidRPr="00E30A99" w:rsidSect="00BA7250">
      <w:pgSz w:w="11900" w:h="16840"/>
      <w:pgMar w:top="1418" w:right="1418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F629E"/>
    <w:multiLevelType w:val="hybridMultilevel"/>
    <w:tmpl w:val="3E221BA0"/>
    <w:lvl w:ilvl="0" w:tplc="E57C88B2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61844"/>
    <w:multiLevelType w:val="hybridMultilevel"/>
    <w:tmpl w:val="E190E50E"/>
    <w:lvl w:ilvl="0" w:tplc="E4841B04">
      <w:start w:val="1"/>
      <w:numFmt w:val="decimal"/>
      <w:lvlText w:val="[%1]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compat>
    <w:useFELayout/>
  </w:compat>
  <w:rsids>
    <w:rsidRoot w:val="0041752F"/>
    <w:rsid w:val="000D7E4E"/>
    <w:rsid w:val="00136127"/>
    <w:rsid w:val="00166BC7"/>
    <w:rsid w:val="00185484"/>
    <w:rsid w:val="001B5C98"/>
    <w:rsid w:val="00204CD0"/>
    <w:rsid w:val="00221567"/>
    <w:rsid w:val="0027023E"/>
    <w:rsid w:val="002A554C"/>
    <w:rsid w:val="002F49B1"/>
    <w:rsid w:val="00311CE7"/>
    <w:rsid w:val="003F49E6"/>
    <w:rsid w:val="00402C66"/>
    <w:rsid w:val="0041752F"/>
    <w:rsid w:val="00423E6B"/>
    <w:rsid w:val="0045128E"/>
    <w:rsid w:val="004C758D"/>
    <w:rsid w:val="004D2CB5"/>
    <w:rsid w:val="0058352A"/>
    <w:rsid w:val="005D4A74"/>
    <w:rsid w:val="005F7066"/>
    <w:rsid w:val="00626995"/>
    <w:rsid w:val="0064114E"/>
    <w:rsid w:val="006610DF"/>
    <w:rsid w:val="00665DF3"/>
    <w:rsid w:val="00707AAE"/>
    <w:rsid w:val="00724E03"/>
    <w:rsid w:val="0073026A"/>
    <w:rsid w:val="007513FE"/>
    <w:rsid w:val="0076752E"/>
    <w:rsid w:val="007B3CFB"/>
    <w:rsid w:val="007C700C"/>
    <w:rsid w:val="00837777"/>
    <w:rsid w:val="008524F1"/>
    <w:rsid w:val="00853024"/>
    <w:rsid w:val="008546E9"/>
    <w:rsid w:val="00884193"/>
    <w:rsid w:val="008929FE"/>
    <w:rsid w:val="008A24C8"/>
    <w:rsid w:val="008D123C"/>
    <w:rsid w:val="008D3CCF"/>
    <w:rsid w:val="00901C79"/>
    <w:rsid w:val="00920052"/>
    <w:rsid w:val="0095026B"/>
    <w:rsid w:val="00A0021F"/>
    <w:rsid w:val="00AC4EF2"/>
    <w:rsid w:val="00B74DD6"/>
    <w:rsid w:val="00BA7250"/>
    <w:rsid w:val="00BD7020"/>
    <w:rsid w:val="00BE71E3"/>
    <w:rsid w:val="00BF1115"/>
    <w:rsid w:val="00CA0EA2"/>
    <w:rsid w:val="00CA290C"/>
    <w:rsid w:val="00CE19BF"/>
    <w:rsid w:val="00CF1ED3"/>
    <w:rsid w:val="00D051B8"/>
    <w:rsid w:val="00D86F45"/>
    <w:rsid w:val="00DE4304"/>
    <w:rsid w:val="00E30A99"/>
    <w:rsid w:val="00E5775F"/>
    <w:rsid w:val="00E747DD"/>
    <w:rsid w:val="00EB5AFD"/>
    <w:rsid w:val="00F11BF4"/>
    <w:rsid w:val="00F26DD8"/>
    <w:rsid w:val="00F3300E"/>
    <w:rsid w:val="00FA5538"/>
    <w:rsid w:val="00FA7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B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E43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BA725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A7250"/>
    <w:rPr>
      <w:color w:val="0000FF" w:themeColor="hyperlink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5128E"/>
  </w:style>
  <w:style w:type="character" w:styleId="Hipervnculovisitado">
    <w:name w:val="FollowedHyperlink"/>
    <w:basedOn w:val="Fuentedeprrafopredeter"/>
    <w:uiPriority w:val="99"/>
    <w:semiHidden/>
    <w:unhideWhenUsed/>
    <w:rsid w:val="00E30A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43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BA72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7250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5128E"/>
  </w:style>
  <w:style w:type="character" w:styleId="FollowedHyperlink">
    <w:name w:val="FollowedHyperlink"/>
    <w:basedOn w:val="DefaultParagraphFont"/>
    <w:uiPriority w:val="99"/>
    <w:semiHidden/>
    <w:unhideWhenUsed/>
    <w:rsid w:val="00E30A9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99863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19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0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9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819027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6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2101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4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3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8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775170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523</Words>
  <Characters>2878</Characters>
  <Application>Microsoft Office Word</Application>
  <DocSecurity>0</DocSecurity>
  <Lines>23</Lines>
  <Paragraphs>6</Paragraphs>
  <ScaleCrop>false</ScaleCrop>
  <Company>Kumamoto University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Zulvikar Syambani Ulhaq</dc:creator>
  <cp:lastModifiedBy>trans29@gmail.com</cp:lastModifiedBy>
  <cp:revision>5</cp:revision>
  <dcterms:created xsi:type="dcterms:W3CDTF">2019-12-17T15:42:00Z</dcterms:created>
  <dcterms:modified xsi:type="dcterms:W3CDTF">2019-12-17T16:10:00Z</dcterms:modified>
</cp:coreProperties>
</file>