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B4" w:rsidRPr="004C4CB4" w:rsidRDefault="004C4CB4" w:rsidP="004C4CB4">
      <w:pPr>
        <w:pStyle w:val="Ttulo2"/>
        <w:rPr>
          <w:rFonts w:ascii="Trebuchet MS" w:hAnsi="Trebuchet MS"/>
          <w:color w:val="auto"/>
        </w:rPr>
      </w:pPr>
      <w:bookmarkStart w:id="0" w:name="_Toc313043033"/>
      <w:r w:rsidRPr="004C4CB4">
        <w:rPr>
          <w:rFonts w:ascii="Trebuchet MS" w:hAnsi="Trebuchet MS"/>
          <w:color w:val="auto"/>
        </w:rPr>
        <w:t>Tabela Suplementar 1: Avaliação da qualidade dos estudos analisados para a revisão sobre EA-</w:t>
      </w:r>
      <w:bookmarkEnd w:id="0"/>
      <w:r w:rsidRPr="004C4CB4">
        <w:rPr>
          <w:rFonts w:ascii="Trebuchet MS" w:hAnsi="Trebuchet MS"/>
          <w:color w:val="auto"/>
        </w:rPr>
        <w:t>paradoxal</w:t>
      </w:r>
    </w:p>
    <w:tbl>
      <w:tblPr>
        <w:tblW w:w="14190" w:type="dxa"/>
        <w:tblInd w:w="2"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2410"/>
        <w:gridCol w:w="1134"/>
        <w:gridCol w:w="1701"/>
        <w:gridCol w:w="1973"/>
        <w:gridCol w:w="1417"/>
        <w:gridCol w:w="1701"/>
        <w:gridCol w:w="2001"/>
        <w:gridCol w:w="1853"/>
      </w:tblGrid>
      <w:tr w:rsidR="004C4CB4" w:rsidRPr="004C4CB4" w:rsidTr="004C4CB4">
        <w:tc>
          <w:tcPr>
            <w:tcW w:w="2410" w:type="dxa"/>
            <w:tcBorders>
              <w:top w:val="single" w:sz="8" w:space="0" w:color="000000"/>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Es</w:t>
            </w:r>
            <w:bookmarkStart w:id="1" w:name="_GoBack"/>
            <w:bookmarkEnd w:id="1"/>
            <w:r w:rsidRPr="004C4CB4">
              <w:rPr>
                <w:rFonts w:ascii="Trebuchet MS" w:hAnsi="Trebuchet MS"/>
                <w:b/>
                <w:bCs/>
              </w:rPr>
              <w:t>tudo</w:t>
            </w:r>
          </w:p>
        </w:tc>
        <w:tc>
          <w:tcPr>
            <w:tcW w:w="1134" w:type="dxa"/>
            <w:tcBorders>
              <w:top w:val="single" w:sz="8" w:space="0" w:color="000000"/>
              <w:left w:val="single" w:sz="8" w:space="0" w:color="000000"/>
              <w:bottom w:val="single" w:sz="4" w:space="0" w:color="auto"/>
              <w:right w:val="single" w:sz="8" w:space="0" w:color="000000"/>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Seleção</w:t>
            </w:r>
          </w:p>
        </w:tc>
        <w:tc>
          <w:tcPr>
            <w:tcW w:w="1701" w:type="dxa"/>
            <w:tcBorders>
              <w:top w:val="single" w:sz="8" w:space="0" w:color="000000"/>
              <w:bottom w:val="single" w:sz="4" w:space="0" w:color="auto"/>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Desenho</w:t>
            </w:r>
          </w:p>
        </w:tc>
        <w:tc>
          <w:tcPr>
            <w:tcW w:w="1973" w:type="dxa"/>
            <w:tcBorders>
              <w:top w:val="single" w:sz="8" w:space="0" w:color="000000"/>
              <w:left w:val="single" w:sz="8" w:space="0" w:color="000000"/>
              <w:bottom w:val="single" w:sz="4" w:space="0" w:color="auto"/>
              <w:right w:val="single" w:sz="8" w:space="0" w:color="000000"/>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Variáveis confundimento</w:t>
            </w:r>
          </w:p>
        </w:tc>
        <w:tc>
          <w:tcPr>
            <w:tcW w:w="1417" w:type="dxa"/>
            <w:tcBorders>
              <w:top w:val="single" w:sz="8" w:space="0" w:color="000000"/>
              <w:bottom w:val="single" w:sz="4" w:space="0" w:color="auto"/>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“Blinding”</w:t>
            </w:r>
          </w:p>
        </w:tc>
        <w:tc>
          <w:tcPr>
            <w:tcW w:w="1701" w:type="dxa"/>
            <w:tcBorders>
              <w:top w:val="single" w:sz="8" w:space="0" w:color="000000"/>
              <w:left w:val="single" w:sz="8" w:space="0" w:color="000000"/>
              <w:bottom w:val="single" w:sz="4" w:space="0" w:color="auto"/>
              <w:right w:val="single" w:sz="8" w:space="0" w:color="000000"/>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Metodologia</w:t>
            </w:r>
          </w:p>
        </w:tc>
        <w:tc>
          <w:tcPr>
            <w:tcW w:w="2001" w:type="dxa"/>
            <w:tcBorders>
              <w:top w:val="single" w:sz="8" w:space="0" w:color="000000"/>
              <w:bottom w:val="single" w:sz="4" w:space="0" w:color="auto"/>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“Withdrawals  Drop-Outs”</w:t>
            </w:r>
          </w:p>
        </w:tc>
        <w:tc>
          <w:tcPr>
            <w:tcW w:w="1853" w:type="dxa"/>
            <w:tcBorders>
              <w:top w:val="single" w:sz="8" w:space="0" w:color="000000"/>
              <w:left w:val="single" w:sz="8" w:space="0" w:color="000000"/>
              <w:bottom w:val="single" w:sz="4" w:space="0" w:color="auto"/>
            </w:tcBorders>
            <w:shd w:val="clear" w:color="auto" w:fill="000000"/>
          </w:tcPr>
          <w:p w:rsidR="004C4CB4" w:rsidRPr="004C4CB4" w:rsidRDefault="004C4CB4" w:rsidP="00F7235E">
            <w:pPr>
              <w:spacing w:line="240" w:lineRule="auto"/>
              <w:jc w:val="center"/>
              <w:rPr>
                <w:rFonts w:ascii="Trebuchet MS" w:hAnsi="Trebuchet MS"/>
                <w:b/>
                <w:bCs/>
              </w:rPr>
            </w:pPr>
            <w:r w:rsidRPr="004C4CB4">
              <w:rPr>
                <w:rFonts w:ascii="Trebuchet MS" w:hAnsi="Trebuchet MS"/>
                <w:b/>
                <w:bCs/>
              </w:rPr>
              <w:t>Avaliação Global</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Hachicha, 2007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"10.1161/CIRCULATIONAHA.106.668681", "ISSN" : "1524-4539", "PMID" : "17533183", "abstract" : "BACKGROUND: Recent studies and current clinical observations suggest that some patients with severe aortic stenosis on the basis of aortic valve area may paradoxically have a relatively low gradient despite the presence of a preserved left ventricular (LV) ejection fraction. The objective of the present study was to document the prevalence, potential mechanisms, and clinical relevance of this phenomenon.\n\nMETHODS AND RESULTS: We retrospectively studied the clinical and Doppler echocardiographic data of 512 consecutive patients with severe aortic stenosis (indexed aortic valve area &lt; or = 0.6 cm2 x m(-2)) and preserved LV ejection fraction (&gt; or = 50%). Of these patients, 331 (65%) had normal LV flow output defined as a stroke volume index &gt; 35 mL x m2, and 181 (35%) had paradoxically low-flow output defined as stroke volume index &lt; or = 35 mL x m(-2). When compared with normal flow patients, low-flow patients had a higher prevalence of female gender (P&lt;0.05), a lower transvalvular gradient (32+/-17 versus 40+/-15 mm Hg; P&lt;0.001), a lower LV diastolic volume index (52+/-12 versus 59+/-13 mL x m(-2); P&lt;0.001), lower LV ejection fraction (62+/-8% versus 68+/-7%; P&lt;0.001), a higher level of LV global afterload reflected by a higher valvulo-arterial impedance (5.3+/-1.3 versus 4.1+/-0.7 mm Hg x mL(-1) x m(-2); P&lt;0.001) and a lower overall 3-year survival (76% versus 86%; P=0.006). Only age (hazard ratio, 1.04; 95% CI, 1.01 to 1.08; P=0.025), valvulo-arterial impedance &gt; 5.5 mm Hg x mL(-1) x m(-2) (hazard ratio, 2.6; 95% CI, 1.2 to 5.7; P=0.017), and medical treatment (hazard ratio, 3.3; 95% CI, 1.8 to 6.7; P=0.0003) were independently associated with increased mortality.\n\nCONCLUSION: Patients with severe aortic stenosis may have low transvalvular flow and low gradients despite normal LV ejection fraction. A comprehensive evaluation shows that this pattern is in fact consistent with a more advanced stage of the disease and has a poorer prognosis. Such findings are clinically relevant because this condition may often be misdiagnosed, which leads to a neglect and/or an underestimation of symptoms and an inappropriate delay of aortic valve replacement surgery.", "author" : [ { "dropping-particle" : "", "family" : "Hachicha", "given" : "Zeineb", "non-dropping-particle" : "", "parse-names" : false, "suffix" : "" }, { "dropping-particle" : "", "family" : "Dumesnil", "given" : "Jean G", "non-dropping-particle" : "", "parse-names" : false, "suffix" : "" }, { "dropping-particle" : "", "family" : "Bogaty", "given" : "Peter", "non-dropping-particle" : "", "parse-names" : false, "suffix" : "" }, { "dropping-particle" : "", "family" : "Pibarot", "given" : "Philippe", "non-dropping-particle" : "", "parse-names" : false, "suffix" : "" } ], "container-title" : "Circulation", "id" : "ITEM-1", "issue" : "22", "issued" : { "date-parts" : [ [ "2007", "6", "5" ] ] }, "page" : "2856-64", "title" : "Paradoxical low-flow, low-gradient severe aortic stenosis despite preserved ejection fraction is associated with higher afterload and reduced survival.", "type" : "article-journal", "volume" : "115" }, "uris" : [ "http://www.mendeley.com/documents/?uuid=0403c791-3527-4e78-9236-2f8c38a5eb93" ] } ], "mendeley" : { "formattedCitation" : "(8)", "plainTextFormattedCitation" : "(8)", "previouslyFormattedCitation" : "(8)"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(8)</w:t>
            </w:r>
            <w:r w:rsidRPr="004C4CB4">
              <w:rPr>
                <w:rFonts w:ascii="Trebuchet MS" w:hAnsi="Trebuchet MS"/>
                <w:bCs/>
              </w:rPr>
              <w:fldChar w:fldCharType="end"/>
            </w:r>
          </w:p>
        </w:tc>
        <w:tc>
          <w:tcPr>
            <w:tcW w:w="1134" w:type="dxa"/>
            <w:tcBorders>
              <w:top w:val="single" w:sz="4" w:space="0" w:color="auto"/>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4" w:space="0" w:color="auto"/>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4" w:space="0" w:color="auto"/>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4" w:space="0" w:color="auto"/>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4" w:space="0" w:color="auto"/>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4" w:space="0" w:color="auto"/>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4" w:space="0" w:color="auto"/>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Lee, 2011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"10.1016/j.echo.2011.05.003", "ISSN" : "1097-6795", "PMID" : "21665430", "abstract" : "BACKGROUND: The diagnosis and management of paradoxical low-flow (PLF) aortic stenosis (AS) is challenging in clinical practice. In addition, its pathophysiology has not been fully understood. The aim of this study was to test the hypothesis that left ventricular (LV) myocardial function is deteriorated in PLF AS and that it is closely related to global LV afterload.\n\nMETHODS: Echocardiographic data from 103 patients with severe AS (aortic valve area &lt; 1.0 cm(2)) with normal LV ejection fractions were prospectively collected. Global longitudinal and circumferential myocardial strain was analyzed using two-dimensional speckle-tracking imaging. PLF AS was defined as a stroke volume index &lt; 35 mL/m(2).\n\nRESULTS: Sixteen patients were classified as having PLF AS. Compared with those with normal-flow AS, patients with PLF AS were more likely to have worse functional status (mean New York Heart Association functional class, 2.38 \u00b1 0.70 vs 1.96 \u00b1 0.62; P\u00a0= .02), worse global longitudinal strain (GLS) (-12.6 \u00b1 4.4% vs -16.4 \u00b1 4.0%, P &lt; .01), lower aortic valve area (0.53 \u00b1 0.15 vs 0.78 \u00b1 0.19 cm(2), P &lt; .01), and higher valvuloarterial impedance (5.62 \u00b1 1.33 vs 3.65 \u00b1 0.83 mm Hg \u00b7 m(2)/mL, P &lt; .01). GLS showed a significant negative linear relationship with stroke volume index (r\u00a0= -0.324, P\u00a0= .001) and a positive relationship with E/E' ratio (r\u00a0= 0.367, P &lt; .001). Multivariate analysis showed that age (\u03b2\u00a0= 0.08, P\u00a0= .07) and valvuloarterial impedance (\u03b2\u00a0= 1.54, P &lt; .01) were significant predictors of GLS.\n\nCONCLUSIONS: GLS is depressed in patients with PLF AS. This implies that subclinical myocardial dysfunction may be more prominent in PLF AS compared with normal-flow AS and suggests the possible diagnostic and prognostic value of two-dimensional global strain in identifying PLF AS. In addition, global LV afterload is an important determinant of myocardial dysfunction in patients with severe AS.", "author" : [ { "dropping-particle" : "", "family" : "Lee", "given" : "Seung-Pyo", "non-dropping-particle" : "", "parse-names" : false, "suffix" : "" }, { "dropping-particle" : "", "family" : "Kim", "given" : "Yong-Jin", "non-dropping-particle" : "", "parse-names" : false, "suffix" : "" }, { "dropping-particle" : "", "family" : "Kim", "given" : "Ji-Hyun", "non-dropping-particle" : "", "parse-names" : false, "suffix" : "" }, { "dropping-particle" : "", "family" : "Park", "given" : "Kyungil", "non-dropping-particle" : "", "parse-names" : false, "suffix" : "" }, { "dropping-particle" : "", "family" : "Kim", "given" : "Kyung-Hee", "non-dropping-particle" : "", "parse-names" : false, "suffix" : "" }, { "dropping-particle" : "", "family" : "Kim", "given" : "Hyung-Kwan", "non-dropping-particle" : "", "parse-names" : false, "suffix" : "" }, { "dropping-particle" : "", "family" : "Cho", "given" : "Goo-Yeong", "non-dropping-particle" : "", "parse-names" : false, "suffix" : "" }, { "dropping-particle" : "", "family" : "Sohn", "given" : "Dae-Won", "non-dropping-particle" : "", "parse-names" : false, "suffix" : "" }, { "dropping-particle" : "", "family" : "Oh", "given" : "Byung-Hee", "non-dropping-particle" : "", "parse-names" : false, "suffix" : "" }, { "dropping-particle" : "", "family" : "Park", "given" : "Young-Bae", "non-dropping-particle" : "", "parse-names" : false, "suffix" : "" } ], "container-title" : "Journal of the American Society of Echocardiography : official publication of the American Society of Echocardiography", "id" : "ITEM-1", "issue" : "9", "issued" : { "date-parts" : [ [ "2011", "9" ] ] }, "page" : "976-83", "publisher" : "Elsevier Inc", "title" : "Deterioration of myocardial function in paradoxical low-flow severe aortic stenosis: two-dimensional strain analysis.", "type" : "article-journal", "volume" : "24" }, "uris" : [ "http://www.mendeley.com/documents/?uuid=eabbaa26-21b1-492c-9d70-ab164d081d8c" ] } ], "mendeley" : { "formattedCitation" : "(13)", "plainTextFormattedCitation" : "(13)", "previouslyFormattedCitation" : "(13)"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(13)</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Jander 2011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"10.1161/CIRCULATIONAHA.110.983510", "ISSN" : "00097322", "PMID" : "21321152", "abstract" : "Retrospective studies have suggested that patients with a low transvalvular gradient in the presence of an aortic valve area &lt; 1.0 cm\u00b2 and normal ejection fraction may represent a subgroup with an advanced stage of aortic valve disease, reduced stroke volume, and poor prognosis requiring early surgery. We therefore evaluated the outcome of patients with low-gradient \"severe\" stenosis (defined as aortic valve area &lt; 1.0 cm\u00b2 and mean gradient \u2264 40 mm Hg) in the prospective Simvastatin and Ezetimibe in Aortic Stenosis (SEAS) study.", "author" : [ { "dropping-particle" : "", "family" : "Jander", "given" : "Nikolaus", "non-dropping-particle" : "", "parse-names" : false, "suffix" : "" }, { "dropping-particle" : "", "family" : "Minners", "given" : "Jan", "non-dropping-particle" : "", "parse-names" : false, "suffix" : "" }, { "dropping-particle" : "", "family" : "Holme", "given" : "Ingar", "non-dropping-particle" : "", "parse-names" : false, "suffix" : "" }, { "dropping-particle" : "", "family" : "Gerdts", "given" : "Eva", "non-dropping-particle" : "", "parse-names" : false, "suffix" : "" }, { "dropping-particle" : "", "family" : "Boman", "given" : "Kurt", "non-dropping-particle" : "", "parse-names" : false, "suffix" : "" }, { "dropping-particle" : "", "family" : "Brudi", "given" : "Philippe", "non-dropping-particle" : "", "parse-names" : false, "suffix" : "" }, { "dropping-particle" : "", "family" : "Chambers", "given" : "John B.", "non-dropping-particle" : "", "parse-names" : false, "suffix" : "" }, { "dropping-particle" : "", "family" : "Egstrup", "given" : "Kenneth", "non-dropping-particle" : "", "parse-names" : false, "suffix" : "" }, { "dropping-particle" : "", "family" : "Kes\u00e4niemi", "given" : "Y. Antero", "non-dropping-particle" : "", "parse-names" : false, "suffix" : "" }, { "dropping-particle" : "", "family" : "Malbecq", "given" : "William", "non-dropping-particle" : "", "parse-names" : false, "suffix" : "" }, { "dropping-particle" : "", "family" : "Nienaber", "given" : "Christoph a.", "non-dropping-particle" : "", "parse-names" : false, "suffix" : "" }, { "dropping-particle" : "", "family" : "Ray", "given" : "Simon", "non-dropping-particle" : "", "parse-names" : false, "suffix" : "" }, { "dropping-particle" : "", "family" : "Rosseb\u00f8", "given" : "Anne", "non-dropping-particle" : "", "parse-names" : false, "suffix" : "" }, { "dropping-particle" : "", "family" : "Pedersen", "given" : "Terje R.", "non-dropping-particle" : "", "parse-names" : false, "suffix" : "" }, { "dropping-particle" : "", "family" : "Skj\u00e6rpe", "given" : "Terje", "non-dropping-particle" : "", "parse-names" : false, "suffix" : "" }, { "dropping-particle" : "", "family" : "Willenheimer", "given" : "Ronnie", "non-dropping-particle" : "", "parse-names" : false, "suffix" : "" }, { "dropping-particle" : "", "family" : "Wachtell", "given" : "Kristian", "non-dropping-particle" : "", "parse-names" : false, "suffix" : "" }, { "dropping-particle" : "", "family" : "Neumann", "given" : "Franz Josef", "non-dropping-particle" : "", "parse-names" : false, "suffix" : "" }, { "dropping-particle" : "", "family" : "Gohlke-B\u00e4rwolf", "given" : "Christa", "non-dropping-particle" : "", "parse-names" : false, "suffix" : "" } ], "container-title" : "Circulation", "id" : "ITEM-1", "issued" : { "date-parts" : [ [ "2011" ] ] }, "page" : "887-895", "title" : "Outcome of patients with low-gradient severe aortic stenosis and preserved ejection fraction", "type" : "article-journal", "volume" : "123" }, "uris" : [ "http://www.mendeley.com/documents/?uuid=f7610854-dc82-488b-a27f-f00fc853e00d" ] } ], "mendeley" : { "formattedCitation" : "(52)", "plainTextFormattedCitation" : "(52)", "previouslyFormattedCitation" : "(52)"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(52)</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Forte</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Clavel, 2012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"10.1016/j.jacc.2011.12.054", "ISSN" : "1558-3597", "PMID" : "22657269", "abstract" : "OBJECTIVES: The aim of this case match study was to compare the outcome of patients with paradoxical low-flow (left ventricular ejection fraction [LVEF] \u226550% but stroke volume index &lt;35 ml/m(2)), low-gradient (mean gradient [MG] &lt;40 mm Hg), a priori severe (aortic valve area [AVA] \u22641.0 cm(2)) aortic stenosis (AS) (PLG-SAS group) with that of patients with a severe AS (AVA \u22641.0 cm(2)) and consistent high-gradient (MG \u226540 mm Hg) (HG-SAS group) and with that of patients with a moderate AS (AVA &gt;1.0 cm(2) and MG &lt;40 mm Hg) (MAS group).\n\nBACKGROUND: In patients with preserved LVEF, a discordance between the AVA (in the severe range) and the gradient (in the moderate range) raises uncertainty with regard to the actual severity of the stenosis and thus the therapeutic management of the patient.\n\nMETHODS: In a prospective cohort of AS patients with LVEF \u226550%, we identified 187 patients in the PLG-SAS group. These patients were retrospectively matched: 1) according to the gradient, with 187 patients with MAS; and 2) according to the AVA, with 187 patients with HG-SAS.\n\nRESULTS: Patients with PLG-SAS had reduced overall survival (1-year: 89 \u00b1 2%; 5-year: 64 \u00b1 4%) compared with patients with HG-SAS (1-year: 96 \u00b1 1%; 5-year: 82 \u00b1 3%) or MAS (1-year: 96 \u00b1 1%; 5-year: 81 \u00b1 3%). After adjustment for other risk factors, patients with PLG-SAS had a 1.71-fold increase in overall mortality and a 2.09-fold increase in cardiovascular mortality compared with the 2 other groups. Aortic valve replacement was significantly associated with improved survival in the HG-SAS group (hazard ratio: 0.18; p = 0.001) and in the PLG-SAS group (hazard ratio: 0.50; p = 0.04) but not in the MAS group.\n\nCONCLUSIONS: Prognosis of patients with paradoxical low-flow, low-gradient severe AS was definitely worse than those with high-gradient severe AS or those with moderate AS. The finding of a low gradient cannot exclude the presence of a severe stenosis in a patient with a small AVA and preserved LVEF and should mandatorily prompt further investigation.", "author" : [ { "dropping-particle" : "", "family" : "Clavel", "given" : "Marie-Annick", "non-dropping-particle" : "", "parse-names" : false, "suffix" : "" }, { "dropping-particle" : "", "family" : "Dumesnil", "given" : "Jean G", "non-dropping-particle" : "", "parse-names" : false, "suffix" : "" }, { "dropping-particle" : "", "family" : "Capoulade", "given" : "Romain", "non-dropping-particle" : "", "parse-names" : false, "suffix" : "" }, { "dropping-particle" : "", "family" : "Mathieu", "given" : "Patrick", "non-dropping-particle" : "", "parse-names" : false, "suffix" : "" }, { "dropping-particle" : "", "family" : "S\u00e9n\u00e9chal", "given" : "Mario", "non-dropping-particle" : "", "parse-names" : false, "suffix" : "" }, { "dropping-particle" : "", "family" : "Pibarot", "given" : "Philippe", "non-dropping-particle" : "", "parse-names" : false, "suffix" : "" } ], "container-title" : "Journal of the American College of Cardiology", "id" : "ITEM-1", "issue" : "14", "issued" : { "date-parts" : [ [ "2012", "10", "2" ] ] }, "page" : "1259-67", "publisher" : "Elsevier Inc.", "title" : "Outcome of patients with aortic stenosis, small valve area, and low-flow, low-gradient despite preserved left ventricular ejection fraction.", "type" : "article-journal", "volume" : "60" }, "uris" : [ "http://www.mendeley.com/documents/?uuid=b14b0826-3cd5-4dcf-86ca-476a0d8efd6b" ] } ], "mendeley" : { "formattedCitation" : "(10)", "plainTextFormattedCitation" : "(10)", "previouslyFormattedCitation" : "(10)"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(10)</w:t>
            </w:r>
            <w:r w:rsidRPr="004C4CB4">
              <w:rPr>
                <w:rFonts w:ascii="Trebuchet MS" w:hAnsi="Trebuchet MS"/>
                <w:bCs/>
              </w:rPr>
              <w:fldChar w:fldCharType="end"/>
            </w:r>
          </w:p>
        </w:tc>
        <w:tc>
          <w:tcPr>
            <w:tcW w:w="1134" w:type="dxa"/>
            <w:tcBorders>
              <w:left w:val="single" w:sz="4" w:space="0" w:color="auto"/>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left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left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left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Mohty,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"10.1161/CIRCULATIONAHA.112.000031", "ISSN" : "1524-4539", "PMID" : "24030412", "abstract" : "BACKGROUND: The clinical relevance and management of paradoxical low-flow, low-gradient aortic stenosis (LFLG-AS) with preserved left ventricular ejection fraction remain debated. The aim of this study is to determine the features and outcome of LFLG-AS assessed using cardiac catheterization.\n\nMETHODS AND RESULTS: Between 2000 and 2010, 768 patients with preserved left ventricular ejection fraction (&gt;50%) and severe AS (valve area \u2264 1 cm(2)) without other valvular disease underwent cardiac catheterization. Mean age was 74 \u00b1 8 years, 42% were women, and 46% had associated coronary artery disease. The prevalence of LFLG (indexed left ventricular stroke volume &lt;35 mL/m(2) and mean gradient &lt;40 mm Hg), normal flow high gradient, normal flow low gradient, and low flow high gradient were 13%, 50%, 22%, and 15%, respectively. Compared with patients with normal flow high gradient, those with LFLG were significantly older, with significantly reduced systemic arterial compliance and vascular resistances and increased valvulo-arterial impedance (all P&lt;0.05). Ten-year survival was reduced in LFLG-AS (32 \u00b1 9%) compared with normal flow high gradient (66 \u00b1 4%; P=0.0002). After adjustment for other risk factors, LFLG-AS was independently associated with reduced long-term survival (hazard ratio, 1.85; 95% confidence interval, 1.08-3.07; P=0.02). However, despite higher operative mortality, patients with LFLG-AS undergoing aortic valve replacement seemed to have better long-term survival than those managed conservatively (5-year survival rate: 63 \u00b1 6% versus 38 \u00b1 15%; P=0.007; hazard ratio, 0.23; 95% confidence interval, 0.09-0.59; P=0.002).\n\nCONCLUSIONS: This large cardiac catheterization-based study reports that the LFLG-AS entity is not rare and is associated with worse outcome whether treated medically or surgically. However, these patients may have better long-term survival if treated surgically. Further prospective studies are needed to confirm this finding.", "author" : [ { "dropping-particle" : "", "family" : "Mohty", "given" : "Dania", "non-dropping-particle" : "", "parse-names" : false, "suffix" : "" }, { "dropping-particle" : "", "family" : "Magne", "given" : "Julien", "non-dropping-particle" : "", "parse-names" : false, "suffix" : "" }, { "dropping-particle" : "", "family" : "Deltreuil", "given" : "Mathieu", "non-dropping-particle" : "", "parse-names" : false, "suffix" : "" }, { "dropping-particle" : "", "family" : "Aboyans", "given" : "Victor", "non-dropping-particle" : "", "parse-names" : false, "suffix" : "" }, { "dropping-particle" : "", "family" : "Echahidi", "given" : "Najmeddine", "non-dropping-particle" : "", "parse-names" : false, "suffix" : "" }, { "dropping-particle" : "", "family" : "Cassat", "given" : "Claude", "non-dropping-particle" : "", "parse-names" : false, "suffix" : "" }, { "dropping-particle" : "", "family" : "Pibarot", "given" : "Philippe", "non-dropping-particle" : "", "parse-names" : false, "suffix" : "" }, { "dropping-particle" : "", "family" : "Laskar", "given" : "Marc", "non-dropping-particle" : "", "parse-names" : false, "suffix" : "" }, { "dropping-particle" : "", "family" : "Virot", "given" : "Patrice", "non-dropping-particle" : "", "parse-names" : false, "suffix" : "" } ], "container-title" : "Circulation", "id" : "ITEM-1", "issue" : "11 Suppl 1", "issued" : { "date-parts" : [ [ "2013", "9", "10" ] ] }, "page" : "S235-42", "title" : "Outcome and impact of surgery in paradoxical low-flow, low-gradient severe aortic stenosis and preserved left ventricular ejection fraction: a cardiac catheterization study.", "type" : "article-journal", "volume" : "128" }, "uris" : [ "http://www.mendeley.com/documents/?uuid=2b5931e4-51c9-4099-99e3-8784ef113744" ] } ], "mendeley" : { "formattedCitation" : "(17)", "plainTextFormattedCitation" : "(17)", "previouslyFormattedCitation" : "(17)"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(17)</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O´Sullivan,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"10.1093/eurheartj/eht408", "ISSN" : "1522-9645", "PMID" : "24096324", "abstract" : "AIMS: Our aim was to evaluate the invasive haemodynamic indices of high-risk symptomatic patients presenting with 'paradoxical' low-flow, low-gradient, severe aortic stenosis (AS) (PLF-LG) and low-flow, low-gradient severe AS (LEF-LG) and to compare clinical outcomes following transcatheter aortic valve implantation (TAVI) among these challenging AS subgroups.\n\nMETHODS AND RESULTS: Of 534 symptomatic patients undergoing TAVI, 385 had a full pre-procedural right and left heart catheterization. A total of 208 patients had high-gradient severe AS [HGAS; mean gradient (MG) \u226540 mmHg], 85 had PLF-LG [MG \u2264 40 mmHg, indexed aortic valve area [iAVA] \u22640.6 cm(2) m(-2), stroke volume index \u226435 mL/m(2), ejection fraction (EF) \u226550%], and 61 had LEF-LG (MG \u2264 40 mmHg, iAVA \u22640.6 cm(2) m(-2), EF \u226440%). Compared with HGAS, PLF-LG and LEF-LG had higher systemic vascular resistances (HGAS: 1912 \u00b1 654 vs.\n\nPLF-LG: 2006 \u00b1 586 vs.\n\nLEF-LG: 2216 \u00b1 765 dyne s m(-5), P = 0.007) but lower valvulo-arterial impedances (HGAS: 7.8 \u00b1 2.7 vs.\n\nPLF-LG: 6.9 \u00b1 1.9 vs.\n\nLEF-LG: 7.7 \u00b1 2.5 mmHg mL(-1) m(-2), P = 0.027). At 30 days, no differences in cardiac death (6.5 vs. 4.9 vs. 6.6%, P = 0.90) or death (8.4 vs. 6.1 vs. 6.6%, P = 0.88) were observed among HGAS, PLF-LG, and LEF-LG groups, respectively. At 1 year, New York Heart Association functional improvement occurred in most surviving patients (HGAS: 69.2% vs.\n\nPLF-LG: 71.7% vs.\n\nLEF-LG: 89.3%, P = 0.09) and no significant differences in overall mortality were observed (17.6 vs. 20.5 vs. 24.5%, P = 0.67). Compared with HGAS, LEF-LG had a higher 1 year cardiac mortality (adjusted hazard ratio 2.45, 95% confidence interval 1.04-5.75, P = 0.04).\n\nCONCLUSION: TAVI in PLF-LG or LEF-LG patients is associated with overall mortality rates comparable with HGAS patients and all groups profit symptomatically to a similar extent.", "author" : [ { "dropping-particle" : "", "family" : "O'Sullivan", "given" : "Crochan J", "non-dropping-particle" : "", "parse-names" : false, "suffix" : "" }, { "dropping-particle" : "", "family" : "Stortecky", "given" : "Stefan", "non-dropping-particle" : "", "parse-names" : false, "suffix" : "" }, { "dropping-particle" : "", "family" : "Heg", "given" : "Dik", "non-dropping-particle" : "", "parse-names" : false, "suffix" : "" }, { "dropping-particle" : "", "family" : "Pilgrim", "given" : "Thomas", "non-dropping-particle" : "", "parse-names" : false, "suffix" : "" }, { "dropping-particle" : "", "family" : "Hosek", "given" : "Nicola", "non-dropping-particle" : "", "parse-names" : false, "suffix" : "" }, { "dropping-particle" : "", "family" : "Buellesfeld", "given" : "Lutz", "non-dropping-particle" : "", "parse-names" : false, "suffix" : "" }, { "dropping-particle" : "", "family" : "Khattab", "given" : "Ahmed a", "non-dropping-particle" : "", "parse-names" : false, "suffix" : "" }, { "dropping-particle" : "", "family" : "Nietlispach", "given" : "Fabian", "non-dropping-particle" : "", "parse-names" : false, "suffix" : "" }, { "dropping-particle" : "", "family" : "Moschovitis", "given" : "Aris", "non-dropping-particle" : "", "parse-names" : false, "suffix" : "" }, { "dropping-particle" : "", "family" : "Zanchin", "given" : "Thomas", "non-dropping-particle" : "", "parse-names" : false, "suffix" : "" }, { "dropping-particle" : "", "family" : "Meier", "given" : "Bernhard", "non-dropping-particle" : "", "parse-names" : false, "suffix" : "" }, { "dropping-particle" : "", "family" : "Windecker", "given" : "Stephan", "non-dropping-particle" : "", "parse-names" : false, "suffix" : "" }, { "dropping-particle" : "", "family" : "Wenaweser", "given" : "Peter", "non-dropping-particle" : "", "parse-names" : false, "suffix" : "" } ], "container-title" : "European heart journal", "id" : "ITEM-1", "issue" : "44", "issued" : { "date-parts" : [ [ "2013", "11" ] ] }, "page" : "3437-50", "title" : "Clinical outcomes of patients with low-flow, low-gradient, severe aortic stenosis and either preserved or reduced ejection fraction undergoing transcatheter aortic valve implantation.", "type" : "article-journal", "volume" : "34" }, "uris" : [ "http://www.mendeley.com/documents/?uuid=11b7d63b-e1c6-4e58-b0da-8c71d4a5f54e" ] } ], "mendeley" : { "formattedCitation" : "(56)", "plainTextFormattedCitation" : "(56)", "previouslyFormattedCitation" : "(56)"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(56)</w:t>
            </w:r>
            <w:r w:rsidRPr="004C4CB4">
              <w:rPr>
                <w:rFonts w:ascii="Trebuchet MS" w:hAnsi="Trebuchet MS"/>
                <w:bCs/>
              </w:rPr>
              <w:fldChar w:fldCharType="end"/>
            </w:r>
          </w:p>
        </w:tc>
        <w:tc>
          <w:tcPr>
            <w:tcW w:w="1134" w:type="dxa"/>
            <w:tcBorders>
              <w:left w:val="single" w:sz="4" w:space="0" w:color="auto"/>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left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left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left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Forte</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Eleid,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"10.1161/CIRCULATIONAHA.113.003071", "ISSN" : "1524-4539", "PMID" : "23956211", "abstract" : "BACKGROUND: Low-gradient severe aortic stenosis with preserved ejection fraction is an increasingly recognized entity, and symptomatic patients may benefit from aortic valve replacement. However, systemic hypertension frequently coexists with low-gradient severe aortic stenosis, which itself may cause elevated left ventricular (LV) filling pressures with resultant symptoms of dyspnea.\n\nMETHODS AND RESULTS: Symptomatic patients with hypertension (aortic systolic pressure &gt;140 mm Hg) and low-gradient (mean gradient &lt;40 mm Hg) severe aortic stenosis (aortic valve area &lt;1 cm(2)) with preserved ejection fraction (ejection fraction &gt;50%) who underwent invasive hemodynamic catheterization of the left and right sides of the heart received infusion of intravenous sodium nitroprusside to reduce blood pressure and arterial afterload. At baseline, patients had severe hypertension (aortic systolic pressure, 176\u00b126 mm Hg), pulmonary hypertension (mean pressure, 39\u00b112 mm Hg), elevated LV end-diastolic pressure (19\u00b15 mm Hg), and reduced stroke volume (33\u00b18 mL/m(2)). All measures of afterload were reduced with nitroprusside (P&lt;0.001 for all). Nitroprusside reduced mean pulmonary artery pressure (25\u00b110 mm Hg) and LV end-diastolic pressure (11\u00b15 mm Hg; P&lt;0.001 for both compared with baseline). Aortic valve area (0.86\u00b10.11 to 1.02\u00b10.16 cm(2); P=0.001) and mean gradient (27\u00b15 to 29\u00b16 mm Hg; P=0.02) increased with nitroprusside.\n\nCONCLUSIONS: Systemic hypertension in low-gradient severe aortic stenosis with preserved ejection fraction is associated with elevated LV filling pressures and pulmonary hypertension. Treatment of hypertension with vasodilator therapy results in a lowering of the total LV afterload, with a decrease in LV filling pressures and pulmonary artery pressures. These findings have important implications for the management of patients with low-gradient severe aortic stenosis with preserved ejection fraction and hypertension.", "author" : [ { "dropping-particle" : "", "family" : "Eleid", "given" : "Mackram F", "non-dropping-particle" : "", "parse-names" : false, "suffix" : "" }, { "dropping-particle" : "", "family" : "Nishimura", "given" : "Rick a", "non-dropping-particle" : "", "parse-names" : false, "suffix" : "" }, { "dropping-particle" : "", "family" : "Sorajja", "given" : "Paul", "non-dropping-particle" : "", "parse-names" : false, "suffix" : "" }, { "dropping-particle" : "", "family" : "Borlaug", "given" : "Barry a", "non-dropping-particle" : "", "parse-names" : false, "suffix" : "" } ], "container-title" : "Circulation", "id" : "ITEM-1", "issue" : "12", "issued" : { "date-parts" : [ [ "2013", "9", "17" ] ] }, "page" : "1349-53", "title" : "Systemic hypertension in low-gradient severe aortic stenosis with preserved ejection fraction.", "type" : "article-journal", "volume" : "128" }, "uris" : [ "http://www.mendeley.com/documents/?uuid=7a1cb55c-e65d-49c6-a851-7e578fc30b9d" ] } ], "mendeley" : { "formattedCitation" : "(53)", "plainTextFormattedCitation" : "(53)", "previouslyFormattedCitation" : "(53)"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(53)</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Herman,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"10.1161/CIRCULATIONAHA.112.001290", "ISSN" : "1524-4539", "PMID" : "23661722", "abstract" : "BACKGROUND: The prognosis and treatment of patients with low-flow (LF) severe aortic stenosis are controversial.\n\nMETHODS AND RESULTS: The Placement of Aortic Transcatheter Valves (PARTNER) trial randomized patients with severe aortic stenosis to medical management versus transcatheter aortic valve replacement (TAVR; inoperable cohort) and surgical aortic valve replacement versus TAVR (high-risk cohort). Among 971 patients with evaluable echocardiograms (92%), LF (stroke volume index \u226435 mL/m(2)) was observed in 530 (55%); LF and low ejection fraction (&lt;50%) in 225 (23%); and LF, low ejection fraction, and low mean gradient (&lt;40 mm Hg) in 147 (15%). Two-year mortality was significantly higher in patients with LF compared with those with normal stroke volume index (47% versus 34%; hazard ratio, 1.5; 95% confidence interval, 1.25-1.89; P=0.006). In the inoperable cohort, patients with LF had higher mortality than those with normal flow, but both groups improved with TAVR (46% versus 76% with LF and 38% versus 53% with normal flow; P&lt;0.001). In the high-risk cohort, there was no difference between TAVR and surgical aortic valve replacement. In patients with paradoxical LF and low gradient (preserved ejection fraction), TAVR reduced 1-year mortality from 66% to 35% (hazard ratio, 0.38; P=0.02). LF was an independent predictor of mortality in all patient cohorts (hazard ratio, \u22481.5), whereas ejection fraction and gradient were not.\n\nCONCLUSIONS: LF is common in severe aortic stenosis and independently predicts mortality. Survival is improved with TAVR compared with medical management and similar with TAVR and surgical aortic valve replacement. A measure of flow (stroke volume index) should be included in the evaluation and therapeutic decision making of patients with severe aortic stenosis.\n\nCLINICAL TRIAL REGISTRATION: URL: http://www.clinicaltrial.gov. Unique identifier: NCT0053089.4.", "author" : [ { "dropping-particle" : "", "family" : "Herrmann", "given" : "Howard C", "non-dropping-particle" : "", "parse-names" : false, "suffix" : "" }, { "dropping-particle" : "", "family" : "Pibarot", "given" : "Philippe", "non-dropping-particle" : "", "parse-names" : false, "suffix" : "" }, { "dropping-particle" : "", "family" : "Hueter", "given" : "Irene", "non-dropping-particle" : "", "parse-names" : false, "suffix" : "" }, { "dropping-particle" : "", "family" : "Gertz", "given" : "Zachary M", "non-dropping-particle" : "", "parse-names" : false, "suffix" : "" }, { "dropping-particle" : "", "family" : "Stewart", "given" : "William J", "non-dropping-particle" : "", "parse-names" : false, "suffix" : "" }, { "dropping-particle" : "", "family" : "Kapadia", "given" : "Samir", "non-dropping-particle" : "", "parse-names" : false, "suffix" : "" }, { "dropping-particle" : "", "family" : "Tuzcu", "given" : "E Murat", "non-dropping-particle" : "", "parse-names" : false, "suffix" : "" }, { "dropping-particle" : "", "family" : "Babaliaros", "given" : "Vasilis", "non-dropping-particle" : "", "parse-names" : false, "suffix" : "" }, { "dropping-particle" : "", "family" : "Thourani", "given" : "Vinod", "non-dropping-particle" : "", "parse-names" : false, "suffix" : "" }, { "dropping-particle" : "", "family" : "Szeto", "given" : "Wilson Y", "non-dropping-particle" : "", "parse-names" : false, "suffix" : "" }, { "dropping-particle" : "", "family" : "Bavaria", "given" : "Joseph E", "non-dropping-particle" : "", "parse-names" : false, "suffix" : "" }, { "dropping-particle" : "", "family" : "Kodali", "given" : "Susheel", "non-dropping-particle" : "", "parse-names" : false, "suffix" : "" }, { "dropping-particle" : "", "family" : "Hahn", "given" : "Rebecca T", "non-dropping-particle" : "", "parse-names" : false, "suffix" : "" }, { "dropping-particle" : "", "family" : "Williams", "given" : "Mathew", "non-dropping-particle" : "", "parse-names" : false, "suffix" : "" }, { "dropping-particle" : "", "family" : "Miller", "given" : "D Craig", "non-dropping-particle" : "", "parse-names" : false, "suffix" : "" }, { "dropping-particle" : "", "family" : "Douglas", "given" : "Pamela S", "non-dropping-particle" : "", "parse-names" : false, "suffix" : "" }, { "dropping-particle" : "", "family" : "Leon", "given" : "Martin B", "non-dropping-particle" : "", "parse-names" : false, "suffix" : "" } ], "container-title" : "Circulation", "id" : "ITEM-1", "issue" : "23", "issued" : { "date-parts" : [ [ "2013", "6", "11" ] ] }, "page" : "2316-26", "title" : "Predictors of mortality and outcomes of therapy in low-flow severe aortic stenosis: a Placement of Aortic Transcatheter Valves (PARTNER) trial analysis.", "type" : "article-journal", "volume" : "127" }, "uris" : [ "http://www.mendeley.com/documents/?uuid=7e770a1c-cb9b-4e63-9200-f7f6de9bccf3" ] } ], "mendeley" : { "formattedCitation" : "(50)", "plainTextFormattedCitation" : "(50)", "previouslyFormattedCitation" : "(50)"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(50)</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Ozkan,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"10.1161/CIRCULATIONAHA.112.001094", "ISSN" : "1524-4539", "PMID" : "23812184", "abstract" : "BACKGROUND: The optimal management of low-gradient \"severe\" aortic stenosis (mean gradient &lt;40 mm Hg, indexed aortic valve area \u22640.6 cm2/m2) with preserved left ventricular ejection fraction remains controversial because gradients may be similar after aortic valve replacement (AVR). We compared outcomes of low-gradient severe aortic stenosis with AVR or medical therapy.\n\nMETHODS AND RESULTS: Comprehensive echocardiographic measurements including hemodynamic calculations were completed in 260 prospectively identified patients with symptomatic low-gradient severe aortic stenosis. Patients were followed up for mortality over 28\u00b124 months. AVR was performed in 123 patients (47%). Compared with AVR patients, medically treated patients had a higher prevalence of diabetes mellitus (25% versus 41%, P=0.009), lower stroke volume index (36.4\u00b18.4 versus 34.4\u00b18.7 mL/m2, P=0.02), higher pulmonary artery pressure (38\u00b111 versus 48\u00b121 mm Hg, P=0.001), and higher creatinine level (1.1\u00b10.4 versus 1.22\u00b10.5 mg/dL, P=0.02). These and other clinically relevant variables were entered into a propensity model that reflected likelihood of referral to AVR. This score and other variables were entered into a Cox model to explore the independent effect of AVR on outcome. During follow-up, 105 patients died (40%): 32 (30%) in the AVR group and 73 (70%) in the medical treatment group. AVR (hazard ratio, 0.54; 95% confidence interval, 0.32-0.94; P&lt;0.001) was independently associated with outcome and remained a strong predictor of survival after adjustment for propensity score. Medical therapy was associated with 2-fold greater all-cause mortality than AVR. The protective effect of AVR was similar in 125 patients with normal flow (stroke volume index &gt;35 mL/m2; P=0.22).\n\nCONCLUSIONS: AVR is associated with better survival than medical therapy in patients with symptomatic low-gradient severe AS and preserved left ventricular ejection fraction.", "author" : [ { "dropping-particle" : "", "family" : "Ozkan", "given" : "Alper", "non-dropping-particle" : "", "parse-names" : false, "suffix" : "" }, { "dropping-particle" : "", "family" : "Hachamovitch", "given" : "Rory", "non-dropping-particle" : "", "parse-names" : false, "suffix" : "" }, { "dropping-particle" : "", "family" : "Kapadia", "given" : "Samir R", "non-dropping-particle" : "", "parse-names" : false, "suffix" : "" }, { "dropping-particle" : "", "family" : "Tuzcu", "given" : "E Murat", "non-dropping-particle" : "", "parse-names" : false, "suffix" : "" }, { "dropping-particle" : "", "family" : "Marwick", "given" : "Thomas H", "non-dropping-particle" : "", "parse-names" : false, "suffix" : "" } ], "container-title" : "Circulation", "id" : "ITEM-1", "issue" : "6", "issued" : { "date-parts" : [ [ "2013", "8", "6" ] ] }, "page" : "622-31", "title" : "Impact of aortic valve replacement on outcome of symptomatic patients with severe aortic stenosis with low gradient and preserved left ventricular ejection fraction.", "type" : "article-journal", "volume" : "128" }, "uris" : [ "http://www.mendeley.com/documents/?uuid=7cd64d5f-06ac-49b3-8aa2-12c83c42aacb" ] } ], "mendeley" : { "formattedCitation" : "(54)", "plainTextFormattedCitation" : "(54)", "previouslyFormattedCitation" : "(54)"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(54)</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Eleid, 2013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"10.1161/CIRCULATIONAHA.113.003695", "ISSN" : "00097322", "PMID" : "24048203", "abstract" : "BACKGROUND: Among patients with severe aortic stenosis (AS) and preserved ejection fraction, those with low gradient (LG) and reduced stroke volume may have an adverse prognosis. We investigated the prognostic impact of stroke volume using the recently proposed flow-gradient classification.\\n\\nMETHODS AND RESULTS: We examined 1704 consecutive patients with severe AS (aortic valve area &lt;1.0 cm(2)) and preserved ejection fraction (\u226550%) using 2-dimensional and Doppler echocardiography. Patients were stratified by stroke volume index (&lt;35 mL/m(2) [low flow, LF] versus \u226535 mL/m(2) [normal flow, NF]) and aortic gradient (&lt;40 mm\u2009Hg [LG] versus \u226540 mm\u2009Hg [high gradient, HG]) into 4 groups: NF/HG, NF/LG, LF/HG, and LF/LG. NF/LG (n=352, 21%), was associated with favorable survival with medical management (2-year estimate, 82% versus 67% in NF/HG; P&lt;0.0001). LF/LG severe AS (n=53, 3%) was characterized by lower ejection fraction, more prevalent atrial fibrillation and heart failure, reduced arterial compliance, and reduced survival (2-year estimate, 60% versus 82% in NF/HG; P&lt;0.001). In multivariable analysis, the LF/LG pattern was the strongest predictor of mortality (hazard ratio, 3.26; 95% confidence interval, 1.71-6.22; P&lt;0.001 versus NF/LG). Aortic valve replacement was associated with a 69% mortality reduction (hazard ratio, 0.31; 95% confidence interval, 0.25-0.39; P&lt;0.0001) in LF/LG and NF/HG, with no survival benefit associated with aortic valve replacement in NF/LG and LF/HG.\\n\\nCONCLUSIONS: NF/LG severe AS with preserved ejection fraction exhibits favorable survival with medical management, and the impact of aortic valve replacement on survival was neutral. LF/LG severe AS is characterized by a high prevalence of atrial fibrillation, heart failure, and reduced survival, and aortic valve replacement was associated with improved survival. These findings have implications for the evaluation and subsequent management of AS severity.", "author" : [ { "dropping-particle" : "", "family" : "Eleid", "given" : "MacKram F.", "non-dropping-particle" : "", "parse-names" : false, "suffix" : "" }, { "dropping-particle" : "", "family" : "Sorajja", "given" : "Paul", "non-dropping-particle" : "", "parse-names" : false, "suffix" : "" }, { "dropping-particle" : "", "family" : "Michelena", "given" : "Hector I.", "non-dropping-particle" : "", "parse-names" : false, "suffix" : "" }, { "dropping-particle" : "", "family" : "Malouf", "given" : "Joseph F.", "non-dropping-particle" : "", "parse-names" : false, "suffix" : "" }, { "dropping-particle" : "", "family" : "Scott", "given" : "Christopher G.", "non-dropping-particle" : "", "parse-names" : false, "suffix" : "" }, { "dropping-particle" : "", "family" : "Pellikka", "given" : "Patricia a.", "non-dropping-particle" : "", "parse-names" : false, "suffix" : "" } ], "container-title" : "Circulation", "id" : "ITEM-1", "issued" : { "date-parts" : [ [ "2013" ] ] }, "page" : "1781-1789", "title" : "Flow-gradient patterns in severe aortic stenosis with preserved ejection fraction: Clinical characteristics and predictors of survival", "type" : "article-journal", "volume" : "128" }, "uris" : [ "http://www.mendeley.com/documents/?uuid=ef51fe17-e817-4e2d-b0b9-3d04533c41de" ] } ], "mendeley" : { "formattedCitation" : "(7)", "plainTextFormattedCitation" : "(7)", "previouslyFormattedCitation" : "(7)"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(7)</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Mohty 2014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"10.1161/CIRCULATIONAHA.113.007819", "ISSN" : "1524-4539", "PMID" : "25200051", "abstract" : "BACKGROUND: Patients with severe aortic stenosis (AS) and paradoxical low flow (PLF) have worse outcome compared with those with normal flow. Furthermore, prosthesis-patient mismatch (PPM) after aortic valve replacement is a predictor of reduced survival. However, the prevalence and prognostic impact of PPM in patients with PLF-AS are unknown. We aimed to analyze the prevalence and long-term survival of PPM in patients with PLF-AS.\n\nMETHODS AND RESULTS: Between 2000 and 2010, 677 patients with severe AS, preserved left ventricular ejection fraction, and aortic valve replacement were included (74\u00b18 years; 42% women; aortic valve area, 0.69\u00b10.16 cm(2)). A PLF (indexed stroke volume \u226435 mL/m(2)) was found in 26%, and after aortic valve replacement, 54% of patients had PPM, defined as an indexed effective orifice area \u22640.85 cm(2)/m(2). The combined presence of PLF and PPM was found in 15%. Compared with patients with noPLF/noPPM, those with PLF/PPM were significantly older, with more comorbidities. They also received smaller and biological bioprosthesis more often (all P&lt;0.01). Although early mortality was not significantly different between groups, the 10-year survival rate was significantly reduced in case of PLF/PPM compared with noPLF/noPPM (38\u00b19% versus 70\u00b15%; P=0.002), even after multivariable adjustment (hazard ratio, 2.58; 95% confidence interval, 1.5-4.45; P=0.0007).\n\nCONCLUSIONS: In this large catheterization-based study, the coexistence of PLF-AS before surgery and PPM after surgery is associated with the poorest outcome.", "author" : [ { "dropping-particle" : "", "family" : "Mohty", "given" : "Dania", "non-dropping-particle" : "", "parse-names" : false, "suffix" : "" }, { "dropping-particle" : "", "family" : "Boulogne", "given" : "Cyrille", "non-dropping-particle" : "", "parse-names" : false, "suffix" : "" }, { "dropping-particle" : "", "family" : "Magne", "given" : "Julien", "non-dropping-particle" : "", "parse-names" : false, "suffix" : "" }, { "dropping-particle" : "", "family" : "Pibarot", "given" : "Philippe", "non-dropping-particle" : "", "parse-names" : false, "suffix" : "" }, { "dropping-particle" : "", "family" : "Echahidi", "given" : "Najmeddine", "non-dropping-particle" : "", "parse-names" : false, "suffix" : "" }, { "dropping-particle" : "", "family" : "Cornu", "given" : "Elisabeth", "non-dropping-particle" : "", "parse-names" : false, "suffix" : "" }, { "dropping-particle" : "", "family" : "Dumesnil", "given" : "Jean", "non-dropping-particle" : "", "parse-names" : false, "suffix" : "" }, { "dropping-particle" : "", "family" : "Laskar", "given" : "Marc", "non-dropping-particle" : "", "parse-names" : false, "suffix" : "" }, { "dropping-particle" : "", "family" : "Virot", "given" : "Patrice", "non-dropping-particle" : "", "parse-names" : false, "suffix" : "" }, { "dropping-particle" : "", "family" : "Aboyans", "given" : "Victor", "non-dropping-particle" : "", "parse-names" : false, "suffix" : "" } ], "container-title" : "Circulation", "id" : "ITEM-1", "issue" : "11 Suppl 1", "issued" : { "date-parts" : [ [ "2014", "9", "9" ] ] }, "page" : "S25-31", "title" : "Prevalence and long-term outcome of aortic prosthesis-patient mismatch in patients with paradoxical low-flow severe aortic stenosis.", "type" : "article-journal", "volume" : "130" }, "uris" : [ "http://www.mendeley.com/documents/?uuid=3c41905c-1876-4277-8ab6-d23f776d3bc0" ] } ], "mendeley" : { "formattedCitation" : "(55)", "plainTextFormattedCitation" : "(55)", "previouslyFormattedCitation" : "(55)"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(55)</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Clavel, 2014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"10.1093/eurheartj/ehu152", "ISSN" : "1522-9645", "PMID" : "24755006", "abstract" : "AIMS: We reported that patients with small aortic valve area (AVA) and low flow despite preserved left ventricular ejection fraction (LVEF), i.e. 'paradoxical' low flow (PLF), have worse outcomes compared with patients with normal flow (NF), although they generally have a lower mean gradient (MG). The aortic valve weight (AVW) excised at the time of valve replacement is a flow-independent marker of stenosis severity. The objective of this study was to compare the AVW of patients with PLF and MG&lt;40 mmHg with the AVW of patients with NF and MG\u226540 mmHg.\n\nMETHODS AND RESULTS: We recruited 250 consecutive patients undergoing valve replacement (Cohort A) for severe stenosis. Among them, 33 (13%) were in PLF [LVEF &gt; 50% but stroke volume index (SVi) \u2264 35 mL/m(2)] with MG &lt; 40 mmHg (PLF-LG group) and 105 (42%) were in NF (LVEF &gt; 50% and SVi &gt; 35 mL/m(2)) with MG \u2265 40 mmHg (NF-HG group). Despite a much lower MG (29 \u00b1 7 vs. 53 \u00b1 10 mmHg; P &lt; 0.0001), patients in the PLF-LG group had a similar AVA (0.73 \u00b1 0.12 vs. 0.69 \u00b1 0.13; P = 0.19) compared with those in the NF-HG group. The AVW [median (interquartile): 1.90 (1.63-2.50) vs. 2.60 (1.66-3.32)] and prevalence of bicuspid phenotype (15 vs. 42%) were lower in the PLF-LG group than in the NF-HG group. However, AVWs analysed separately in the tricuspid and bicuspid valves were similar in both groups [tricuspid valves: 1.80 (1.63-2.50) vs. 2.30 (1.58-3.00) g; P = 0.26 and bicuspid valves: 2.72 (1.73-3.61) vs. 2.60 (2.10-3.55) g; P = 0.93]. When using cut-point values of AVW established in another series of non-consecutive patients (n = 150, Cohort B) with NF and concordant Doppler-echocardiographic findings, we found that the percentage of patients with evidence of severe stenosis in Cohort A was 70% in patients with PLF-LG and 86% in patients with NF-HG.\n\nCONCLUSION: The aortic valve weight data reported in this study provide evidence that a large proportion of patients with PLF and low-gradient have a severe stenosis and that the gradient may substantially underestimate stenosis severity in these patients. A multi-parametric approach including all Doppler-echocardiographic parameters of valve function as well as other complementary diagnostic tests may help correctly identify these patients.", "author" : [ { "dropping-particle" : "", "family" : "Clavel", "given" : "Marie-Annick", "non-dropping-particle" : "", "parse-names" : false, "suffix" : "" }, { "dropping-particle" : "", "family" : "C\u00f4t\u00e9", "given" : "Nancy", "non-dropping-particle" : "", "parse-names" : false, "suffix" : "" }, { "dropping-particle" : "", "family" : "Mathieu", "given" : "Patrick", "non-dropping-particle" : "", "parse-names" : false, "suffix" : "" }, { "dropping-particle" : "", "family" : "Dumesnil", "given" : "Jean G", "non-dropping-particle" : "", "parse-names" : false, "suffix" : "" }, { "dropping-particle" : "", "family" : "Audet", "given" : "Audrey", "non-dropping-particle" : "", "parse-names" : false, "suffix" : "" }, { "dropping-particle" : "", "family" : "P\u00e9pin", "given" : "Andr\u00e9e", "non-dropping-particle" : "", "parse-names" : false, "suffix" : "" }, { "dropping-particle" : "", "family" : "Couture", "given" : "Christian", "non-dropping-particle" : "", "parse-names" : false, "suffix" : "" }, { "dropping-particle" : "", "family" : "Fournier", "given" : "Dominique", "non-dropping-particle" : "", "parse-names" : false, "suffix" : "" }, { "dropping-particle" : "", "family" : "Trahan", "given" : "Sylvain", "non-dropping-particle" : "", "parse-names" : false, "suffix" : "" }, { "dropping-particle" : "", "family" : "Pag\u00e9", "given" : "Sylvain", "non-dropping-particle" : "", "parse-names" : false, "suffix" : "" }, { "dropping-particle" : "", "family" : "Pibarot", "given" : "Philippe", "non-dropping-particle" : "", "parse-names" : false, "suffix" : "" } ], "container-title" : "European heart journal", "id" : "ITEM-1", "issue" : "38", "issued" : { "date-parts" : [ [ "2014", "10", "7" ] ] }, "page" : "2655-62", "title" : "Paradoxical low-flow, low-gradient aortic stenosis despite preserved left ventricular ejection fraction: new insights from weights of operatively excised aortic valves.", "type" : "article-journal", "volume" : "35" }, "uris" : [ "http://www.mendeley.com/documents/?uuid=d865f83a-1bcd-4b9c-8dc3-d4d555168ca4" ] } ], "mendeley" : { "formattedCitation" : "(41)", "plainTextFormattedCitation" : "(41)", "previouslyFormattedCitation" : "(41)"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(41)</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top w:val="single" w:sz="8" w:space="0" w:color="000000"/>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Maes, 2014 </w:t>
            </w:r>
            <w:r w:rsidRPr="004C4CB4">
              <w:rPr>
                <w:rFonts w:ascii="Trebuchet MS" w:hAnsi="Trebuchet MS"/>
                <w:bCs/>
              </w:rPr>
              <w:fldChar w:fldCharType="begin" w:fldLock="1"/>
            </w:r>
            <w:r w:rsidRPr="004C4CB4">
              <w:rPr>
                <w:rFonts w:ascii="Trebuchet MS" w:hAnsi="Trebuchet MS"/>
                <w:bCs/>
              </w:rPr>
              <w:instrText>ADDIN CSL_CITATION { "citationItems" : [ { "id" : "ITEM-1", "itemData" : { "DOI" : "10.1161/CIRCIMAGING.113.001695", "ISSN" : "19420080", "PMID" : "24777938", "abstract" : "BACKGROUND: Up to 30% of patients with severe aortic stenosis (SAS; indexed aortic valve area &lt;0.6 cm(2)/m(2)) present with low transvalvular gradient despite a normal left ventricular ejection fraction. Presently, there is intense controversy as to the prognostic implications of such findings. Accordingly, the aim of the present work was to compare the natural history of patients with paradoxical low-gradient (PLG) or high-gradient (HG) SAS.\\n\\nMETHODS AND RESULTS: We prospectively studied 349 patients with SAS and preserved left ventricular ejection fraction. Patients were categorized into HG-SAS (n=144) and PLG-SAS (n=205) according to mean transvalvular gradient (mean gradient &gt;40 or \u226440 mm Hg). Primary end points were all-cause mortality and echocardiographic disease progression. To evaluate natural history, patients undergoing aortic valve replacement were censored at the time of surgery (n=92). During a median follow-up of 28 months, 148 patients died. Kaplan-Meier survival curves showed better survival in PLG-SAS than in HG-SAS, both in the overall population (48% versus 31%; P&lt;0.01) and in the asymptomatic subgroup (59% versus 35%; P&lt;0.02). In asymptomatic patients, Cox analysis identified age, diabetes mellitus, left atrial volume, and mean gradient as independent predictors of death. Finally, at last echocardiographic follow-up, PLG-SAS demonstrated significant increases in mean gradient (from 29\u00b16 to 38\u00b111 mm Hg; P&lt;0.001).\\n\\nCONCLUSIONS: Our study indicates that PLG-SAS is a less malignant form of AS compared with HG-SAS, because their spontaneous outcome is better. We further demonstrated that patients with PLG-SAS are en route toward the more severe HG-SAS form, because the majority of them evolve into HG-SAS over time.", "author" : [ { "dropping-particle" : "", "family" : "Maes", "given" : "Fr\u00e9d\u00e9ric", "non-dropping-particle" : "", "parse-names" : false, "suffix" : "" }, { "dropping-particle" : "", "family" : "Boulif", "given" : "Jamila", "non-dropping-particle" : "", "parse-names" : false, "suffix" : "" }, { "dropping-particle" : "", "family" : "Pi\u00e9rard", "given" : "Sophie", "non-dropping-particle" : "", "parse-names" : false, "suffix" : "" }, { "dropping-particle" : "", "family" : "Meester", "given" : "Christophe", "non-dropping-particle" : "De", "parse-names" : false, "suffix" : "" }, { "dropping-particle" : "", "family" : "Melchior", "given" : "Julie", "non-dropping-particle" : "", "parse-names" : false, "suffix" : "" }, { "dropping-particle" : "", "family" : "Gerber", "given" : "Bernhard", "non-dropping-particle" : "", "parse-names" : false, "suffix" : "" }, { "dropping-particle" : "", "family" : "Vancraeynest", "given" : "David", "non-dropping-particle" : "", "parse-names" : false, "suffix" : "" }, { "dropping-particle" : "", "family" : "Pouleur", "given" : "Anne Catherine", "non-dropping-particle" : "", "parse-names" : false, "suffix" : "" }, { "dropping-particle" : "", "family" : "Lazam", "given" : "Siham", "non-dropping-particle" : "", "parse-names" : false, "suffix" : "" }, { "dropping-particle" : "", "family" : "Pasquet", "given" : "Agn\u00e8s", "non-dropping-particle" : "", "parse-names" : false, "suffix" : "" }, { "dropping-particle" : "", "family" : "Vanoverschelde", "given" : "Jean Louis", "non-dropping-particle" : "", "parse-names" : false, "suffix" : "" } ], "container-title" : "Circulation: Cardiovascular Imaging", "id" : "ITEM-1", "issued" : { "date-parts" : [ [ "2014" ] ] }, "page" : "714-722", "title" : "Natural history of paradoxical low-gradient severe aortic stenosis", "type" : "article-journal", "volume" : "7" }, "uris" : [ "http://www.mendeley.com/documents/?uuid=e0b452bb-d50f-436c-97a1-4dd2eed55364" ] } ], "mendeley" : { "formattedCitation" : "(22)", "plainTextFormattedCitation" : "(22)", "previouslyFormattedCitation" : "(22)"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(22)</w:t>
            </w:r>
            <w:r w:rsidRPr="004C4CB4">
              <w:rPr>
                <w:rFonts w:ascii="Trebuchet MS" w:hAnsi="Trebuchet MS"/>
                <w:bCs/>
              </w:rPr>
              <w:fldChar w:fldCharType="end"/>
            </w:r>
          </w:p>
        </w:tc>
        <w:tc>
          <w:tcPr>
            <w:tcW w:w="1134" w:type="dxa"/>
            <w:tcBorders>
              <w:top w:val="single" w:sz="8" w:space="0" w:color="000000"/>
              <w:left w:val="single" w:sz="4" w:space="0" w:color="auto"/>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Fraco</w:t>
            </w:r>
          </w:p>
        </w:tc>
        <w:tc>
          <w:tcPr>
            <w:tcW w:w="17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701" w:type="dxa"/>
            <w:tcBorders>
              <w:top w:val="single" w:sz="8" w:space="0" w:color="000000"/>
              <w:left w:val="single" w:sz="8" w:space="0" w:color="000000"/>
              <w:bottom w:val="single" w:sz="8" w:space="0" w:color="000000"/>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853" w:type="dxa"/>
            <w:tcBorders>
              <w:top w:val="single" w:sz="8" w:space="0" w:color="000000"/>
              <w:left w:val="single" w:sz="8" w:space="0" w:color="000000"/>
              <w:bottom w:val="single" w:sz="8" w:space="0" w:color="000000"/>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Moderado</w:t>
            </w:r>
          </w:p>
        </w:tc>
      </w:tr>
      <w:tr w:rsidR="004C4CB4" w:rsidRPr="004C4CB4" w:rsidTr="004C4CB4">
        <w:tc>
          <w:tcPr>
            <w:tcW w:w="2410" w:type="dxa"/>
            <w:tcBorders>
              <w:bottom w:val="single" w:sz="8" w:space="0" w:color="000000"/>
              <w:right w:val="single" w:sz="4" w:space="0" w:color="auto"/>
            </w:tcBorders>
          </w:tcPr>
          <w:p w:rsidR="004C4CB4" w:rsidRPr="004C4CB4" w:rsidRDefault="004C4CB4" w:rsidP="00F7235E">
            <w:pPr>
              <w:spacing w:line="360" w:lineRule="auto"/>
              <w:jc w:val="left"/>
              <w:rPr>
                <w:rFonts w:ascii="Trebuchet MS" w:hAnsi="Trebuchet MS"/>
                <w:bCs/>
              </w:rPr>
            </w:pPr>
            <w:r w:rsidRPr="004C4CB4">
              <w:rPr>
                <w:rFonts w:ascii="Trebuchet MS" w:hAnsi="Trebuchet MS"/>
                <w:bCs/>
              </w:rPr>
              <w:t xml:space="preserve">Lauten 2014 </w:t>
            </w:r>
            <w:r w:rsidRPr="004C4CB4">
              <w:rPr>
                <w:rFonts w:ascii="Trebuchet MS" w:hAnsi="Trebuchet MS"/>
                <w:bCs/>
              </w:rPr>
              <w:fldChar w:fldCharType="begin" w:fldLock="1"/>
            </w:r>
            <w:r w:rsidRPr="004C4CB4">
              <w:rPr>
                <w:rFonts w:ascii="Trebuchet MS" w:hAnsi="Trebuchet MS"/>
                <w:bCs/>
              </w:rPr>
              <w:instrText>ADDIN CSL_CITATION { "citationItems" : [ { "id" : "ITEM-1", "itemData" : { "author" : [ { "dropping-particle" : "", "family" : "Lauten", "given" : "Alexander", "non-dropping-particle" : "", "parse-names" : false, "suffix" : "" }, { "dropping-particle" : "", "family" : "Figulla", "given" : "R", "non-dropping-particle" : "", "parse-names" : false, "suffix" : "" }, { "dropping-particle" : "", "family" : "K\u00f6ttins", "given" : "Joachim", "non-dropping-particle" : "", "parse-names" : false, "suffix" : "" }, { "dropping-particle" : "", "family" : "Beckmann", "given" : "Andreas", "non-dropping-particle" : "", "parse-names" : false, "suffix" : "" }, { "dropping-particle" : "", "family" : "Veit", "given" : "Christof", "non-dropping-particle" : "", "parse-names" : false, "suffix" : "" }, { "dropping-particle" : "", "family" : "B\u00f6hm", "given" : "Michael", "non-dropping-particle" : "", "parse-names" : false, "suffix" : "" }, { "dropping-particle" : "", "family" : "Heusch", "given" : "Gerd", "non-dropping-particle" : "", "parse-names" : false, "suffix" : "" }, { "dropping-particle" : "", "family" : "Meineriz", "given" : "Thomas", "non-dropping-particle" : "", "parse-names" : false, "suffix" : "" }, { "dropping-particle" : "", "family" : "Neumann", "given" : "Till", "non-dropping-particle" : "", "parse-names" : false, "suffix" : "" }, { "dropping-particle" : "", "family" : "Welz", "given" : "Armin", "non-dropping-particle" : "", "parse-names" : false, "suffix" : "" }, { "dropping-particle" : "", "family" : "Hamm", "given" : "Christian W", "non-dropping-particle" : "", "parse-names" : false, "suffix" : "" } ], "container-title" : "EuroIntervention", "id" : "ITEM-1", "issue" : "10", "issued" : { "date-parts" : [ [ "2014" ] ] }, "page" : "850-859", "title" : "TAVI for Iow-flow , low-gradient severe aortic steriosis with preserved or reduced ejection fraction : a subgroup analysis from the German Aortic Valve Registry ( GARY )", "type" : "article-journal", "volume" : "2" }, "uris" : [ "http://www.mendeley.com/documents/?uuid=a8e6ef20-c4b0-4507-8f5e-c2ffc5729c64" ] } ], "mendeley" : { "formattedCitation" : "(57)", "plainTextFormattedCitation" : "(57)", "previouslyFormattedCitation" : "(57)" }, "properties" : { "noteIndex" : 0 }, "schema" : "https://github.com/citation-style-language/schema/raw/master/csl-citation.json" }</w:instrText>
            </w:r>
            <w:r w:rsidRPr="004C4CB4">
              <w:rPr>
                <w:rFonts w:ascii="Trebuchet MS" w:hAnsi="Trebuchet MS"/>
                <w:bCs/>
              </w:rPr>
              <w:fldChar w:fldCharType="separate"/>
            </w:r>
            <w:r w:rsidRPr="004C4CB4">
              <w:rPr>
                <w:rFonts w:ascii="Trebuchet MS" w:hAnsi="Trebuchet MS"/>
                <w:noProof/>
              </w:rPr>
              <w:t>(57)</w:t>
            </w:r>
            <w:r w:rsidRPr="004C4CB4">
              <w:rPr>
                <w:rFonts w:ascii="Trebuchet MS" w:hAnsi="Trebuchet MS"/>
                <w:bCs/>
              </w:rPr>
              <w:fldChar w:fldCharType="end"/>
            </w:r>
          </w:p>
        </w:tc>
        <w:tc>
          <w:tcPr>
            <w:tcW w:w="1134" w:type="dxa"/>
            <w:tcBorders>
              <w:top w:val="single" w:sz="8" w:space="0" w:color="000000"/>
              <w:left w:val="single" w:sz="4" w:space="0" w:color="auto"/>
              <w:bottom w:val="single" w:sz="4" w:space="0" w:color="auto"/>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bottom w:val="single" w:sz="4" w:space="0" w:color="auto"/>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973" w:type="dxa"/>
            <w:tcBorders>
              <w:top w:val="single" w:sz="8" w:space="0" w:color="000000"/>
              <w:left w:val="single" w:sz="8" w:space="0" w:color="000000"/>
              <w:bottom w:val="single" w:sz="4" w:space="0" w:color="auto"/>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417" w:type="dxa"/>
            <w:tcBorders>
              <w:top w:val="single" w:sz="8" w:space="0" w:color="000000"/>
              <w:bottom w:val="single" w:sz="4" w:space="0" w:color="auto"/>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1701" w:type="dxa"/>
            <w:tcBorders>
              <w:top w:val="single" w:sz="8" w:space="0" w:color="000000"/>
              <w:left w:val="single" w:sz="8" w:space="0" w:color="000000"/>
              <w:bottom w:val="single" w:sz="4" w:space="0" w:color="auto"/>
              <w:right w:val="single" w:sz="8" w:space="0" w:color="000000"/>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Forte</w:t>
            </w:r>
          </w:p>
        </w:tc>
        <w:tc>
          <w:tcPr>
            <w:tcW w:w="2001" w:type="dxa"/>
            <w:tcBorders>
              <w:top w:val="single" w:sz="8" w:space="0" w:color="000000"/>
              <w:bottom w:val="single" w:sz="4" w:space="0" w:color="auto"/>
            </w:tcBorders>
          </w:tcPr>
          <w:p w:rsidR="004C4CB4" w:rsidRPr="004C4CB4" w:rsidRDefault="004C4CB4" w:rsidP="00F7235E">
            <w:pPr>
              <w:spacing w:line="360" w:lineRule="auto"/>
              <w:jc w:val="center"/>
              <w:rPr>
                <w:rFonts w:ascii="Trebuchet MS" w:hAnsi="Trebuchet MS"/>
              </w:rPr>
            </w:pPr>
            <w:r w:rsidRPr="004C4CB4">
              <w:rPr>
                <w:rFonts w:ascii="Trebuchet MS" w:hAnsi="Trebuchet MS"/>
              </w:rPr>
              <w:t>Moderado</w:t>
            </w:r>
          </w:p>
        </w:tc>
        <w:tc>
          <w:tcPr>
            <w:tcW w:w="1853" w:type="dxa"/>
            <w:tcBorders>
              <w:top w:val="single" w:sz="8" w:space="0" w:color="000000"/>
              <w:left w:val="single" w:sz="8" w:space="0" w:color="000000"/>
              <w:bottom w:val="single" w:sz="4" w:space="0" w:color="auto"/>
              <w:right w:val="single" w:sz="4" w:space="0" w:color="auto"/>
            </w:tcBorders>
          </w:tcPr>
          <w:p w:rsidR="004C4CB4" w:rsidRPr="004C4CB4" w:rsidRDefault="004C4CB4" w:rsidP="00F7235E">
            <w:pPr>
              <w:spacing w:line="360" w:lineRule="auto"/>
              <w:jc w:val="center"/>
              <w:rPr>
                <w:rFonts w:ascii="Trebuchet MS" w:hAnsi="Trebuchet MS"/>
                <w:bCs/>
              </w:rPr>
            </w:pPr>
            <w:r w:rsidRPr="004C4CB4">
              <w:rPr>
                <w:rFonts w:ascii="Trebuchet MS" w:hAnsi="Trebuchet MS"/>
                <w:bCs/>
              </w:rPr>
              <w:t>Forte</w:t>
            </w:r>
          </w:p>
        </w:tc>
      </w:tr>
    </w:tbl>
    <w:p w:rsidR="00E25753" w:rsidRPr="004C4CB4" w:rsidRDefault="004C4CB4">
      <w:pPr>
        <w:rPr>
          <w:rFonts w:ascii="Trebuchet MS" w:hAnsi="Trebuchet MS"/>
        </w:rPr>
      </w:pPr>
    </w:p>
    <w:sectPr w:rsidR="00E25753" w:rsidRPr="004C4CB4" w:rsidSect="004C4C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MS ????">
    <w:altName w:val="MS Gothic"/>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F0"/>
    <w:rsid w:val="004C4CB4"/>
    <w:rsid w:val="00857EDD"/>
    <w:rsid w:val="00945CF0"/>
    <w:rsid w:val="00A46BF2"/>
    <w:rsid w:val="00DA4F46"/>
    <w:rsid w:val="00EC0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8D78D-CD22-44F6-8F9E-8A9091FA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4CB4"/>
    <w:pPr>
      <w:spacing w:after="0" w:line="480" w:lineRule="auto"/>
      <w:jc w:val="both"/>
    </w:pPr>
    <w:rPr>
      <w:rFonts w:ascii="Times New Roman" w:eastAsia="MS ??" w:hAnsi="Times New Roman" w:cs="Times New Roman"/>
      <w:sz w:val="24"/>
      <w:szCs w:val="24"/>
      <w:lang w:val="pt-PT"/>
    </w:rPr>
  </w:style>
  <w:style w:type="paragraph" w:styleId="Ttulo2">
    <w:name w:val="heading 2"/>
    <w:basedOn w:val="Normal"/>
    <w:next w:val="Normal"/>
    <w:link w:val="Ttulo2Car"/>
    <w:uiPriority w:val="99"/>
    <w:qFormat/>
    <w:rsid w:val="004C4CB4"/>
    <w:pPr>
      <w:keepNext/>
      <w:keepLines/>
      <w:spacing w:before="200"/>
      <w:outlineLvl w:val="1"/>
    </w:pPr>
    <w:rPr>
      <w:rFonts w:eastAsia="MS ????"/>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C4CB4"/>
    <w:rPr>
      <w:rFonts w:ascii="Times New Roman" w:eastAsia="MS ????" w:hAnsi="Times New Roman" w:cs="Times New Roman"/>
      <w:b/>
      <w:bCs/>
      <w:color w:val="000000"/>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8825</Words>
  <Characters>48543</Characters>
  <Application>Microsoft Office Word</Application>
  <DocSecurity>0</DocSecurity>
  <Lines>404</Lines>
  <Paragraphs>114</Paragraphs>
  <ScaleCrop>false</ScaleCrop>
  <Company/>
  <LinksUpToDate>false</LinksUpToDate>
  <CharactersWithSpaces>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Ana (ELS-BCL)</dc:creator>
  <cp:keywords/>
  <dc:description/>
  <cp:lastModifiedBy>Ramos, Ana (ELS-BCL)</cp:lastModifiedBy>
  <cp:revision>2</cp:revision>
  <dcterms:created xsi:type="dcterms:W3CDTF">2016-12-01T09:44:00Z</dcterms:created>
  <dcterms:modified xsi:type="dcterms:W3CDTF">2016-12-01T09:45:00Z</dcterms:modified>
</cp:coreProperties>
</file>