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09" w:rsidRDefault="00A57F09" w:rsidP="00A57F09">
      <w:pPr>
        <w:pStyle w:val="Descripcin"/>
      </w:pPr>
      <w:bookmarkStart w:id="0" w:name="_GoBack"/>
      <w:r w:rsidRPr="006058C3">
        <w:rPr>
          <w:color w:val="auto"/>
          <w:szCs w:val="22"/>
          <w:lang w:val="en-GB"/>
        </w:rPr>
        <w:t xml:space="preserve">Supplementary Table </w:t>
      </w:r>
      <w:bookmarkEnd w:id="0"/>
      <w:r>
        <w:rPr>
          <w:szCs w:val="22"/>
          <w:lang w:val="en-GB"/>
        </w:rPr>
        <w:t>1 Discharge medical therapy according to left atrial enlargement by volume index.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656"/>
        <w:gridCol w:w="1416"/>
        <w:gridCol w:w="1416"/>
        <w:gridCol w:w="1416"/>
        <w:gridCol w:w="1559"/>
        <w:gridCol w:w="859"/>
      </w:tblGrid>
      <w:tr w:rsidR="00A57F09" w:rsidTr="00A57F09">
        <w:trPr>
          <w:trHeight w:val="201"/>
        </w:trPr>
        <w:tc>
          <w:tcPr>
            <w:tcW w:w="2655" w:type="dxa"/>
          </w:tcPr>
          <w:p w:rsidR="00A57F09" w:rsidRDefault="00A57F09">
            <w:pPr>
              <w:pStyle w:val="Table"/>
              <w:spacing w:line="240" w:lineRule="auto"/>
            </w:pP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Normal LA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Mild LA enlargement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Moderate LA enlargement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Severe LA enlargement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p</w:t>
            </w:r>
          </w:p>
        </w:tc>
      </w:tr>
      <w:tr w:rsidR="00A57F09" w:rsidTr="00A57F09">
        <w:trPr>
          <w:trHeight w:val="201"/>
        </w:trPr>
        <w:tc>
          <w:tcPr>
            <w:tcW w:w="2655" w:type="dxa"/>
          </w:tcPr>
          <w:p w:rsidR="00A57F09" w:rsidRDefault="00A57F09">
            <w:pPr>
              <w:pStyle w:val="Table"/>
              <w:spacing w:line="240" w:lineRule="auto"/>
            </w:pP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n=116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n=45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n=20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n=19</w:t>
            </w:r>
          </w:p>
        </w:tc>
        <w:tc>
          <w:tcPr>
            <w:tcW w:w="859" w:type="dxa"/>
          </w:tcPr>
          <w:p w:rsidR="00A57F09" w:rsidRDefault="00A57F09">
            <w:pPr>
              <w:pStyle w:val="Table"/>
              <w:spacing w:line="240" w:lineRule="auto"/>
            </w:pP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proofErr w:type="spellStart"/>
            <w:r>
              <w:t>Aspirin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859" w:type="dxa"/>
          </w:tcPr>
          <w:p w:rsidR="00A57F09" w:rsidRDefault="00A57F09">
            <w:pPr>
              <w:pStyle w:val="Table"/>
              <w:spacing w:line="240" w:lineRule="auto"/>
              <w:rPr>
                <w:lang w:val="en-GB"/>
              </w:rPr>
            </w:pP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P2Y</w:t>
            </w:r>
            <w:r>
              <w:rPr>
                <w:vertAlign w:val="subscript"/>
              </w:rPr>
              <w:t>12</w:t>
            </w:r>
            <w:r>
              <w:t xml:space="preserve"> inhibitor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97.7%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0.327</w:t>
            </w: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Anticoagulant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bookmarkStart w:id="1" w:name="_GoBack1"/>
            <w:bookmarkEnd w:id="1"/>
            <w:r>
              <w:rPr>
                <w:lang w:val="en-GB"/>
              </w:rPr>
              <w:t>2.7%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0.0%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5.0%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5.6%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0.516</w:t>
            </w: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Statin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97.7%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0.327</w:t>
            </w: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>Beta-blocker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96.5%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93.2%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95.0%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94.4%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0.844</w:t>
            </w: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 xml:space="preserve">ACE </w:t>
            </w:r>
            <w:bookmarkStart w:id="2" w:name="__DdeLink__43891_186103806"/>
            <w:r>
              <w:t>inhibitor</w:t>
            </w:r>
            <w:bookmarkEnd w:id="2"/>
            <w:r>
              <w:t xml:space="preserve"> or ARB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96.5%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97.7%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100.0%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94.4%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0.757</w:t>
            </w:r>
          </w:p>
        </w:tc>
      </w:tr>
      <w:tr w:rsidR="00A57F09" w:rsidTr="00A57F09">
        <w:trPr>
          <w:trHeight w:val="201"/>
        </w:trPr>
        <w:tc>
          <w:tcPr>
            <w:tcW w:w="2655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t xml:space="preserve">ARA 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17.7%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25.0%</w:t>
            </w:r>
          </w:p>
        </w:tc>
        <w:tc>
          <w:tcPr>
            <w:tcW w:w="1416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40.0%</w:t>
            </w:r>
          </w:p>
        </w:tc>
        <w:tc>
          <w:tcPr>
            <w:tcW w:w="15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38.9%</w:t>
            </w:r>
          </w:p>
        </w:tc>
        <w:tc>
          <w:tcPr>
            <w:tcW w:w="859" w:type="dxa"/>
            <w:hideMark/>
          </w:tcPr>
          <w:p w:rsidR="00A57F09" w:rsidRDefault="00A57F09">
            <w:pPr>
              <w:pStyle w:val="Table"/>
              <w:spacing w:line="240" w:lineRule="auto"/>
            </w:pPr>
            <w:r>
              <w:rPr>
                <w:lang w:val="en-GB"/>
              </w:rPr>
              <w:t>0.056</w:t>
            </w:r>
          </w:p>
        </w:tc>
      </w:tr>
    </w:tbl>
    <w:p w:rsidR="00A57F09" w:rsidRDefault="00A57F09" w:rsidP="00A57F09">
      <w:pPr>
        <w:pStyle w:val="Legends"/>
      </w:pPr>
      <w:r>
        <w:t>ACE: angiotensin-converting enzyme; ARA: aldosterone receptor antagonist; ARB: angiotensin receptor blocker; LA: left atrial.</w:t>
      </w:r>
    </w:p>
    <w:p w:rsidR="00A57F09" w:rsidRDefault="00A57F09" w:rsidP="00A57F09">
      <w:pPr>
        <w:pStyle w:val="Legends"/>
      </w:pPr>
      <w:r>
        <w:rPr>
          <w:vertAlign w:val="superscript"/>
        </w:rPr>
        <w:t>a</w:t>
      </w:r>
      <w:r>
        <w:t xml:space="preserve"> Since all patients were discharged with aspirin prescription, the chi-square p value was not computed.</w:t>
      </w:r>
    </w:p>
    <w:p w:rsidR="00481246" w:rsidRPr="00A57F09" w:rsidRDefault="00481246">
      <w:pPr>
        <w:rPr>
          <w:lang w:val="en-US"/>
        </w:rPr>
      </w:pPr>
    </w:p>
    <w:sectPr w:rsidR="00481246" w:rsidRPr="00A57F09" w:rsidSect="004812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B2"/>
    <w:rsid w:val="00481246"/>
    <w:rsid w:val="006058C3"/>
    <w:rsid w:val="00797842"/>
    <w:rsid w:val="00A57F09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D5D4E"/>
  <w14:defaultImageDpi w14:val="300"/>
  <w15:docId w15:val="{895EA579-E3EF-4FF5-870E-16F6616A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7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semiHidden/>
    <w:unhideWhenUsed/>
    <w:qFormat/>
    <w:rsid w:val="00A57F09"/>
    <w:pPr>
      <w:widowControl w:val="0"/>
      <w:suppressLineNumbers/>
      <w:suppressAutoHyphens/>
      <w:spacing w:line="360" w:lineRule="auto"/>
    </w:pPr>
    <w:rPr>
      <w:rFonts w:ascii="Times New Roman" w:eastAsia="SimSun" w:hAnsi="Times New Roman" w:cs="Mangal"/>
      <w:iCs/>
      <w:color w:val="00000A"/>
      <w:sz w:val="22"/>
      <w:lang w:val="en-US" w:eastAsia="zh-CN" w:bidi="hi-IN"/>
    </w:rPr>
  </w:style>
  <w:style w:type="paragraph" w:customStyle="1" w:styleId="Table">
    <w:name w:val="Table"/>
    <w:basedOn w:val="Descripcin"/>
    <w:rsid w:val="00A57F09"/>
    <w:pPr>
      <w:spacing w:before="57" w:after="57"/>
      <w:ind w:left="28" w:right="28"/>
    </w:pPr>
    <w:rPr>
      <w:iCs w:val="0"/>
      <w:sz w:val="20"/>
      <w:szCs w:val="20"/>
    </w:rPr>
  </w:style>
  <w:style w:type="paragraph" w:customStyle="1" w:styleId="Legends">
    <w:name w:val="Legends"/>
    <w:basedOn w:val="Normal"/>
    <w:rsid w:val="00A57F09"/>
    <w:pPr>
      <w:widowControl w:val="0"/>
      <w:suppressAutoHyphens/>
      <w:spacing w:before="113" w:after="113" w:line="360" w:lineRule="auto"/>
    </w:pPr>
    <w:rPr>
      <w:rFonts w:ascii="Times New Roman" w:eastAsia="SimSun" w:hAnsi="Times New Roman" w:cs="Mangal"/>
      <w:color w:val="00000A"/>
      <w:sz w:val="18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628</Characters>
  <Application>Microsoft Office Word</Application>
  <DocSecurity>0</DocSecurity>
  <Lines>5</Lines>
  <Paragraphs>1</Paragraphs>
  <ScaleCrop>false</ScaleCrop>
  <Manager/>
  <Company/>
  <LinksUpToDate>false</LinksUpToDate>
  <CharactersWithSpaces>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Ramos, Ana (ELS-BCL)</cp:lastModifiedBy>
  <cp:revision>4</cp:revision>
  <dcterms:created xsi:type="dcterms:W3CDTF">2018-09-05T08:21:00Z</dcterms:created>
  <dcterms:modified xsi:type="dcterms:W3CDTF">2018-09-05T08:22:00Z</dcterms:modified>
</cp:coreProperties>
</file>