
<file path=[Content_Types].xml><?xml version="1.0" encoding="utf-8"?>
<Types xmlns="http://schemas.openxmlformats.org/package/2006/content-types">
  <Default ContentType="image/png" Extension="png"/>
  <Default ContentType="application/vnd.openxmlformats-package.relationships+xml" Extension="rels"/>
  <Default ContentType="image/tiff" Extension="ti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A4D17" w14:textId="7F387CA2" w:rsidR="00807000" w:rsidRDefault="005C046F" w:rsidP="005C046F">
      <w:pPr>
        <w:tabs>
          <w:tab w:val="left" w:pos="1905"/>
          <w:tab w:val="center" w:pos="4535"/>
        </w:tabs>
        <w:rPr>
          <w:b/>
          <w:sz w:val="28"/>
          <w:szCs w:val="28"/>
        </w:rPr>
      </w:pPr>
      <w:r>
        <w:rPr>
          <w:b/>
          <w:sz w:val="28"/>
          <w:szCs w:val="28"/>
        </w:rPr>
        <w:tab/>
      </w:r>
      <w:r>
        <w:rPr>
          <w:b/>
          <w:sz w:val="28"/>
          <w:szCs w:val="28"/>
        </w:rPr>
        <w:tab/>
      </w:r>
      <w:r w:rsidR="009B2CB3">
        <w:rPr>
          <w:b/>
          <w:sz w:val="28"/>
          <w:szCs w:val="28"/>
        </w:rPr>
        <w:t>Material suplementar “</w:t>
      </w:r>
      <w:proofErr w:type="spellStart"/>
      <w:r w:rsidR="009B2CB3">
        <w:rPr>
          <w:b/>
          <w:sz w:val="28"/>
          <w:szCs w:val="28"/>
        </w:rPr>
        <w:t>on</w:t>
      </w:r>
      <w:proofErr w:type="spellEnd"/>
      <w:r w:rsidR="009B2CB3">
        <w:rPr>
          <w:b/>
          <w:sz w:val="28"/>
          <w:szCs w:val="28"/>
        </w:rPr>
        <w:t xml:space="preserve"> </w:t>
      </w:r>
      <w:proofErr w:type="spellStart"/>
      <w:r w:rsidR="009B2CB3">
        <w:rPr>
          <w:b/>
          <w:sz w:val="28"/>
          <w:szCs w:val="28"/>
        </w:rPr>
        <w:t>line</w:t>
      </w:r>
      <w:proofErr w:type="spellEnd"/>
      <w:r w:rsidR="009B2CB3">
        <w:rPr>
          <w:b/>
          <w:sz w:val="28"/>
          <w:szCs w:val="28"/>
        </w:rPr>
        <w:t>”</w:t>
      </w:r>
    </w:p>
    <w:p w14:paraId="48A69689" w14:textId="77777777" w:rsidR="00842761" w:rsidRDefault="00842761" w:rsidP="00561DCB">
      <w:pPr>
        <w:jc w:val="center"/>
        <w:rPr>
          <w:b/>
          <w:sz w:val="28"/>
          <w:szCs w:val="28"/>
        </w:rPr>
      </w:pPr>
    </w:p>
    <w:p w14:paraId="137C3AC9" w14:textId="77777777" w:rsidR="00056F84" w:rsidRDefault="00056F84" w:rsidP="00056F84">
      <w:pPr>
        <w:jc w:val="both"/>
        <w:rPr>
          <w:b/>
          <w:i/>
        </w:rPr>
      </w:pPr>
    </w:p>
    <w:p w14:paraId="42BE1BBE" w14:textId="77777777" w:rsidR="00406376" w:rsidRPr="004F7E65" w:rsidRDefault="00406376" w:rsidP="00406376">
      <w:pPr>
        <w:spacing w:after="0" w:line="480" w:lineRule="auto"/>
        <w:jc w:val="center"/>
        <w:rPr>
          <w:b/>
          <w:sz w:val="26"/>
          <w:szCs w:val="26"/>
        </w:rPr>
      </w:pPr>
      <w:r>
        <w:rPr>
          <w:b/>
          <w:sz w:val="26"/>
          <w:szCs w:val="26"/>
        </w:rPr>
        <w:t xml:space="preserve">Material suplementar </w:t>
      </w:r>
      <w:proofErr w:type="spellStart"/>
      <w:r w:rsidRPr="005C046F">
        <w:rPr>
          <w:b/>
          <w:i/>
          <w:sz w:val="26"/>
          <w:szCs w:val="26"/>
        </w:rPr>
        <w:t>on</w:t>
      </w:r>
      <w:proofErr w:type="spellEnd"/>
      <w:r w:rsidRPr="005C046F">
        <w:rPr>
          <w:b/>
          <w:i/>
          <w:sz w:val="26"/>
          <w:szCs w:val="26"/>
        </w:rPr>
        <w:t xml:space="preserve"> </w:t>
      </w:r>
      <w:proofErr w:type="spellStart"/>
      <w:r w:rsidRPr="005C046F">
        <w:rPr>
          <w:b/>
          <w:i/>
          <w:sz w:val="26"/>
          <w:szCs w:val="26"/>
        </w:rPr>
        <w:t>line</w:t>
      </w:r>
      <w:proofErr w:type="spellEnd"/>
      <w:r>
        <w:rPr>
          <w:b/>
          <w:sz w:val="26"/>
          <w:szCs w:val="26"/>
        </w:rPr>
        <w:t xml:space="preserve"> 1: </w:t>
      </w:r>
      <w:r w:rsidRPr="00214A90">
        <w:rPr>
          <w:sz w:val="26"/>
          <w:szCs w:val="26"/>
        </w:rPr>
        <w:t>Ecocardiografia – metodologia e definições</w:t>
      </w:r>
    </w:p>
    <w:p w14:paraId="009927FB" w14:textId="77777777" w:rsidR="00406376" w:rsidRDefault="00406376" w:rsidP="00406376">
      <w:pPr>
        <w:spacing w:after="0" w:line="480" w:lineRule="auto"/>
        <w:jc w:val="both"/>
        <w:rPr>
          <w:sz w:val="24"/>
          <w:szCs w:val="24"/>
        </w:rPr>
      </w:pPr>
      <w:r>
        <w:rPr>
          <w:sz w:val="24"/>
          <w:szCs w:val="24"/>
        </w:rPr>
        <w:t xml:space="preserve">De acordo com o desenho do estudo Síncrone e com a prática dos centros envolvidos, o ecocardiograma foi realizado antes da implantação de um dispositivo, na altura da alta hospitalar e aos 3, 6 e 12 </w:t>
      </w:r>
      <w:r w:rsidRPr="003F7010">
        <w:rPr>
          <w:sz w:val="24"/>
          <w:szCs w:val="24"/>
        </w:rPr>
        <w:t xml:space="preserve">(±1) </w:t>
      </w:r>
      <w:r>
        <w:rPr>
          <w:sz w:val="24"/>
          <w:szCs w:val="24"/>
        </w:rPr>
        <w:t>meses pós implantação.</w:t>
      </w:r>
    </w:p>
    <w:p w14:paraId="0E9F7ECF" w14:textId="77777777" w:rsidR="00406376" w:rsidRDefault="00406376" w:rsidP="00406376">
      <w:pPr>
        <w:spacing w:after="0" w:line="480" w:lineRule="auto"/>
        <w:jc w:val="both"/>
        <w:rPr>
          <w:sz w:val="24"/>
          <w:szCs w:val="24"/>
        </w:rPr>
      </w:pPr>
      <w:r>
        <w:rPr>
          <w:sz w:val="24"/>
          <w:szCs w:val="24"/>
        </w:rPr>
        <w:t xml:space="preserve">De acordo com as recomendações da sociedade europeia e americana de ecocardiografia, foram avaliados sempre que possível, de acordo com a disponibilidade e prática dos centros os seguintes parâmetros: </w:t>
      </w:r>
    </w:p>
    <w:tbl>
      <w:tblPr>
        <w:tblStyle w:val="TabelacomGrelha"/>
        <w:tblW w:w="0" w:type="auto"/>
        <w:tblInd w:w="720" w:type="dxa"/>
        <w:tblLook w:val="04A0" w:firstRow="1" w:lastRow="0" w:firstColumn="1" w:lastColumn="0" w:noHBand="0" w:noVBand="1"/>
      </w:tblPr>
      <w:tblGrid>
        <w:gridCol w:w="8341"/>
      </w:tblGrid>
      <w:tr w:rsidR="00406376" w14:paraId="64463C08" w14:textId="77777777" w:rsidTr="00CE1E62">
        <w:tc>
          <w:tcPr>
            <w:tcW w:w="8567" w:type="dxa"/>
          </w:tcPr>
          <w:p w14:paraId="17D08EA3" w14:textId="77777777" w:rsidR="00406376" w:rsidRPr="00D97DDB" w:rsidRDefault="00406376" w:rsidP="00CE1E62">
            <w:pPr>
              <w:pStyle w:val="PargrafodaLista"/>
              <w:numPr>
                <w:ilvl w:val="0"/>
                <w:numId w:val="1"/>
              </w:numPr>
              <w:spacing w:after="0" w:line="276" w:lineRule="auto"/>
              <w:jc w:val="both"/>
            </w:pPr>
            <w:r w:rsidRPr="00D97DDB">
              <w:t xml:space="preserve">FEVE pelo método </w:t>
            </w:r>
            <w:proofErr w:type="spellStart"/>
            <w:r w:rsidRPr="00D97DDB">
              <w:t>biplanar</w:t>
            </w:r>
            <w:proofErr w:type="spellEnd"/>
            <w:r w:rsidRPr="00D97DDB">
              <w:t xml:space="preserve"> de Simpson</w:t>
            </w:r>
          </w:p>
          <w:p w14:paraId="36FCD47A" w14:textId="77777777" w:rsidR="00406376" w:rsidRPr="00D97DDB" w:rsidRDefault="00406376" w:rsidP="00CE1E62">
            <w:pPr>
              <w:pStyle w:val="PargrafodaLista"/>
              <w:numPr>
                <w:ilvl w:val="0"/>
                <w:numId w:val="1"/>
              </w:numPr>
              <w:spacing w:after="0" w:line="276" w:lineRule="auto"/>
              <w:jc w:val="both"/>
            </w:pPr>
            <w:r w:rsidRPr="00D97DDB">
              <w:t xml:space="preserve">Volumes </w:t>
            </w:r>
            <w:proofErr w:type="spellStart"/>
            <w:r w:rsidRPr="00D97DDB">
              <w:t>telediastólicos</w:t>
            </w:r>
            <w:proofErr w:type="spellEnd"/>
            <w:r w:rsidRPr="00D97DDB">
              <w:t xml:space="preserve"> e </w:t>
            </w:r>
            <w:proofErr w:type="spellStart"/>
            <w:r w:rsidRPr="00D97DDB">
              <w:t>telesistólicos</w:t>
            </w:r>
            <w:proofErr w:type="spellEnd"/>
            <w:r w:rsidRPr="00D97DDB">
              <w:t xml:space="preserve"> indexados ao ventrículo esquerdo (VE)</w:t>
            </w:r>
          </w:p>
          <w:p w14:paraId="1C701291" w14:textId="77777777" w:rsidR="00406376" w:rsidRPr="00D97DDB" w:rsidRDefault="00406376" w:rsidP="00CE1E62">
            <w:pPr>
              <w:pStyle w:val="PargrafodaLista"/>
              <w:numPr>
                <w:ilvl w:val="0"/>
                <w:numId w:val="1"/>
              </w:numPr>
              <w:spacing w:after="0" w:line="276" w:lineRule="auto"/>
              <w:jc w:val="both"/>
            </w:pPr>
            <w:r w:rsidRPr="00D97DDB">
              <w:t>Volume de ejeção</w:t>
            </w:r>
          </w:p>
          <w:p w14:paraId="1285165A" w14:textId="77777777" w:rsidR="00406376" w:rsidRPr="00D97DDB" w:rsidRDefault="00406376" w:rsidP="00CE1E62">
            <w:pPr>
              <w:pStyle w:val="PargrafodaLista"/>
              <w:numPr>
                <w:ilvl w:val="0"/>
                <w:numId w:val="1"/>
              </w:numPr>
              <w:spacing w:after="0" w:line="276" w:lineRule="auto"/>
              <w:jc w:val="both"/>
            </w:pPr>
            <w:r w:rsidRPr="00D97DDB">
              <w:t xml:space="preserve">Débito e índice cardíaco </w:t>
            </w:r>
          </w:p>
          <w:p w14:paraId="16B72DB9" w14:textId="77777777" w:rsidR="00406376" w:rsidRPr="00D97DDB" w:rsidRDefault="00406376" w:rsidP="00CE1E62">
            <w:pPr>
              <w:pStyle w:val="PargrafodaLista"/>
              <w:numPr>
                <w:ilvl w:val="0"/>
                <w:numId w:val="1"/>
              </w:numPr>
              <w:spacing w:after="0" w:line="276" w:lineRule="auto"/>
              <w:jc w:val="both"/>
            </w:pPr>
            <w:r w:rsidRPr="00D97DDB">
              <w:t xml:space="preserve">Espessura parietal em </w:t>
            </w:r>
            <w:proofErr w:type="spellStart"/>
            <w:r w:rsidRPr="00D97DDB">
              <w:t>telediástole</w:t>
            </w:r>
            <w:proofErr w:type="spellEnd"/>
          </w:p>
          <w:p w14:paraId="0C61E070" w14:textId="77777777" w:rsidR="00406376" w:rsidRPr="00D97DDB" w:rsidRDefault="00406376" w:rsidP="00CE1E62">
            <w:pPr>
              <w:pStyle w:val="PargrafodaLista"/>
              <w:numPr>
                <w:ilvl w:val="0"/>
                <w:numId w:val="1"/>
              </w:numPr>
              <w:spacing w:after="0" w:line="276" w:lineRule="auto"/>
              <w:jc w:val="both"/>
            </w:pPr>
            <w:r w:rsidRPr="00D97DDB">
              <w:t xml:space="preserve">Volume indexado da aurícula esquerda </w:t>
            </w:r>
          </w:p>
          <w:p w14:paraId="21EBCE14" w14:textId="77777777" w:rsidR="00406376" w:rsidRPr="00D97DDB" w:rsidRDefault="00406376" w:rsidP="00CE1E62">
            <w:pPr>
              <w:pStyle w:val="PargrafodaLista"/>
              <w:numPr>
                <w:ilvl w:val="0"/>
                <w:numId w:val="1"/>
              </w:numPr>
              <w:spacing w:after="0" w:line="276" w:lineRule="auto"/>
              <w:jc w:val="both"/>
            </w:pPr>
            <w:r w:rsidRPr="00D97DDB">
              <w:t xml:space="preserve">Relação E/A no fluxo </w:t>
            </w:r>
            <w:proofErr w:type="spellStart"/>
            <w:r w:rsidRPr="00D97DDB">
              <w:t>transmitral</w:t>
            </w:r>
            <w:proofErr w:type="spellEnd"/>
          </w:p>
          <w:p w14:paraId="6E4DA13E" w14:textId="77777777" w:rsidR="00406376" w:rsidRPr="00D97DDB" w:rsidRDefault="00406376" w:rsidP="00CE1E62">
            <w:pPr>
              <w:pStyle w:val="PargrafodaLista"/>
              <w:numPr>
                <w:ilvl w:val="0"/>
                <w:numId w:val="1"/>
              </w:numPr>
              <w:spacing w:after="0" w:line="276" w:lineRule="auto"/>
              <w:jc w:val="both"/>
            </w:pPr>
            <w:r w:rsidRPr="00D97DDB">
              <w:t>Tempo de desaceleração da onda E</w:t>
            </w:r>
          </w:p>
          <w:p w14:paraId="332FA868" w14:textId="77777777" w:rsidR="00406376" w:rsidRPr="00D97DDB" w:rsidRDefault="00406376" w:rsidP="00CE1E62">
            <w:pPr>
              <w:pStyle w:val="PargrafodaLista"/>
              <w:numPr>
                <w:ilvl w:val="0"/>
                <w:numId w:val="1"/>
              </w:numPr>
              <w:spacing w:after="0" w:line="276" w:lineRule="auto"/>
              <w:jc w:val="both"/>
            </w:pPr>
            <w:r w:rsidRPr="00D97DDB">
              <w:t xml:space="preserve">Velocidade da onda diastólica precoce </w:t>
            </w:r>
            <w:proofErr w:type="spellStart"/>
            <w:r w:rsidRPr="00D97DDB">
              <w:t>septal</w:t>
            </w:r>
            <w:proofErr w:type="spellEnd"/>
            <w:r w:rsidRPr="00D97DDB">
              <w:t xml:space="preserve"> (e’) por Doppler tecidular (TDI)</w:t>
            </w:r>
          </w:p>
          <w:p w14:paraId="465C7260" w14:textId="77777777" w:rsidR="00406376" w:rsidRPr="00D97DDB" w:rsidRDefault="00406376" w:rsidP="00CE1E62">
            <w:pPr>
              <w:pStyle w:val="PargrafodaLista"/>
              <w:numPr>
                <w:ilvl w:val="0"/>
                <w:numId w:val="1"/>
              </w:numPr>
              <w:tabs>
                <w:tab w:val="left" w:pos="1668"/>
              </w:tabs>
              <w:spacing w:after="0" w:line="276" w:lineRule="auto"/>
              <w:jc w:val="both"/>
            </w:pPr>
            <w:r w:rsidRPr="00D97DDB">
              <w:t>Relação E/e’</w:t>
            </w:r>
            <w:r w:rsidRPr="00D97DDB">
              <w:tab/>
            </w:r>
          </w:p>
          <w:p w14:paraId="639CA97C" w14:textId="77777777" w:rsidR="00406376" w:rsidRPr="00D97DDB" w:rsidRDefault="00406376" w:rsidP="00CE1E62">
            <w:pPr>
              <w:pStyle w:val="PargrafodaLista"/>
              <w:numPr>
                <w:ilvl w:val="0"/>
                <w:numId w:val="1"/>
              </w:numPr>
              <w:spacing w:after="0" w:line="276" w:lineRule="auto"/>
              <w:jc w:val="both"/>
            </w:pPr>
            <w:r w:rsidRPr="00D97DDB">
              <w:t xml:space="preserve">Tempo de enchimento diastólico </w:t>
            </w:r>
          </w:p>
          <w:p w14:paraId="0C1EE75F" w14:textId="77777777" w:rsidR="00406376" w:rsidRPr="00D97DDB" w:rsidRDefault="00406376" w:rsidP="00CE1E62">
            <w:pPr>
              <w:pStyle w:val="PargrafodaLista"/>
              <w:numPr>
                <w:ilvl w:val="0"/>
                <w:numId w:val="1"/>
              </w:numPr>
              <w:spacing w:after="0" w:line="276" w:lineRule="auto"/>
              <w:jc w:val="both"/>
            </w:pPr>
            <w:r w:rsidRPr="00D97DDB">
              <w:t>Presença de insuficiência mitral (IM) diastólica, com avaliação do seu grau (volume regurgitante</w:t>
            </w:r>
            <w:r>
              <w:t>)</w:t>
            </w:r>
          </w:p>
          <w:p w14:paraId="189EDB84" w14:textId="77777777" w:rsidR="00406376" w:rsidRPr="00D97DDB" w:rsidRDefault="00406376" w:rsidP="00CE1E62">
            <w:pPr>
              <w:pStyle w:val="PargrafodaLista"/>
              <w:numPr>
                <w:ilvl w:val="0"/>
                <w:numId w:val="1"/>
              </w:numPr>
              <w:spacing w:after="0" w:line="276" w:lineRule="auto"/>
              <w:jc w:val="both"/>
            </w:pPr>
            <w:r w:rsidRPr="00D97DDB">
              <w:t>Diâmetro diastólico do ventrículo direito (VD)</w:t>
            </w:r>
          </w:p>
          <w:p w14:paraId="21580CAE" w14:textId="77777777" w:rsidR="00406376" w:rsidRPr="00D97DDB" w:rsidRDefault="00406376" w:rsidP="00CE1E62">
            <w:pPr>
              <w:pStyle w:val="PargrafodaLista"/>
              <w:numPr>
                <w:ilvl w:val="0"/>
                <w:numId w:val="1"/>
              </w:numPr>
              <w:spacing w:after="0" w:line="276" w:lineRule="auto"/>
              <w:jc w:val="both"/>
            </w:pPr>
            <w:r w:rsidRPr="00D97DDB">
              <w:t>Volume da aurícula direita (AD)</w:t>
            </w:r>
          </w:p>
          <w:p w14:paraId="49EB2BC1" w14:textId="77777777" w:rsidR="00406376" w:rsidRPr="00D97DDB" w:rsidRDefault="00406376" w:rsidP="00CE1E62">
            <w:pPr>
              <w:pStyle w:val="PargrafodaLista"/>
              <w:numPr>
                <w:ilvl w:val="0"/>
                <w:numId w:val="1"/>
              </w:numPr>
              <w:spacing w:after="0" w:line="276" w:lineRule="auto"/>
              <w:jc w:val="both"/>
            </w:pPr>
            <w:r w:rsidRPr="00D97DDB">
              <w:t xml:space="preserve">Diâmetro da veia cava inferior e sua variação respiratória </w:t>
            </w:r>
          </w:p>
          <w:p w14:paraId="5DFA5BF6" w14:textId="77777777" w:rsidR="00406376" w:rsidRDefault="00406376" w:rsidP="00CE1E62">
            <w:pPr>
              <w:pStyle w:val="PargrafodaLista"/>
              <w:numPr>
                <w:ilvl w:val="0"/>
                <w:numId w:val="1"/>
              </w:numPr>
              <w:spacing w:after="0" w:line="276" w:lineRule="auto"/>
              <w:jc w:val="both"/>
            </w:pPr>
            <w:r>
              <w:t>Velocidade máxima do fluxo de regurgitação tricúspide</w:t>
            </w:r>
          </w:p>
          <w:p w14:paraId="68A6C5D4" w14:textId="77777777" w:rsidR="00406376" w:rsidRPr="00D97DDB" w:rsidRDefault="00406376" w:rsidP="00CE1E62">
            <w:pPr>
              <w:pStyle w:val="PargrafodaLista"/>
              <w:numPr>
                <w:ilvl w:val="0"/>
                <w:numId w:val="1"/>
              </w:numPr>
              <w:spacing w:after="0" w:line="276" w:lineRule="auto"/>
              <w:jc w:val="both"/>
            </w:pPr>
            <w:r w:rsidRPr="00D97DDB">
              <w:t>Estimativa da pressão sistólica na artéria pulmonar (PSAP)</w:t>
            </w:r>
          </w:p>
          <w:p w14:paraId="61005192" w14:textId="77777777" w:rsidR="00406376" w:rsidRPr="005C71EB" w:rsidRDefault="00406376" w:rsidP="00CE1E62">
            <w:pPr>
              <w:pStyle w:val="PargrafodaLista"/>
              <w:numPr>
                <w:ilvl w:val="0"/>
                <w:numId w:val="1"/>
              </w:numPr>
              <w:spacing w:after="0" w:line="276" w:lineRule="auto"/>
              <w:jc w:val="both"/>
              <w:rPr>
                <w:sz w:val="24"/>
                <w:szCs w:val="24"/>
              </w:rPr>
            </w:pPr>
            <w:r w:rsidRPr="00D97DDB">
              <w:t>Função sistólica longitudinal do VD (TAPSE e/ou velocidade sistólica s’ do anel tricúspide por TDI)</w:t>
            </w:r>
          </w:p>
        </w:tc>
      </w:tr>
    </w:tbl>
    <w:p w14:paraId="7579F19E" w14:textId="77777777" w:rsidR="00406376" w:rsidRPr="005C71EB" w:rsidRDefault="00406376" w:rsidP="00406376">
      <w:pPr>
        <w:spacing w:after="0" w:line="276" w:lineRule="auto"/>
        <w:jc w:val="both"/>
        <w:rPr>
          <w:sz w:val="24"/>
          <w:szCs w:val="24"/>
        </w:rPr>
      </w:pPr>
    </w:p>
    <w:p w14:paraId="62373E1F" w14:textId="77777777" w:rsidR="00406376" w:rsidRDefault="00406376" w:rsidP="00406376">
      <w:pPr>
        <w:widowControl w:val="0"/>
        <w:autoSpaceDE w:val="0"/>
        <w:autoSpaceDN w:val="0"/>
        <w:adjustRightInd w:val="0"/>
        <w:spacing w:after="0" w:line="480" w:lineRule="auto"/>
        <w:jc w:val="both"/>
        <w:rPr>
          <w:sz w:val="24"/>
          <w:szCs w:val="24"/>
        </w:rPr>
      </w:pPr>
      <w:r>
        <w:rPr>
          <w:sz w:val="24"/>
          <w:szCs w:val="24"/>
        </w:rPr>
        <w:t xml:space="preserve">Definições: </w:t>
      </w:r>
    </w:p>
    <w:p w14:paraId="7C5711AF" w14:textId="77777777" w:rsidR="00406376" w:rsidRPr="00D97DDB" w:rsidRDefault="00406376" w:rsidP="00406376">
      <w:pPr>
        <w:pStyle w:val="PargrafodaLista"/>
        <w:widowControl w:val="0"/>
        <w:numPr>
          <w:ilvl w:val="0"/>
          <w:numId w:val="2"/>
        </w:numPr>
        <w:autoSpaceDE w:val="0"/>
        <w:autoSpaceDN w:val="0"/>
        <w:adjustRightInd w:val="0"/>
        <w:spacing w:after="0" w:line="480" w:lineRule="auto"/>
        <w:jc w:val="both"/>
        <w:rPr>
          <w:rFonts w:cs="Times New Roman"/>
          <w:sz w:val="24"/>
          <w:szCs w:val="24"/>
        </w:rPr>
      </w:pPr>
      <w:r w:rsidRPr="00D97DDB">
        <w:rPr>
          <w:sz w:val="24"/>
          <w:szCs w:val="24"/>
        </w:rPr>
        <w:t xml:space="preserve">Para avaliação de </w:t>
      </w:r>
      <w:r w:rsidRPr="00D97DDB">
        <w:rPr>
          <w:b/>
          <w:sz w:val="24"/>
          <w:szCs w:val="24"/>
        </w:rPr>
        <w:t>dessincronia aurículo ventricular</w:t>
      </w:r>
      <w:r w:rsidRPr="00D97DDB">
        <w:rPr>
          <w:sz w:val="24"/>
          <w:szCs w:val="24"/>
        </w:rPr>
        <w:t xml:space="preserve"> (AV) foi medido o tempo de enchimento diastólico </w:t>
      </w:r>
      <w:proofErr w:type="spellStart"/>
      <w:r w:rsidRPr="00D97DDB">
        <w:rPr>
          <w:sz w:val="24"/>
          <w:szCs w:val="24"/>
        </w:rPr>
        <w:t>transmitral</w:t>
      </w:r>
      <w:proofErr w:type="spellEnd"/>
      <w:r w:rsidRPr="00D97DDB">
        <w:rPr>
          <w:sz w:val="24"/>
          <w:szCs w:val="24"/>
        </w:rPr>
        <w:t xml:space="preserve"> </w:t>
      </w:r>
      <w:r>
        <w:rPr>
          <w:sz w:val="24"/>
          <w:szCs w:val="24"/>
        </w:rPr>
        <w:t xml:space="preserve">(TEDTM) </w:t>
      </w:r>
      <w:r w:rsidRPr="00D97DDB">
        <w:rPr>
          <w:sz w:val="24"/>
          <w:szCs w:val="24"/>
        </w:rPr>
        <w:t xml:space="preserve">e o intervalo R-R no ECG, sendo este </w:t>
      </w:r>
      <w:r w:rsidRPr="00D97DDB">
        <w:rPr>
          <w:sz w:val="24"/>
          <w:szCs w:val="24"/>
        </w:rPr>
        <w:lastRenderedPageBreak/>
        <w:t xml:space="preserve">parâmetro definido como uma relação </w:t>
      </w:r>
      <w:r>
        <w:rPr>
          <w:rFonts w:cs="Times New Roman"/>
          <w:sz w:val="24"/>
          <w:szCs w:val="24"/>
        </w:rPr>
        <w:t>TEDTM</w:t>
      </w:r>
      <w:r w:rsidRPr="00D97DDB">
        <w:rPr>
          <w:rFonts w:cs="Times New Roman"/>
          <w:sz w:val="24"/>
          <w:szCs w:val="24"/>
        </w:rPr>
        <w:t xml:space="preserve">/RR </w:t>
      </w:r>
      <w:r w:rsidRPr="00D97DDB">
        <w:rPr>
          <w:rFonts w:cs="Times New Roman"/>
          <w:sz w:val="24"/>
          <w:szCs w:val="24"/>
          <w:vertAlign w:val="superscript"/>
        </w:rPr>
        <w:t>(14)</w:t>
      </w:r>
      <w:r w:rsidRPr="00D97DDB">
        <w:rPr>
          <w:rFonts w:cs="Times New Roman"/>
          <w:sz w:val="24"/>
          <w:szCs w:val="24"/>
        </w:rPr>
        <w:t xml:space="preserve"> </w:t>
      </w:r>
      <w:r w:rsidRPr="00D97DDB">
        <w:rPr>
          <w:rFonts w:ascii="MS Gothic" w:eastAsia="MS Gothic"/>
          <w:sz w:val="24"/>
          <w:szCs w:val="24"/>
        </w:rPr>
        <w:t>≤</w:t>
      </w:r>
      <w:r w:rsidRPr="00D97DDB">
        <w:rPr>
          <w:rFonts w:cs="Times New Roman"/>
          <w:sz w:val="24"/>
          <w:szCs w:val="24"/>
        </w:rPr>
        <w:t xml:space="preserve"> 40%. </w:t>
      </w:r>
    </w:p>
    <w:p w14:paraId="334E7264" w14:textId="77777777" w:rsidR="00406376" w:rsidRPr="00D97DDB" w:rsidRDefault="00406376" w:rsidP="00406376">
      <w:pPr>
        <w:pStyle w:val="PargrafodaLista"/>
        <w:widowControl w:val="0"/>
        <w:numPr>
          <w:ilvl w:val="0"/>
          <w:numId w:val="2"/>
        </w:numPr>
        <w:autoSpaceDE w:val="0"/>
        <w:autoSpaceDN w:val="0"/>
        <w:adjustRightInd w:val="0"/>
        <w:spacing w:after="0" w:line="480" w:lineRule="auto"/>
        <w:jc w:val="both"/>
        <w:rPr>
          <w:rFonts w:cs="Times New Roman"/>
          <w:sz w:val="24"/>
          <w:szCs w:val="24"/>
        </w:rPr>
      </w:pPr>
      <w:r w:rsidRPr="00D97DDB">
        <w:rPr>
          <w:sz w:val="24"/>
          <w:szCs w:val="24"/>
        </w:rPr>
        <w:t xml:space="preserve">Para avaliação de </w:t>
      </w:r>
      <w:r w:rsidRPr="00D97DDB">
        <w:rPr>
          <w:b/>
          <w:sz w:val="24"/>
          <w:szCs w:val="24"/>
        </w:rPr>
        <w:t>dessincronia interventricular</w:t>
      </w:r>
      <w:r w:rsidRPr="00D97DDB">
        <w:rPr>
          <w:sz w:val="24"/>
          <w:szCs w:val="24"/>
        </w:rPr>
        <w:t xml:space="preserve"> foi medido o tempo pré- ejeção do VE e VD (do início do QRS no ECG ao início do fluxo aórtico e pulmonar por Doppler pulsado), sendo definido como uma diferença entre os tempos pré-ejeção </w:t>
      </w:r>
      <w:r w:rsidRPr="00D97DDB">
        <w:rPr>
          <w:rFonts w:eastAsia="MS Gothic"/>
          <w:sz w:val="24"/>
          <w:szCs w:val="24"/>
        </w:rPr>
        <w:t xml:space="preserve">≥ </w:t>
      </w:r>
      <w:r w:rsidRPr="00D97DDB">
        <w:rPr>
          <w:rFonts w:cs="Times New Roman"/>
          <w:sz w:val="24"/>
          <w:szCs w:val="24"/>
        </w:rPr>
        <w:t xml:space="preserve">40ms ou pela presença de um tempo pré ejeção VE </w:t>
      </w:r>
      <w:r w:rsidRPr="00D97DDB">
        <w:rPr>
          <w:rFonts w:eastAsia="MS Gothic"/>
          <w:sz w:val="24"/>
          <w:szCs w:val="24"/>
        </w:rPr>
        <w:t>≥</w:t>
      </w:r>
      <w:r w:rsidRPr="00D97DDB">
        <w:rPr>
          <w:sz w:val="24"/>
          <w:szCs w:val="24"/>
        </w:rPr>
        <w:t xml:space="preserve"> </w:t>
      </w:r>
      <w:r w:rsidRPr="00D97DDB">
        <w:rPr>
          <w:rFonts w:cs="Times New Roman"/>
          <w:sz w:val="24"/>
          <w:szCs w:val="24"/>
        </w:rPr>
        <w:t>140ms.</w:t>
      </w:r>
    </w:p>
    <w:p w14:paraId="63873E11" w14:textId="77777777" w:rsidR="00406376" w:rsidRPr="00D97DDB" w:rsidRDefault="00406376" w:rsidP="00406376">
      <w:pPr>
        <w:pStyle w:val="PargrafodaLista"/>
        <w:widowControl w:val="0"/>
        <w:numPr>
          <w:ilvl w:val="0"/>
          <w:numId w:val="2"/>
        </w:numPr>
        <w:autoSpaceDE w:val="0"/>
        <w:autoSpaceDN w:val="0"/>
        <w:adjustRightInd w:val="0"/>
        <w:spacing w:after="0" w:line="480" w:lineRule="auto"/>
        <w:jc w:val="both"/>
        <w:rPr>
          <w:rFonts w:cs="Times New Roman"/>
          <w:sz w:val="24"/>
          <w:szCs w:val="24"/>
        </w:rPr>
      </w:pPr>
      <w:r w:rsidRPr="00D97DDB">
        <w:rPr>
          <w:sz w:val="24"/>
          <w:szCs w:val="24"/>
        </w:rPr>
        <w:t xml:space="preserve">Para avaliação da </w:t>
      </w:r>
      <w:r w:rsidRPr="00D97DDB">
        <w:rPr>
          <w:b/>
          <w:sz w:val="24"/>
          <w:szCs w:val="24"/>
        </w:rPr>
        <w:t>dessincronia intraventricular</w:t>
      </w:r>
      <w:r w:rsidRPr="00D97DDB">
        <w:rPr>
          <w:sz w:val="24"/>
          <w:szCs w:val="24"/>
        </w:rPr>
        <w:t xml:space="preserve"> foi medido: em modo M, via </w:t>
      </w:r>
      <w:proofErr w:type="spellStart"/>
      <w:r w:rsidRPr="00D97DDB">
        <w:rPr>
          <w:sz w:val="24"/>
          <w:szCs w:val="24"/>
        </w:rPr>
        <w:t>paraesternal</w:t>
      </w:r>
      <w:proofErr w:type="spellEnd"/>
      <w:r w:rsidRPr="00D97DDB">
        <w:rPr>
          <w:sz w:val="24"/>
          <w:szCs w:val="24"/>
        </w:rPr>
        <w:t xml:space="preserve"> esquerda o tempo entre o pico de contração do septo e da parede posterior (método de </w:t>
      </w:r>
      <w:proofErr w:type="spellStart"/>
      <w:r w:rsidRPr="00D97DDB">
        <w:rPr>
          <w:sz w:val="24"/>
          <w:szCs w:val="24"/>
        </w:rPr>
        <w:t>Pitzalis</w:t>
      </w:r>
      <w:proofErr w:type="spellEnd"/>
      <w:r w:rsidRPr="00D97DDB">
        <w:rPr>
          <w:sz w:val="24"/>
          <w:szCs w:val="24"/>
        </w:rPr>
        <w:t xml:space="preserve">) e foi considerado existir dessincronia se </w:t>
      </w:r>
      <w:r w:rsidRPr="00D97DDB">
        <w:rPr>
          <w:rFonts w:eastAsia="MS Gothic"/>
          <w:sz w:val="24"/>
          <w:szCs w:val="24"/>
        </w:rPr>
        <w:t>≥</w:t>
      </w:r>
      <w:r w:rsidRPr="00D97DDB">
        <w:rPr>
          <w:sz w:val="24"/>
          <w:szCs w:val="24"/>
        </w:rPr>
        <w:t xml:space="preserve"> </w:t>
      </w:r>
      <w:r w:rsidRPr="00D97DDB">
        <w:rPr>
          <w:rFonts w:cs="Times New Roman"/>
          <w:sz w:val="24"/>
          <w:szCs w:val="24"/>
        </w:rPr>
        <w:t xml:space="preserve">130 </w:t>
      </w:r>
      <w:proofErr w:type="spellStart"/>
      <w:r w:rsidRPr="00D97DDB">
        <w:rPr>
          <w:rFonts w:cs="Times New Roman"/>
          <w:sz w:val="24"/>
          <w:szCs w:val="24"/>
        </w:rPr>
        <w:t>ms</w:t>
      </w:r>
      <w:proofErr w:type="spellEnd"/>
      <w:r w:rsidRPr="00D97DDB">
        <w:rPr>
          <w:rFonts w:cs="Times New Roman"/>
          <w:sz w:val="24"/>
          <w:szCs w:val="24"/>
        </w:rPr>
        <w:t xml:space="preserve">; </w:t>
      </w:r>
      <w:r w:rsidRPr="00D97DDB">
        <w:rPr>
          <w:sz w:val="24"/>
          <w:szCs w:val="24"/>
        </w:rPr>
        <w:t xml:space="preserve">por TDI, via apical, o tempo até ao pico de velocidade sistólica (TS) no segmento basal do septo inferior e parede lateral (apical 4 câmaras) e o tempo até ao pico de velocidade sistólica s’ no segmento basal do septo anterior e parede posterior (apical 3 câmaras). Foi considerado existir dessincronia se a diferença entre TS lateral e </w:t>
      </w:r>
      <w:proofErr w:type="spellStart"/>
      <w:r w:rsidRPr="00D97DDB">
        <w:rPr>
          <w:sz w:val="24"/>
          <w:szCs w:val="24"/>
        </w:rPr>
        <w:t>septal</w:t>
      </w:r>
      <w:proofErr w:type="spellEnd"/>
      <w:r w:rsidRPr="00D97DDB">
        <w:rPr>
          <w:sz w:val="24"/>
          <w:szCs w:val="24"/>
        </w:rPr>
        <w:t xml:space="preserve"> inferior e/ou a diferença entre TS posterior- </w:t>
      </w:r>
      <w:proofErr w:type="spellStart"/>
      <w:r w:rsidRPr="00D97DDB">
        <w:rPr>
          <w:sz w:val="24"/>
          <w:szCs w:val="24"/>
        </w:rPr>
        <w:t>septal</w:t>
      </w:r>
      <w:proofErr w:type="spellEnd"/>
      <w:r w:rsidRPr="00D97DDB">
        <w:rPr>
          <w:sz w:val="24"/>
          <w:szCs w:val="24"/>
        </w:rPr>
        <w:t xml:space="preserve"> anterior </w:t>
      </w:r>
      <w:r w:rsidRPr="00D97DDB">
        <w:rPr>
          <w:rFonts w:eastAsia="MS Gothic"/>
          <w:sz w:val="24"/>
          <w:szCs w:val="24"/>
        </w:rPr>
        <w:t>≥</w:t>
      </w:r>
      <w:r w:rsidRPr="00D97DDB">
        <w:rPr>
          <w:sz w:val="24"/>
          <w:szCs w:val="24"/>
        </w:rPr>
        <w:t xml:space="preserve"> </w:t>
      </w:r>
      <w:r w:rsidRPr="00D97DDB">
        <w:rPr>
          <w:rFonts w:cs="Times New Roman"/>
          <w:sz w:val="24"/>
          <w:szCs w:val="24"/>
        </w:rPr>
        <w:t xml:space="preserve">60 </w:t>
      </w:r>
      <w:proofErr w:type="spellStart"/>
      <w:r w:rsidRPr="00D97DDB">
        <w:rPr>
          <w:rFonts w:cs="Times New Roman"/>
          <w:sz w:val="24"/>
          <w:szCs w:val="24"/>
        </w:rPr>
        <w:t>ms</w:t>
      </w:r>
      <w:proofErr w:type="spellEnd"/>
      <w:r w:rsidRPr="00D97DDB">
        <w:rPr>
          <w:rFonts w:cs="Times New Roman"/>
          <w:sz w:val="24"/>
          <w:szCs w:val="24"/>
        </w:rPr>
        <w:t xml:space="preserve">, método de </w:t>
      </w:r>
      <w:proofErr w:type="spellStart"/>
      <w:r w:rsidRPr="00D97DDB">
        <w:rPr>
          <w:rFonts w:cs="Times New Roman"/>
          <w:sz w:val="24"/>
          <w:szCs w:val="24"/>
        </w:rPr>
        <w:t>Bax</w:t>
      </w:r>
      <w:proofErr w:type="spellEnd"/>
      <w:r w:rsidRPr="00D97DDB">
        <w:rPr>
          <w:rFonts w:cs="Times New Roman"/>
          <w:sz w:val="24"/>
          <w:szCs w:val="24"/>
        </w:rPr>
        <w:t>.</w:t>
      </w:r>
    </w:p>
    <w:p w14:paraId="566506EA" w14:textId="77777777" w:rsidR="00406376" w:rsidRDefault="00406376" w:rsidP="00406376">
      <w:pPr>
        <w:widowControl w:val="0"/>
        <w:autoSpaceDE w:val="0"/>
        <w:autoSpaceDN w:val="0"/>
        <w:adjustRightInd w:val="0"/>
        <w:spacing w:after="0" w:line="480" w:lineRule="auto"/>
        <w:jc w:val="both"/>
        <w:rPr>
          <w:rFonts w:cs="Times New Roman"/>
          <w:sz w:val="24"/>
          <w:szCs w:val="24"/>
        </w:rPr>
      </w:pPr>
    </w:p>
    <w:p w14:paraId="7CC718B2" w14:textId="77777777" w:rsidR="00406376" w:rsidRDefault="00406376" w:rsidP="00406376">
      <w:pPr>
        <w:widowControl w:val="0"/>
        <w:autoSpaceDE w:val="0"/>
        <w:autoSpaceDN w:val="0"/>
        <w:adjustRightInd w:val="0"/>
        <w:spacing w:after="0" w:line="480" w:lineRule="auto"/>
        <w:jc w:val="both"/>
        <w:rPr>
          <w:sz w:val="24"/>
          <w:szCs w:val="24"/>
        </w:rPr>
      </w:pPr>
      <w:r w:rsidRPr="003E5578">
        <w:rPr>
          <w:rFonts w:cs="Times New Roman"/>
          <w:sz w:val="24"/>
          <w:szCs w:val="24"/>
        </w:rPr>
        <w:t xml:space="preserve">A avaliação qualitativa de </w:t>
      </w:r>
      <w:r>
        <w:rPr>
          <w:rFonts w:cs="Times New Roman"/>
          <w:sz w:val="24"/>
          <w:szCs w:val="24"/>
        </w:rPr>
        <w:t>dessincronia</w:t>
      </w:r>
      <w:r w:rsidRPr="003E5578">
        <w:rPr>
          <w:rFonts w:cs="Times New Roman"/>
          <w:sz w:val="24"/>
          <w:szCs w:val="24"/>
        </w:rPr>
        <w:t xml:space="preserve"> mecânica (</w:t>
      </w:r>
      <w:r w:rsidRPr="003E5578">
        <w:rPr>
          <w:sz w:val="24"/>
          <w:szCs w:val="24"/>
        </w:rPr>
        <w:t xml:space="preserve">contração pós sistólica, </w:t>
      </w:r>
      <w:r w:rsidRPr="003E5578">
        <w:rPr>
          <w:i/>
          <w:sz w:val="24"/>
          <w:szCs w:val="24"/>
        </w:rPr>
        <w:t>flash</w:t>
      </w:r>
      <w:r w:rsidRPr="003E5578">
        <w:rPr>
          <w:sz w:val="24"/>
          <w:szCs w:val="24"/>
        </w:rPr>
        <w:t xml:space="preserve"> </w:t>
      </w:r>
      <w:proofErr w:type="spellStart"/>
      <w:r w:rsidRPr="003E5578">
        <w:rPr>
          <w:sz w:val="24"/>
          <w:szCs w:val="24"/>
        </w:rPr>
        <w:t>septal</w:t>
      </w:r>
      <w:proofErr w:type="spellEnd"/>
      <w:r w:rsidRPr="003E5578">
        <w:rPr>
          <w:sz w:val="24"/>
          <w:szCs w:val="24"/>
        </w:rPr>
        <w:t>, movimento paradoxal do septo) foi também descrita</w:t>
      </w:r>
      <w:r>
        <w:rPr>
          <w:sz w:val="24"/>
          <w:szCs w:val="24"/>
        </w:rPr>
        <w:t xml:space="preserve">, quando </w:t>
      </w:r>
      <w:proofErr w:type="spellStart"/>
      <w:r>
        <w:rPr>
          <w:sz w:val="24"/>
          <w:szCs w:val="24"/>
        </w:rPr>
        <w:t>efectuada</w:t>
      </w:r>
      <w:proofErr w:type="spellEnd"/>
      <w:r w:rsidRPr="003E5578">
        <w:rPr>
          <w:sz w:val="24"/>
          <w:szCs w:val="24"/>
        </w:rPr>
        <w:t>.</w:t>
      </w:r>
      <w:r>
        <w:rPr>
          <w:sz w:val="24"/>
          <w:szCs w:val="24"/>
        </w:rPr>
        <w:t xml:space="preserve"> </w:t>
      </w:r>
    </w:p>
    <w:p w14:paraId="7D0B4EC2" w14:textId="77777777" w:rsidR="00406376" w:rsidRPr="003E5578" w:rsidRDefault="00406376" w:rsidP="00406376">
      <w:pPr>
        <w:widowControl w:val="0"/>
        <w:autoSpaceDE w:val="0"/>
        <w:autoSpaceDN w:val="0"/>
        <w:adjustRightInd w:val="0"/>
        <w:spacing w:after="0" w:line="480" w:lineRule="auto"/>
        <w:jc w:val="both"/>
        <w:rPr>
          <w:rFonts w:cs="Times New Roman"/>
          <w:sz w:val="24"/>
          <w:szCs w:val="24"/>
        </w:rPr>
      </w:pPr>
      <w:r>
        <w:rPr>
          <w:sz w:val="24"/>
          <w:szCs w:val="24"/>
        </w:rPr>
        <w:t xml:space="preserve">A avaliação por </w:t>
      </w:r>
      <w:r w:rsidRPr="003E5578">
        <w:rPr>
          <w:sz w:val="24"/>
          <w:szCs w:val="24"/>
        </w:rPr>
        <w:t xml:space="preserve">ecocardiografia </w:t>
      </w:r>
      <w:proofErr w:type="spellStart"/>
      <w:r w:rsidRPr="00B610C4">
        <w:rPr>
          <w:i/>
          <w:sz w:val="24"/>
          <w:szCs w:val="24"/>
        </w:rPr>
        <w:t>speckle</w:t>
      </w:r>
      <w:proofErr w:type="spellEnd"/>
      <w:r w:rsidRPr="00B610C4">
        <w:rPr>
          <w:i/>
          <w:sz w:val="24"/>
          <w:szCs w:val="24"/>
        </w:rPr>
        <w:t xml:space="preserve"> </w:t>
      </w:r>
      <w:proofErr w:type="spellStart"/>
      <w:r w:rsidRPr="00B610C4">
        <w:rPr>
          <w:i/>
          <w:sz w:val="24"/>
          <w:szCs w:val="24"/>
        </w:rPr>
        <w:t>tracking</w:t>
      </w:r>
      <w:proofErr w:type="spellEnd"/>
      <w:r w:rsidRPr="003E5578">
        <w:rPr>
          <w:sz w:val="24"/>
          <w:szCs w:val="24"/>
        </w:rPr>
        <w:t xml:space="preserve"> foi opcional.</w:t>
      </w:r>
    </w:p>
    <w:p w14:paraId="1B91F2EE" w14:textId="77777777" w:rsidR="009B2CB3" w:rsidRPr="00406376" w:rsidRDefault="009B2CB3" w:rsidP="00056F84">
      <w:pPr>
        <w:jc w:val="both"/>
      </w:pPr>
    </w:p>
    <w:p w14:paraId="4921581F" w14:textId="77777777" w:rsidR="009B2CB3" w:rsidRDefault="009B2CB3" w:rsidP="00056F84">
      <w:pPr>
        <w:jc w:val="both"/>
        <w:rPr>
          <w:b/>
          <w:i/>
        </w:rPr>
      </w:pPr>
    </w:p>
    <w:p w14:paraId="1F3E77ED" w14:textId="77777777" w:rsidR="009B2CB3" w:rsidRDefault="009B2CB3" w:rsidP="00056F84">
      <w:pPr>
        <w:jc w:val="both"/>
        <w:rPr>
          <w:b/>
          <w:i/>
        </w:rPr>
      </w:pPr>
    </w:p>
    <w:p w14:paraId="3A8B90B2" w14:textId="77777777" w:rsidR="009B2CB3" w:rsidRDefault="009B2CB3" w:rsidP="00056F84">
      <w:pPr>
        <w:jc w:val="both"/>
        <w:rPr>
          <w:b/>
          <w:i/>
        </w:rPr>
      </w:pPr>
    </w:p>
    <w:p w14:paraId="173ACF17" w14:textId="77777777" w:rsidR="009B2CB3" w:rsidRDefault="009B2CB3" w:rsidP="00056F84">
      <w:pPr>
        <w:jc w:val="both"/>
        <w:rPr>
          <w:b/>
          <w:i/>
        </w:rPr>
      </w:pPr>
    </w:p>
    <w:p w14:paraId="46275157" w14:textId="77777777" w:rsidR="009B2CB3" w:rsidRDefault="009B2CB3" w:rsidP="00056F84">
      <w:pPr>
        <w:jc w:val="both"/>
        <w:rPr>
          <w:b/>
          <w:i/>
        </w:rPr>
      </w:pPr>
    </w:p>
    <w:p w14:paraId="6D6841FB" w14:textId="77777777" w:rsidR="009B2CB3" w:rsidRDefault="009B2CB3" w:rsidP="00056F84">
      <w:pPr>
        <w:jc w:val="both"/>
        <w:rPr>
          <w:b/>
          <w:i/>
        </w:rPr>
      </w:pPr>
    </w:p>
    <w:p w14:paraId="53B8300C" w14:textId="77777777" w:rsidR="009B2CB3" w:rsidRDefault="009B2CB3" w:rsidP="00056F84">
      <w:pPr>
        <w:jc w:val="both"/>
        <w:rPr>
          <w:b/>
          <w:i/>
        </w:rPr>
      </w:pPr>
    </w:p>
    <w:p w14:paraId="5C180B8F" w14:textId="77777777" w:rsidR="009B2CB3" w:rsidRDefault="009B2CB3" w:rsidP="00056F84">
      <w:pPr>
        <w:jc w:val="both"/>
        <w:rPr>
          <w:b/>
          <w:i/>
        </w:rPr>
      </w:pPr>
    </w:p>
    <w:p w14:paraId="21804691" w14:textId="77777777" w:rsidR="009B2CB3" w:rsidRDefault="009B2CB3" w:rsidP="00056F84">
      <w:pPr>
        <w:jc w:val="both"/>
        <w:rPr>
          <w:b/>
          <w:i/>
        </w:rPr>
      </w:pPr>
    </w:p>
    <w:p w14:paraId="511FE571" w14:textId="77777777" w:rsidR="009B2CB3" w:rsidRDefault="009B2CB3" w:rsidP="00056F84">
      <w:pPr>
        <w:jc w:val="both"/>
        <w:rPr>
          <w:b/>
          <w:i/>
        </w:rPr>
      </w:pPr>
    </w:p>
    <w:p w14:paraId="471261F2" w14:textId="7478478F" w:rsidR="00406376" w:rsidRDefault="00406376" w:rsidP="00406376">
      <w:pPr>
        <w:spacing w:after="0" w:line="276" w:lineRule="auto"/>
        <w:jc w:val="both"/>
        <w:rPr>
          <w:i/>
        </w:rPr>
      </w:pPr>
      <w:r w:rsidRPr="005C046F">
        <w:rPr>
          <w:b/>
          <w:sz w:val="26"/>
          <w:szCs w:val="26"/>
        </w:rPr>
        <w:t xml:space="preserve">Material suplementar </w:t>
      </w:r>
      <w:proofErr w:type="spellStart"/>
      <w:r w:rsidRPr="005C046F">
        <w:rPr>
          <w:b/>
          <w:i/>
          <w:sz w:val="26"/>
          <w:szCs w:val="26"/>
        </w:rPr>
        <w:t>on</w:t>
      </w:r>
      <w:proofErr w:type="spellEnd"/>
      <w:r w:rsidRPr="005C046F">
        <w:rPr>
          <w:b/>
          <w:i/>
          <w:sz w:val="26"/>
          <w:szCs w:val="26"/>
        </w:rPr>
        <w:t xml:space="preserve"> </w:t>
      </w:r>
      <w:proofErr w:type="spellStart"/>
      <w:r w:rsidRPr="005C046F">
        <w:rPr>
          <w:b/>
          <w:i/>
          <w:sz w:val="26"/>
          <w:szCs w:val="26"/>
        </w:rPr>
        <w:t>line</w:t>
      </w:r>
      <w:proofErr w:type="spellEnd"/>
      <w:r>
        <w:rPr>
          <w:b/>
          <w:sz w:val="26"/>
          <w:szCs w:val="26"/>
        </w:rPr>
        <w:t xml:space="preserve"> 2</w:t>
      </w:r>
      <w:r w:rsidRPr="005C046F">
        <w:rPr>
          <w:b/>
          <w:sz w:val="26"/>
          <w:szCs w:val="26"/>
        </w:rPr>
        <w:t xml:space="preserve">: </w:t>
      </w:r>
      <w:r>
        <w:rPr>
          <w:b/>
          <w:sz w:val="24"/>
        </w:rPr>
        <w:t>Tabela 1</w:t>
      </w:r>
      <w:r w:rsidRPr="00EA5A1C">
        <w:rPr>
          <w:b/>
          <w:i/>
          <w:sz w:val="24"/>
        </w:rPr>
        <w:t xml:space="preserve"> (</w:t>
      </w:r>
      <w:proofErr w:type="spellStart"/>
      <w:r w:rsidRPr="00EA5A1C">
        <w:rPr>
          <w:b/>
          <w:i/>
          <w:sz w:val="24"/>
        </w:rPr>
        <w:t>on</w:t>
      </w:r>
      <w:proofErr w:type="spellEnd"/>
      <w:r w:rsidRPr="00EA5A1C">
        <w:rPr>
          <w:b/>
          <w:i/>
          <w:sz w:val="24"/>
        </w:rPr>
        <w:t xml:space="preserve"> </w:t>
      </w:r>
      <w:proofErr w:type="spellStart"/>
      <w:r w:rsidRPr="00EA5A1C">
        <w:rPr>
          <w:b/>
          <w:i/>
          <w:sz w:val="24"/>
        </w:rPr>
        <w:t>line</w:t>
      </w:r>
      <w:proofErr w:type="spellEnd"/>
      <w:r w:rsidRPr="00EA5A1C">
        <w:rPr>
          <w:b/>
          <w:i/>
          <w:sz w:val="24"/>
        </w:rPr>
        <w:t xml:space="preserve">) </w:t>
      </w:r>
      <w:r w:rsidRPr="00EA5A1C">
        <w:rPr>
          <w:i/>
          <w:sz w:val="24"/>
        </w:rPr>
        <w:t xml:space="preserve">– </w:t>
      </w:r>
      <w:r w:rsidRPr="00214A90">
        <w:rPr>
          <w:sz w:val="24"/>
        </w:rPr>
        <w:t>Distribuição dos doentes que implantaram CRT de acordo com as guidelines de insuficiência cardíaca por características eletrocardiográficas (duração e morfologia do QRS) (N=135)</w:t>
      </w:r>
    </w:p>
    <w:tbl>
      <w:tblPr>
        <w:tblpPr w:leftFromText="141" w:rightFromText="141" w:vertAnchor="page" w:horzAnchor="margin" w:tblpXSpec="center" w:tblpY="3601"/>
        <w:tblW w:w="7367" w:type="dxa"/>
        <w:tblCellMar>
          <w:left w:w="0" w:type="dxa"/>
          <w:right w:w="0" w:type="dxa"/>
        </w:tblCellMar>
        <w:tblLook w:val="0420" w:firstRow="1" w:lastRow="0" w:firstColumn="0" w:lastColumn="0" w:noHBand="0" w:noVBand="1"/>
      </w:tblPr>
      <w:tblGrid>
        <w:gridCol w:w="5228"/>
        <w:gridCol w:w="2139"/>
      </w:tblGrid>
      <w:tr w:rsidR="00406376" w:rsidRPr="0073405D" w14:paraId="071D8FFA" w14:textId="77777777" w:rsidTr="00CE1E62">
        <w:trPr>
          <w:trHeight w:val="282"/>
        </w:trPr>
        <w:tc>
          <w:tcPr>
            <w:tcW w:w="7367" w:type="dxa"/>
            <w:gridSpan w:val="2"/>
            <w:tcBorders>
              <w:top w:val="single" w:sz="8" w:space="0" w:color="A5A5A5"/>
              <w:left w:val="nil"/>
              <w:bottom w:val="single" w:sz="8" w:space="0" w:color="A5A5A5"/>
              <w:right w:val="nil"/>
            </w:tcBorders>
            <w:shd w:val="clear" w:color="auto" w:fill="auto"/>
            <w:tcMar>
              <w:top w:w="72" w:type="dxa"/>
              <w:left w:w="144" w:type="dxa"/>
              <w:bottom w:w="72" w:type="dxa"/>
              <w:right w:w="144" w:type="dxa"/>
            </w:tcMar>
            <w:hideMark/>
          </w:tcPr>
          <w:p w14:paraId="27446D30" w14:textId="77777777" w:rsidR="00406376" w:rsidRPr="0073405D" w:rsidRDefault="00406376" w:rsidP="00CE1E62">
            <w:pPr>
              <w:spacing w:after="0" w:line="240" w:lineRule="auto"/>
              <w:jc w:val="center"/>
              <w:rPr>
                <w:rFonts w:ascii="Arial" w:eastAsia="Times New Roman" w:hAnsi="Arial" w:cs="Arial"/>
                <w:sz w:val="36"/>
                <w:szCs w:val="36"/>
                <w:lang w:eastAsia="pt-PT"/>
              </w:rPr>
            </w:pPr>
            <w:r w:rsidRPr="0073405D">
              <w:rPr>
                <w:rFonts w:ascii="Calibri" w:eastAsia="Times New Roman" w:hAnsi="Calibri" w:cs="Arial"/>
                <w:b/>
                <w:bCs/>
                <w:color w:val="000000"/>
                <w:kern w:val="24"/>
                <w:sz w:val="24"/>
                <w:szCs w:val="36"/>
                <w:lang w:eastAsia="pt-PT"/>
              </w:rPr>
              <w:t xml:space="preserve">Distribuição dos doentes de acordo com as </w:t>
            </w:r>
            <w:r w:rsidRPr="0073405D">
              <w:rPr>
                <w:rFonts w:ascii="Calibri" w:eastAsia="Times New Roman" w:hAnsi="Calibri" w:cs="Arial"/>
                <w:b/>
                <w:bCs/>
                <w:i/>
                <w:color w:val="000000"/>
                <w:kern w:val="24"/>
                <w:sz w:val="24"/>
                <w:szCs w:val="36"/>
                <w:lang w:eastAsia="pt-PT"/>
              </w:rPr>
              <w:t>guidelines</w:t>
            </w:r>
            <w:r w:rsidRPr="0073405D">
              <w:rPr>
                <w:rFonts w:ascii="Calibri" w:eastAsia="Times New Roman" w:hAnsi="Calibri" w:cs="Arial"/>
                <w:b/>
                <w:bCs/>
                <w:color w:val="000000"/>
                <w:kern w:val="24"/>
                <w:sz w:val="24"/>
                <w:szCs w:val="36"/>
                <w:lang w:eastAsia="pt-PT"/>
              </w:rPr>
              <w:t xml:space="preserve"> de IC de 2008</w:t>
            </w:r>
            <w:r w:rsidRPr="00B01B67">
              <w:rPr>
                <w:rFonts w:ascii="Calibri" w:eastAsia="Times New Roman" w:hAnsi="Calibri" w:cs="Arial"/>
                <w:b/>
                <w:bCs/>
                <w:color w:val="000000"/>
                <w:kern w:val="24"/>
                <w:sz w:val="24"/>
                <w:szCs w:val="36"/>
                <w:vertAlign w:val="superscript"/>
                <w:lang w:eastAsia="pt-PT"/>
              </w:rPr>
              <w:t>*</w:t>
            </w:r>
          </w:p>
        </w:tc>
      </w:tr>
      <w:tr w:rsidR="00406376" w:rsidRPr="0073405D" w14:paraId="2CBC00AB" w14:textId="77777777" w:rsidTr="00CE1E62">
        <w:trPr>
          <w:trHeight w:val="282"/>
        </w:trPr>
        <w:tc>
          <w:tcPr>
            <w:tcW w:w="5228" w:type="dxa"/>
            <w:tcBorders>
              <w:top w:val="single" w:sz="8" w:space="0" w:color="A5A5A5"/>
              <w:left w:val="nil"/>
              <w:bottom w:val="nil"/>
              <w:right w:val="nil"/>
            </w:tcBorders>
            <w:shd w:val="clear" w:color="auto" w:fill="F0F0F0"/>
            <w:tcMar>
              <w:top w:w="72" w:type="dxa"/>
              <w:left w:w="144" w:type="dxa"/>
              <w:bottom w:w="72" w:type="dxa"/>
              <w:right w:w="144" w:type="dxa"/>
            </w:tcMar>
            <w:vAlign w:val="center"/>
            <w:hideMark/>
          </w:tcPr>
          <w:p w14:paraId="14290C84" w14:textId="77777777" w:rsidR="00406376" w:rsidRPr="0073405D" w:rsidRDefault="00406376" w:rsidP="00CE1E62">
            <w:pPr>
              <w:spacing w:after="0" w:line="240" w:lineRule="auto"/>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QRS≥120ms</w:t>
            </w:r>
          </w:p>
          <w:p w14:paraId="05D1DB41" w14:textId="77777777" w:rsidR="00406376" w:rsidRPr="0073405D" w:rsidRDefault="00406376" w:rsidP="00CE1E62">
            <w:pPr>
              <w:spacing w:after="0" w:line="240" w:lineRule="auto"/>
              <w:rPr>
                <w:rFonts w:ascii="Arial" w:eastAsia="Times New Roman" w:hAnsi="Arial" w:cs="Arial"/>
                <w:szCs w:val="36"/>
                <w:lang w:eastAsia="pt-PT"/>
              </w:rPr>
            </w:pPr>
            <w:r w:rsidRPr="0073405D">
              <w:rPr>
                <w:rFonts w:ascii="Calibri" w:eastAsia="Times New Roman" w:hAnsi="Calibri" w:cs="Arial"/>
                <w:color w:val="000000"/>
                <w:kern w:val="24"/>
                <w:sz w:val="20"/>
                <w:szCs w:val="28"/>
                <w:lang w:eastAsia="pt-PT"/>
              </w:rPr>
              <w:t>(recomendação classe I A)</w:t>
            </w:r>
          </w:p>
        </w:tc>
        <w:tc>
          <w:tcPr>
            <w:tcW w:w="2139" w:type="dxa"/>
            <w:tcBorders>
              <w:top w:val="single" w:sz="8" w:space="0" w:color="A5A5A5"/>
              <w:left w:val="nil"/>
              <w:bottom w:val="nil"/>
              <w:right w:val="nil"/>
            </w:tcBorders>
            <w:shd w:val="clear" w:color="auto" w:fill="F0F0F0"/>
            <w:tcMar>
              <w:top w:w="72" w:type="dxa"/>
              <w:left w:w="144" w:type="dxa"/>
              <w:bottom w:w="72" w:type="dxa"/>
              <w:right w:w="144" w:type="dxa"/>
            </w:tcMar>
            <w:vAlign w:val="center"/>
            <w:hideMark/>
          </w:tcPr>
          <w:p w14:paraId="5ED50209" w14:textId="77777777" w:rsidR="00406376" w:rsidRPr="0073405D" w:rsidRDefault="00406376" w:rsidP="00CE1E62">
            <w:pPr>
              <w:spacing w:after="0" w:line="240" w:lineRule="auto"/>
              <w:jc w:val="center"/>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128</w:t>
            </w:r>
            <w:r>
              <w:rPr>
                <w:rFonts w:ascii="Calibri" w:eastAsia="Times New Roman" w:hAnsi="Calibri" w:cs="Arial"/>
                <w:color w:val="000000"/>
                <w:kern w:val="24"/>
                <w:szCs w:val="32"/>
                <w:lang w:eastAsia="pt-PT"/>
              </w:rPr>
              <w:t xml:space="preserve"> (95%)</w:t>
            </w:r>
          </w:p>
        </w:tc>
      </w:tr>
      <w:tr w:rsidR="00406376" w:rsidRPr="0073405D" w14:paraId="21F88212" w14:textId="77777777" w:rsidTr="00CE1E62">
        <w:trPr>
          <w:trHeight w:val="211"/>
        </w:trPr>
        <w:tc>
          <w:tcPr>
            <w:tcW w:w="5228" w:type="dxa"/>
            <w:tcBorders>
              <w:top w:val="nil"/>
              <w:left w:val="nil"/>
              <w:bottom w:val="single" w:sz="8" w:space="0" w:color="A5A5A5"/>
              <w:right w:val="nil"/>
            </w:tcBorders>
            <w:shd w:val="clear" w:color="auto" w:fill="auto"/>
            <w:tcMar>
              <w:top w:w="72" w:type="dxa"/>
              <w:left w:w="144" w:type="dxa"/>
              <w:bottom w:w="72" w:type="dxa"/>
              <w:right w:w="144" w:type="dxa"/>
            </w:tcMar>
            <w:vAlign w:val="center"/>
            <w:hideMark/>
          </w:tcPr>
          <w:p w14:paraId="43725B17" w14:textId="77777777" w:rsidR="00406376" w:rsidRPr="0073405D" w:rsidRDefault="00406376" w:rsidP="00CE1E62">
            <w:pPr>
              <w:spacing w:after="0" w:line="240" w:lineRule="auto"/>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Outros</w:t>
            </w:r>
          </w:p>
        </w:tc>
        <w:tc>
          <w:tcPr>
            <w:tcW w:w="2139" w:type="dxa"/>
            <w:tcBorders>
              <w:top w:val="nil"/>
              <w:left w:val="nil"/>
              <w:bottom w:val="single" w:sz="8" w:space="0" w:color="A5A5A5"/>
              <w:right w:val="nil"/>
            </w:tcBorders>
            <w:shd w:val="clear" w:color="auto" w:fill="auto"/>
            <w:tcMar>
              <w:top w:w="72" w:type="dxa"/>
              <w:left w:w="144" w:type="dxa"/>
              <w:bottom w:w="72" w:type="dxa"/>
              <w:right w:w="144" w:type="dxa"/>
            </w:tcMar>
            <w:vAlign w:val="center"/>
            <w:hideMark/>
          </w:tcPr>
          <w:p w14:paraId="151D5953" w14:textId="77777777" w:rsidR="00406376" w:rsidRPr="0073405D" w:rsidRDefault="00406376" w:rsidP="00CE1E62">
            <w:pPr>
              <w:spacing w:after="0" w:line="240" w:lineRule="auto"/>
              <w:jc w:val="center"/>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7</w:t>
            </w:r>
            <w:r>
              <w:rPr>
                <w:rFonts w:ascii="Calibri" w:eastAsia="Times New Roman" w:hAnsi="Calibri" w:cs="Arial"/>
                <w:color w:val="000000"/>
                <w:kern w:val="24"/>
                <w:szCs w:val="32"/>
                <w:lang w:eastAsia="pt-PT"/>
              </w:rPr>
              <w:t xml:space="preserve"> (5%)</w:t>
            </w:r>
          </w:p>
        </w:tc>
      </w:tr>
    </w:tbl>
    <w:p w14:paraId="55A2B9DD" w14:textId="77777777" w:rsidR="00406376" w:rsidRDefault="00406376" w:rsidP="00406376">
      <w:pPr>
        <w:spacing w:after="0" w:line="480" w:lineRule="auto"/>
        <w:rPr>
          <w:b/>
          <w:sz w:val="26"/>
          <w:szCs w:val="26"/>
        </w:rPr>
      </w:pPr>
    </w:p>
    <w:p w14:paraId="5EC13E82" w14:textId="77777777" w:rsidR="00406376" w:rsidRDefault="00406376" w:rsidP="00406376">
      <w:pPr>
        <w:spacing w:after="0" w:line="480" w:lineRule="auto"/>
        <w:rPr>
          <w:b/>
          <w:sz w:val="26"/>
          <w:szCs w:val="26"/>
        </w:rPr>
      </w:pPr>
    </w:p>
    <w:p w14:paraId="3687D84B" w14:textId="77777777" w:rsidR="00406376" w:rsidRDefault="00406376" w:rsidP="00406376">
      <w:pPr>
        <w:spacing w:after="0" w:line="480" w:lineRule="auto"/>
        <w:rPr>
          <w:b/>
          <w:sz w:val="26"/>
          <w:szCs w:val="26"/>
        </w:rPr>
      </w:pPr>
    </w:p>
    <w:p w14:paraId="148191A3" w14:textId="77777777" w:rsidR="00406376" w:rsidRDefault="00406376" w:rsidP="00406376">
      <w:pPr>
        <w:spacing w:after="0" w:line="480" w:lineRule="auto"/>
        <w:rPr>
          <w:b/>
          <w:sz w:val="26"/>
          <w:szCs w:val="26"/>
        </w:rPr>
      </w:pPr>
    </w:p>
    <w:p w14:paraId="49BCCC44" w14:textId="77777777" w:rsidR="00406376" w:rsidRDefault="00406376" w:rsidP="00406376">
      <w:pPr>
        <w:spacing w:after="0" w:line="480" w:lineRule="auto"/>
        <w:rPr>
          <w:b/>
          <w:sz w:val="26"/>
          <w:szCs w:val="26"/>
        </w:rPr>
      </w:pPr>
    </w:p>
    <w:tbl>
      <w:tblPr>
        <w:tblpPr w:leftFromText="141" w:rightFromText="141" w:vertAnchor="text" w:horzAnchor="margin" w:tblpXSpec="center" w:tblpY="-189"/>
        <w:tblW w:w="7371" w:type="dxa"/>
        <w:tblCellMar>
          <w:left w:w="0" w:type="dxa"/>
          <w:right w:w="0" w:type="dxa"/>
        </w:tblCellMar>
        <w:tblLook w:val="0420" w:firstRow="1" w:lastRow="0" w:firstColumn="0" w:lastColumn="0" w:noHBand="0" w:noVBand="1"/>
      </w:tblPr>
      <w:tblGrid>
        <w:gridCol w:w="5035"/>
        <w:gridCol w:w="2336"/>
      </w:tblGrid>
      <w:tr w:rsidR="00406376" w:rsidRPr="0073405D" w14:paraId="5BC2DDEC" w14:textId="77777777" w:rsidTr="00CE1E62">
        <w:trPr>
          <w:trHeight w:val="409"/>
        </w:trPr>
        <w:tc>
          <w:tcPr>
            <w:tcW w:w="7371" w:type="dxa"/>
            <w:gridSpan w:val="2"/>
            <w:tcBorders>
              <w:top w:val="single" w:sz="8" w:space="0" w:color="A5A5A5"/>
              <w:left w:val="nil"/>
              <w:bottom w:val="single" w:sz="8" w:space="0" w:color="A5A5A5"/>
              <w:right w:val="nil"/>
            </w:tcBorders>
            <w:shd w:val="clear" w:color="auto" w:fill="auto"/>
            <w:tcMar>
              <w:top w:w="72" w:type="dxa"/>
              <w:left w:w="144" w:type="dxa"/>
              <w:bottom w:w="72" w:type="dxa"/>
              <w:right w:w="144" w:type="dxa"/>
            </w:tcMar>
            <w:hideMark/>
          </w:tcPr>
          <w:p w14:paraId="6AF5336D" w14:textId="77777777" w:rsidR="00406376" w:rsidRPr="0073405D" w:rsidRDefault="00406376" w:rsidP="00CE1E62">
            <w:pPr>
              <w:spacing w:after="0" w:line="240" w:lineRule="auto"/>
              <w:rPr>
                <w:rFonts w:ascii="Arial" w:eastAsia="Times New Roman" w:hAnsi="Arial" w:cs="Arial"/>
                <w:sz w:val="24"/>
                <w:szCs w:val="36"/>
                <w:lang w:eastAsia="pt-PT"/>
              </w:rPr>
            </w:pPr>
            <w:r w:rsidRPr="0073405D">
              <w:rPr>
                <w:rFonts w:ascii="Calibri" w:eastAsia="Times New Roman" w:hAnsi="Calibri" w:cs="Arial"/>
                <w:b/>
                <w:bCs/>
                <w:color w:val="000000"/>
                <w:kern w:val="24"/>
                <w:sz w:val="24"/>
                <w:szCs w:val="36"/>
                <w:lang w:eastAsia="pt-PT"/>
              </w:rPr>
              <w:t xml:space="preserve">Distribuição dos doentes de acordo com as </w:t>
            </w:r>
            <w:r w:rsidRPr="0073405D">
              <w:rPr>
                <w:rFonts w:ascii="Calibri" w:eastAsia="Times New Roman" w:hAnsi="Calibri" w:cs="Arial"/>
                <w:b/>
                <w:bCs/>
                <w:i/>
                <w:color w:val="000000"/>
                <w:kern w:val="24"/>
                <w:sz w:val="24"/>
                <w:szCs w:val="36"/>
                <w:lang w:eastAsia="pt-PT"/>
              </w:rPr>
              <w:t>guidelines</w:t>
            </w:r>
            <w:r w:rsidRPr="0073405D">
              <w:rPr>
                <w:rFonts w:ascii="Calibri" w:eastAsia="Times New Roman" w:hAnsi="Calibri" w:cs="Arial"/>
                <w:b/>
                <w:bCs/>
                <w:color w:val="000000"/>
                <w:kern w:val="24"/>
                <w:sz w:val="24"/>
                <w:szCs w:val="36"/>
                <w:lang w:eastAsia="pt-PT"/>
              </w:rPr>
              <w:t xml:space="preserve"> de IC de 2016</w:t>
            </w:r>
            <w:r w:rsidRPr="00B01B67">
              <w:rPr>
                <w:rFonts w:ascii="Calibri" w:eastAsia="Times New Roman" w:hAnsi="Calibri" w:cs="Arial"/>
                <w:b/>
                <w:bCs/>
                <w:color w:val="000000"/>
                <w:kern w:val="24"/>
                <w:sz w:val="24"/>
                <w:szCs w:val="36"/>
                <w:vertAlign w:val="superscript"/>
                <w:lang w:eastAsia="pt-PT"/>
              </w:rPr>
              <w:t>#</w:t>
            </w:r>
          </w:p>
        </w:tc>
      </w:tr>
      <w:tr w:rsidR="00406376" w:rsidRPr="0073405D" w14:paraId="13664C14" w14:textId="77777777" w:rsidTr="00CE1E62">
        <w:trPr>
          <w:trHeight w:val="438"/>
        </w:trPr>
        <w:tc>
          <w:tcPr>
            <w:tcW w:w="5035" w:type="dxa"/>
            <w:tcBorders>
              <w:top w:val="single" w:sz="8" w:space="0" w:color="A5A5A5"/>
              <w:left w:val="nil"/>
              <w:bottom w:val="nil"/>
              <w:right w:val="nil"/>
            </w:tcBorders>
            <w:shd w:val="clear" w:color="auto" w:fill="F0F0F0"/>
            <w:tcMar>
              <w:top w:w="72" w:type="dxa"/>
              <w:left w:w="144" w:type="dxa"/>
              <w:bottom w:w="72" w:type="dxa"/>
              <w:right w:w="144" w:type="dxa"/>
            </w:tcMar>
            <w:hideMark/>
          </w:tcPr>
          <w:p w14:paraId="5DC8945A" w14:textId="77777777" w:rsidR="00406376" w:rsidRPr="0073405D" w:rsidRDefault="00406376" w:rsidP="00CE1E62">
            <w:pPr>
              <w:spacing w:after="0" w:line="240" w:lineRule="auto"/>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QRS≥150ms e BCRE</w:t>
            </w:r>
          </w:p>
          <w:p w14:paraId="72F036EE" w14:textId="77777777" w:rsidR="00406376" w:rsidRPr="0073405D" w:rsidRDefault="00406376" w:rsidP="00CE1E62">
            <w:pPr>
              <w:spacing w:after="0" w:line="240" w:lineRule="auto"/>
              <w:rPr>
                <w:rFonts w:ascii="Arial" w:eastAsia="Times New Roman" w:hAnsi="Arial" w:cs="Arial"/>
                <w:szCs w:val="36"/>
                <w:lang w:eastAsia="pt-PT"/>
              </w:rPr>
            </w:pPr>
            <w:r w:rsidRPr="0073405D">
              <w:rPr>
                <w:rFonts w:ascii="Calibri" w:eastAsia="Times New Roman" w:hAnsi="Calibri" w:cs="Arial"/>
                <w:color w:val="000000"/>
                <w:kern w:val="24"/>
                <w:sz w:val="20"/>
                <w:szCs w:val="28"/>
                <w:lang w:eastAsia="pt-PT"/>
              </w:rPr>
              <w:t>(recomendação classe I A)</w:t>
            </w:r>
          </w:p>
        </w:tc>
        <w:tc>
          <w:tcPr>
            <w:tcW w:w="2336" w:type="dxa"/>
            <w:tcBorders>
              <w:top w:val="single" w:sz="8" w:space="0" w:color="A5A5A5"/>
              <w:left w:val="nil"/>
              <w:bottom w:val="nil"/>
              <w:right w:val="nil"/>
            </w:tcBorders>
            <w:shd w:val="clear" w:color="auto" w:fill="F0F0F0"/>
            <w:tcMar>
              <w:top w:w="72" w:type="dxa"/>
              <w:left w:w="144" w:type="dxa"/>
              <w:bottom w:w="72" w:type="dxa"/>
              <w:right w:w="144" w:type="dxa"/>
            </w:tcMar>
            <w:hideMark/>
          </w:tcPr>
          <w:p w14:paraId="04783A6E" w14:textId="77777777" w:rsidR="00406376" w:rsidRPr="0073405D" w:rsidRDefault="00406376" w:rsidP="00CE1E62">
            <w:pPr>
              <w:spacing w:after="0" w:line="240" w:lineRule="auto"/>
              <w:jc w:val="center"/>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95</w:t>
            </w:r>
            <w:r>
              <w:rPr>
                <w:rFonts w:ascii="Calibri" w:eastAsia="Times New Roman" w:hAnsi="Calibri" w:cs="Arial"/>
                <w:color w:val="000000"/>
                <w:kern w:val="24"/>
                <w:szCs w:val="32"/>
                <w:lang w:eastAsia="pt-PT"/>
              </w:rPr>
              <w:t xml:space="preserve"> (70%)</w:t>
            </w:r>
          </w:p>
        </w:tc>
      </w:tr>
      <w:tr w:rsidR="00406376" w:rsidRPr="0073405D" w14:paraId="2E5B4189" w14:textId="77777777" w:rsidTr="00CE1E62">
        <w:trPr>
          <w:trHeight w:val="462"/>
        </w:trPr>
        <w:tc>
          <w:tcPr>
            <w:tcW w:w="5035" w:type="dxa"/>
            <w:tcBorders>
              <w:top w:val="nil"/>
              <w:left w:val="nil"/>
              <w:bottom w:val="nil"/>
              <w:right w:val="nil"/>
            </w:tcBorders>
            <w:shd w:val="clear" w:color="auto" w:fill="auto"/>
            <w:tcMar>
              <w:top w:w="72" w:type="dxa"/>
              <w:left w:w="144" w:type="dxa"/>
              <w:bottom w:w="72" w:type="dxa"/>
              <w:right w:w="144" w:type="dxa"/>
            </w:tcMar>
            <w:hideMark/>
          </w:tcPr>
          <w:p w14:paraId="568164FE" w14:textId="77777777" w:rsidR="00406376" w:rsidRPr="0073405D" w:rsidRDefault="00406376" w:rsidP="00CE1E62">
            <w:pPr>
              <w:spacing w:after="0" w:line="240" w:lineRule="auto"/>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QRS≥150ms e não-BCRE</w:t>
            </w:r>
          </w:p>
          <w:p w14:paraId="3D0C5A49" w14:textId="77777777" w:rsidR="00406376" w:rsidRPr="0073405D" w:rsidRDefault="00406376" w:rsidP="00CE1E62">
            <w:pPr>
              <w:spacing w:after="0" w:line="240" w:lineRule="auto"/>
              <w:rPr>
                <w:rFonts w:ascii="Arial" w:eastAsia="Times New Roman" w:hAnsi="Arial" w:cs="Arial"/>
                <w:szCs w:val="36"/>
                <w:lang w:eastAsia="pt-PT"/>
              </w:rPr>
            </w:pPr>
            <w:r w:rsidRPr="0073405D">
              <w:rPr>
                <w:rFonts w:ascii="Calibri" w:eastAsia="Times New Roman" w:hAnsi="Calibri" w:cs="Arial"/>
                <w:color w:val="000000"/>
                <w:kern w:val="24"/>
                <w:sz w:val="20"/>
                <w:szCs w:val="28"/>
                <w:lang w:eastAsia="pt-PT"/>
              </w:rPr>
              <w:t xml:space="preserve">(recomendação classe </w:t>
            </w:r>
            <w:proofErr w:type="spellStart"/>
            <w:r w:rsidRPr="0073405D">
              <w:rPr>
                <w:rFonts w:ascii="Calibri" w:eastAsia="Times New Roman" w:hAnsi="Calibri" w:cs="Arial"/>
                <w:color w:val="000000"/>
                <w:kern w:val="24"/>
                <w:sz w:val="20"/>
                <w:szCs w:val="28"/>
                <w:lang w:eastAsia="pt-PT"/>
              </w:rPr>
              <w:t>IIa</w:t>
            </w:r>
            <w:proofErr w:type="spellEnd"/>
            <w:r w:rsidRPr="0073405D">
              <w:rPr>
                <w:rFonts w:ascii="Calibri" w:eastAsia="Times New Roman" w:hAnsi="Calibri" w:cs="Arial"/>
                <w:color w:val="000000"/>
                <w:kern w:val="24"/>
                <w:sz w:val="20"/>
                <w:szCs w:val="28"/>
                <w:lang w:eastAsia="pt-PT"/>
              </w:rPr>
              <w:t xml:space="preserve"> B)</w:t>
            </w:r>
          </w:p>
        </w:tc>
        <w:tc>
          <w:tcPr>
            <w:tcW w:w="2336" w:type="dxa"/>
            <w:tcBorders>
              <w:top w:val="nil"/>
              <w:left w:val="nil"/>
              <w:bottom w:val="nil"/>
              <w:right w:val="nil"/>
            </w:tcBorders>
            <w:shd w:val="clear" w:color="auto" w:fill="auto"/>
            <w:tcMar>
              <w:top w:w="72" w:type="dxa"/>
              <w:left w:w="144" w:type="dxa"/>
              <w:bottom w:w="72" w:type="dxa"/>
              <w:right w:w="144" w:type="dxa"/>
            </w:tcMar>
            <w:hideMark/>
          </w:tcPr>
          <w:p w14:paraId="1DF07F95" w14:textId="77777777" w:rsidR="00406376" w:rsidRPr="0073405D" w:rsidRDefault="00406376" w:rsidP="00CE1E62">
            <w:pPr>
              <w:spacing w:after="0" w:line="240" w:lineRule="auto"/>
              <w:jc w:val="center"/>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4</w:t>
            </w:r>
            <w:r>
              <w:rPr>
                <w:rFonts w:ascii="Calibri" w:eastAsia="Times New Roman" w:hAnsi="Calibri" w:cs="Arial"/>
                <w:color w:val="000000"/>
                <w:kern w:val="24"/>
                <w:szCs w:val="32"/>
                <w:lang w:eastAsia="pt-PT"/>
              </w:rPr>
              <w:t xml:space="preserve"> (3%)</w:t>
            </w:r>
          </w:p>
        </w:tc>
      </w:tr>
      <w:tr w:rsidR="00406376" w:rsidRPr="0073405D" w14:paraId="3C0AC306" w14:textId="77777777" w:rsidTr="00CE1E62">
        <w:trPr>
          <w:trHeight w:val="462"/>
        </w:trPr>
        <w:tc>
          <w:tcPr>
            <w:tcW w:w="5035" w:type="dxa"/>
            <w:tcBorders>
              <w:top w:val="nil"/>
              <w:left w:val="nil"/>
              <w:bottom w:val="nil"/>
              <w:right w:val="nil"/>
            </w:tcBorders>
            <w:shd w:val="clear" w:color="auto" w:fill="F0F0F0"/>
            <w:tcMar>
              <w:top w:w="72" w:type="dxa"/>
              <w:left w:w="144" w:type="dxa"/>
              <w:bottom w:w="72" w:type="dxa"/>
              <w:right w:w="144" w:type="dxa"/>
            </w:tcMar>
            <w:hideMark/>
          </w:tcPr>
          <w:p w14:paraId="7DEDE667" w14:textId="77777777" w:rsidR="00406376" w:rsidRPr="0073405D" w:rsidRDefault="00406376" w:rsidP="00CE1E62">
            <w:pPr>
              <w:spacing w:after="0" w:line="240" w:lineRule="auto"/>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QRS 130-149ms e BCRE</w:t>
            </w:r>
          </w:p>
          <w:p w14:paraId="2AAD021E" w14:textId="77777777" w:rsidR="00406376" w:rsidRPr="0073405D" w:rsidRDefault="00406376" w:rsidP="00CE1E62">
            <w:pPr>
              <w:spacing w:after="0" w:line="240" w:lineRule="auto"/>
              <w:rPr>
                <w:rFonts w:ascii="Arial" w:eastAsia="Times New Roman" w:hAnsi="Arial" w:cs="Arial"/>
                <w:szCs w:val="36"/>
                <w:lang w:eastAsia="pt-PT"/>
              </w:rPr>
            </w:pPr>
            <w:r w:rsidRPr="0073405D">
              <w:rPr>
                <w:rFonts w:ascii="Calibri" w:eastAsia="Times New Roman" w:hAnsi="Calibri" w:cs="Arial"/>
                <w:color w:val="000000"/>
                <w:kern w:val="24"/>
                <w:sz w:val="20"/>
                <w:szCs w:val="28"/>
                <w:lang w:eastAsia="pt-PT"/>
              </w:rPr>
              <w:t>(recomendação classe I B)</w:t>
            </w:r>
          </w:p>
        </w:tc>
        <w:tc>
          <w:tcPr>
            <w:tcW w:w="2336" w:type="dxa"/>
            <w:tcBorders>
              <w:top w:val="nil"/>
              <w:left w:val="nil"/>
              <w:bottom w:val="nil"/>
              <w:right w:val="nil"/>
            </w:tcBorders>
            <w:shd w:val="clear" w:color="auto" w:fill="F0F0F0"/>
            <w:tcMar>
              <w:top w:w="72" w:type="dxa"/>
              <w:left w:w="144" w:type="dxa"/>
              <w:bottom w:w="72" w:type="dxa"/>
              <w:right w:w="144" w:type="dxa"/>
            </w:tcMar>
            <w:hideMark/>
          </w:tcPr>
          <w:p w14:paraId="4A3706C0" w14:textId="77777777" w:rsidR="00406376" w:rsidRPr="0073405D" w:rsidRDefault="00406376" w:rsidP="00CE1E62">
            <w:pPr>
              <w:spacing w:after="0" w:line="240" w:lineRule="auto"/>
              <w:jc w:val="center"/>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22</w:t>
            </w:r>
            <w:r>
              <w:rPr>
                <w:rFonts w:ascii="Calibri" w:eastAsia="Times New Roman" w:hAnsi="Calibri" w:cs="Arial"/>
                <w:color w:val="000000"/>
                <w:kern w:val="24"/>
                <w:szCs w:val="32"/>
                <w:lang w:eastAsia="pt-PT"/>
              </w:rPr>
              <w:t xml:space="preserve"> (16%)</w:t>
            </w:r>
          </w:p>
        </w:tc>
      </w:tr>
      <w:tr w:rsidR="00406376" w:rsidRPr="0073405D" w14:paraId="7DA748F1" w14:textId="77777777" w:rsidTr="00CE1E62">
        <w:trPr>
          <w:trHeight w:val="438"/>
        </w:trPr>
        <w:tc>
          <w:tcPr>
            <w:tcW w:w="5035" w:type="dxa"/>
            <w:tcBorders>
              <w:top w:val="nil"/>
              <w:left w:val="nil"/>
              <w:bottom w:val="nil"/>
              <w:right w:val="nil"/>
            </w:tcBorders>
            <w:shd w:val="clear" w:color="auto" w:fill="auto"/>
            <w:tcMar>
              <w:top w:w="72" w:type="dxa"/>
              <w:left w:w="144" w:type="dxa"/>
              <w:bottom w:w="72" w:type="dxa"/>
              <w:right w:w="144" w:type="dxa"/>
            </w:tcMar>
            <w:hideMark/>
          </w:tcPr>
          <w:p w14:paraId="03E89DC4" w14:textId="77777777" w:rsidR="00406376" w:rsidRPr="0073405D" w:rsidRDefault="00406376" w:rsidP="00CE1E62">
            <w:pPr>
              <w:spacing w:after="0" w:line="240" w:lineRule="auto"/>
              <w:rPr>
                <w:rFonts w:ascii="Arial" w:eastAsia="Times New Roman" w:hAnsi="Arial" w:cs="Arial"/>
                <w:szCs w:val="36"/>
                <w:lang w:eastAsia="pt-PT"/>
              </w:rPr>
            </w:pPr>
            <w:r>
              <w:rPr>
                <w:rFonts w:ascii="Calibri" w:eastAsia="Times New Roman" w:hAnsi="Calibri" w:cs="Arial"/>
                <w:color w:val="000000"/>
                <w:kern w:val="24"/>
                <w:szCs w:val="32"/>
                <w:lang w:eastAsia="pt-PT"/>
              </w:rPr>
              <w:t>QRS 130-149ms e não-</w:t>
            </w:r>
            <w:r w:rsidRPr="0073405D">
              <w:rPr>
                <w:rFonts w:ascii="Calibri" w:eastAsia="Times New Roman" w:hAnsi="Calibri" w:cs="Arial"/>
                <w:color w:val="000000"/>
                <w:kern w:val="24"/>
                <w:szCs w:val="32"/>
                <w:lang w:eastAsia="pt-PT"/>
              </w:rPr>
              <w:t>BCRE</w:t>
            </w:r>
          </w:p>
          <w:p w14:paraId="0DF920DA" w14:textId="77777777" w:rsidR="00406376" w:rsidRPr="0073405D" w:rsidRDefault="00406376" w:rsidP="00CE1E62">
            <w:pPr>
              <w:spacing w:after="0" w:line="240" w:lineRule="auto"/>
              <w:rPr>
                <w:rFonts w:ascii="Arial" w:eastAsia="Times New Roman" w:hAnsi="Arial" w:cs="Arial"/>
                <w:szCs w:val="36"/>
                <w:lang w:eastAsia="pt-PT"/>
              </w:rPr>
            </w:pPr>
            <w:r w:rsidRPr="0073405D">
              <w:rPr>
                <w:rFonts w:ascii="Calibri" w:eastAsia="Times New Roman" w:hAnsi="Calibri" w:cs="Arial"/>
                <w:color w:val="000000"/>
                <w:kern w:val="24"/>
                <w:sz w:val="20"/>
                <w:szCs w:val="28"/>
                <w:lang w:eastAsia="pt-PT"/>
              </w:rPr>
              <w:t xml:space="preserve">(recomendação classe </w:t>
            </w:r>
            <w:proofErr w:type="spellStart"/>
            <w:r w:rsidRPr="0073405D">
              <w:rPr>
                <w:rFonts w:ascii="Calibri" w:eastAsia="Times New Roman" w:hAnsi="Calibri" w:cs="Arial"/>
                <w:color w:val="000000"/>
                <w:kern w:val="24"/>
                <w:sz w:val="20"/>
                <w:szCs w:val="28"/>
                <w:lang w:eastAsia="pt-PT"/>
              </w:rPr>
              <w:t>IIb</w:t>
            </w:r>
            <w:proofErr w:type="spellEnd"/>
            <w:r w:rsidRPr="0073405D">
              <w:rPr>
                <w:rFonts w:ascii="Calibri" w:eastAsia="Times New Roman" w:hAnsi="Calibri" w:cs="Arial"/>
                <w:color w:val="000000"/>
                <w:kern w:val="24"/>
                <w:sz w:val="20"/>
                <w:szCs w:val="28"/>
                <w:lang w:eastAsia="pt-PT"/>
              </w:rPr>
              <w:t xml:space="preserve"> B)</w:t>
            </w:r>
          </w:p>
        </w:tc>
        <w:tc>
          <w:tcPr>
            <w:tcW w:w="2336" w:type="dxa"/>
            <w:tcBorders>
              <w:top w:val="nil"/>
              <w:left w:val="nil"/>
              <w:bottom w:val="nil"/>
              <w:right w:val="nil"/>
            </w:tcBorders>
            <w:shd w:val="clear" w:color="auto" w:fill="auto"/>
            <w:tcMar>
              <w:top w:w="72" w:type="dxa"/>
              <w:left w:w="144" w:type="dxa"/>
              <w:bottom w:w="72" w:type="dxa"/>
              <w:right w:w="144" w:type="dxa"/>
            </w:tcMar>
            <w:hideMark/>
          </w:tcPr>
          <w:p w14:paraId="296E0AF6" w14:textId="77777777" w:rsidR="00406376" w:rsidRPr="0073405D" w:rsidRDefault="00406376" w:rsidP="00CE1E62">
            <w:pPr>
              <w:spacing w:after="0" w:line="240" w:lineRule="auto"/>
              <w:jc w:val="center"/>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3</w:t>
            </w:r>
            <w:r>
              <w:rPr>
                <w:rFonts w:ascii="Calibri" w:eastAsia="Times New Roman" w:hAnsi="Calibri" w:cs="Arial"/>
                <w:color w:val="000000"/>
                <w:kern w:val="24"/>
                <w:szCs w:val="32"/>
                <w:lang w:eastAsia="pt-PT"/>
              </w:rPr>
              <w:t xml:space="preserve"> (2%)</w:t>
            </w:r>
          </w:p>
        </w:tc>
      </w:tr>
      <w:tr w:rsidR="00406376" w:rsidRPr="0073405D" w14:paraId="3F254582" w14:textId="77777777" w:rsidTr="00CE1E62">
        <w:trPr>
          <w:trHeight w:val="324"/>
        </w:trPr>
        <w:tc>
          <w:tcPr>
            <w:tcW w:w="5035" w:type="dxa"/>
            <w:tcBorders>
              <w:top w:val="nil"/>
              <w:left w:val="nil"/>
              <w:bottom w:val="single" w:sz="8" w:space="0" w:color="A5A5A5"/>
              <w:right w:val="nil"/>
            </w:tcBorders>
            <w:shd w:val="clear" w:color="auto" w:fill="F0F0F0"/>
            <w:tcMar>
              <w:top w:w="72" w:type="dxa"/>
              <w:left w:w="144" w:type="dxa"/>
              <w:bottom w:w="72" w:type="dxa"/>
              <w:right w:w="144" w:type="dxa"/>
            </w:tcMar>
            <w:hideMark/>
          </w:tcPr>
          <w:p w14:paraId="15A653FE" w14:textId="77777777" w:rsidR="00406376" w:rsidRPr="0073405D" w:rsidRDefault="00406376" w:rsidP="00CE1E62">
            <w:pPr>
              <w:spacing w:after="0" w:line="240" w:lineRule="auto"/>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Outros (QRS &lt;130ms)</w:t>
            </w:r>
          </w:p>
        </w:tc>
        <w:tc>
          <w:tcPr>
            <w:tcW w:w="2336" w:type="dxa"/>
            <w:tcBorders>
              <w:top w:val="nil"/>
              <w:left w:val="nil"/>
              <w:bottom w:val="single" w:sz="8" w:space="0" w:color="A5A5A5"/>
              <w:right w:val="nil"/>
            </w:tcBorders>
            <w:shd w:val="clear" w:color="auto" w:fill="F0F0F0"/>
            <w:tcMar>
              <w:top w:w="72" w:type="dxa"/>
              <w:left w:w="144" w:type="dxa"/>
              <w:bottom w:w="72" w:type="dxa"/>
              <w:right w:w="144" w:type="dxa"/>
            </w:tcMar>
            <w:hideMark/>
          </w:tcPr>
          <w:p w14:paraId="28F0F64A" w14:textId="77777777" w:rsidR="00406376" w:rsidRPr="0073405D" w:rsidRDefault="00406376" w:rsidP="00CE1E62">
            <w:pPr>
              <w:spacing w:after="0" w:line="240" w:lineRule="auto"/>
              <w:jc w:val="center"/>
              <w:rPr>
                <w:rFonts w:ascii="Arial" w:eastAsia="Times New Roman" w:hAnsi="Arial" w:cs="Arial"/>
                <w:szCs w:val="36"/>
                <w:lang w:eastAsia="pt-PT"/>
              </w:rPr>
            </w:pPr>
            <w:r w:rsidRPr="0073405D">
              <w:rPr>
                <w:rFonts w:ascii="Calibri" w:eastAsia="Times New Roman" w:hAnsi="Calibri" w:cs="Arial"/>
                <w:color w:val="000000"/>
                <w:kern w:val="24"/>
                <w:szCs w:val="32"/>
                <w:lang w:eastAsia="pt-PT"/>
              </w:rPr>
              <w:t>11</w:t>
            </w:r>
            <w:r>
              <w:rPr>
                <w:rFonts w:ascii="Calibri" w:eastAsia="Times New Roman" w:hAnsi="Calibri" w:cs="Arial"/>
                <w:color w:val="000000"/>
                <w:kern w:val="24"/>
                <w:szCs w:val="32"/>
                <w:lang w:eastAsia="pt-PT"/>
              </w:rPr>
              <w:t xml:space="preserve"> (8%)</w:t>
            </w:r>
          </w:p>
        </w:tc>
      </w:tr>
    </w:tbl>
    <w:p w14:paraId="13E850CA" w14:textId="77777777" w:rsidR="00406376" w:rsidRDefault="00406376" w:rsidP="00406376">
      <w:pPr>
        <w:spacing w:after="0" w:line="480" w:lineRule="auto"/>
        <w:rPr>
          <w:b/>
          <w:sz w:val="26"/>
          <w:szCs w:val="26"/>
        </w:rPr>
      </w:pPr>
    </w:p>
    <w:p w14:paraId="52701093" w14:textId="77777777" w:rsidR="00406376" w:rsidRDefault="00406376" w:rsidP="00406376">
      <w:pPr>
        <w:spacing w:after="0" w:line="480" w:lineRule="auto"/>
        <w:rPr>
          <w:b/>
          <w:sz w:val="26"/>
          <w:szCs w:val="26"/>
        </w:rPr>
      </w:pPr>
    </w:p>
    <w:p w14:paraId="3038C446" w14:textId="77777777" w:rsidR="00406376" w:rsidRDefault="00406376" w:rsidP="00406376">
      <w:pPr>
        <w:spacing w:after="0" w:line="480" w:lineRule="auto"/>
        <w:rPr>
          <w:b/>
          <w:sz w:val="26"/>
          <w:szCs w:val="26"/>
        </w:rPr>
      </w:pPr>
    </w:p>
    <w:p w14:paraId="0CCE885A" w14:textId="77777777" w:rsidR="00406376" w:rsidRDefault="00406376" w:rsidP="00406376">
      <w:pPr>
        <w:spacing w:after="200" w:line="276" w:lineRule="auto"/>
        <w:rPr>
          <w:b/>
          <w:sz w:val="26"/>
          <w:szCs w:val="26"/>
        </w:rPr>
      </w:pPr>
    </w:p>
    <w:p w14:paraId="6A518CC8" w14:textId="77777777" w:rsidR="00406376" w:rsidRDefault="00406376" w:rsidP="00406376">
      <w:pPr>
        <w:spacing w:after="200" w:line="276" w:lineRule="auto"/>
        <w:rPr>
          <w:b/>
          <w:sz w:val="26"/>
          <w:szCs w:val="26"/>
        </w:rPr>
      </w:pPr>
    </w:p>
    <w:p w14:paraId="5592B550" w14:textId="77777777" w:rsidR="00406376" w:rsidRDefault="00406376" w:rsidP="00406376">
      <w:pPr>
        <w:spacing w:after="200" w:line="276" w:lineRule="auto"/>
        <w:rPr>
          <w:b/>
          <w:sz w:val="26"/>
          <w:szCs w:val="26"/>
        </w:rPr>
      </w:pPr>
    </w:p>
    <w:p w14:paraId="7842A409" w14:textId="77777777" w:rsidR="00406376" w:rsidRDefault="00406376" w:rsidP="00406376">
      <w:pPr>
        <w:spacing w:after="200" w:line="276" w:lineRule="auto"/>
        <w:ind w:firstLine="708"/>
        <w:rPr>
          <w:sz w:val="20"/>
        </w:rPr>
      </w:pPr>
      <w:r>
        <w:rPr>
          <w:sz w:val="20"/>
        </w:rPr>
        <w:t>IC: Insuficiência Cardíaca; BCRE: Bloqueio completo de ramo esquerdo</w:t>
      </w:r>
    </w:p>
    <w:p w14:paraId="2F9BF5A4" w14:textId="77777777" w:rsidR="00406376" w:rsidRPr="00B01B67" w:rsidRDefault="00406376" w:rsidP="00406376">
      <w:pPr>
        <w:spacing w:after="200" w:line="276" w:lineRule="auto"/>
        <w:ind w:firstLine="708"/>
        <w:jc w:val="both"/>
        <w:rPr>
          <w:sz w:val="20"/>
          <w:szCs w:val="20"/>
          <w:lang w:val="en-GB"/>
        </w:rPr>
      </w:pPr>
      <w:r w:rsidRPr="000D48E6">
        <w:rPr>
          <w:sz w:val="20"/>
          <w:szCs w:val="20"/>
          <w:vertAlign w:val="superscript"/>
          <w:lang w:val="en-GB"/>
        </w:rPr>
        <w:t>*</w:t>
      </w:r>
      <w:r w:rsidRPr="000D48E6">
        <w:rPr>
          <w:rFonts w:ascii="Calibri" w:hAnsi="Calibri"/>
          <w:sz w:val="20"/>
          <w:szCs w:val="20"/>
          <w:lang w:val="en-GB"/>
        </w:rPr>
        <w:t xml:space="preserve"> Dickstein K et al. </w:t>
      </w:r>
      <w:r w:rsidRPr="00B01B67">
        <w:rPr>
          <w:rFonts w:ascii="Calibri" w:hAnsi="Calibri"/>
          <w:sz w:val="20"/>
          <w:szCs w:val="20"/>
          <w:lang w:val="en-GB"/>
        </w:rPr>
        <w:t xml:space="preserve">ESC Guidelines for the diagnosis and treatment of acute and chronic heart failure 2008: </w:t>
      </w:r>
      <w:proofErr w:type="gramStart"/>
      <w:r w:rsidRPr="00B01B67">
        <w:rPr>
          <w:rFonts w:ascii="Calibri" w:hAnsi="Calibri"/>
          <w:sz w:val="20"/>
          <w:szCs w:val="20"/>
          <w:lang w:val="en-GB"/>
        </w:rPr>
        <w:t>the</w:t>
      </w:r>
      <w:proofErr w:type="gramEnd"/>
      <w:r w:rsidRPr="00B01B67">
        <w:rPr>
          <w:rFonts w:ascii="Calibri" w:hAnsi="Calibri"/>
          <w:sz w:val="20"/>
          <w:szCs w:val="20"/>
          <w:lang w:val="en-GB"/>
        </w:rPr>
        <w:t xml:space="preserve"> Task Force for the Diagnosis and Treatment of Acute and Chronic Heart Failure 2008 of the European Society of Cardiology. Developed in collaboration with the Heart Failure Association of the ESC (HFA) and endorsed by the European Society of Intensive Care Medicine (ESICM). </w:t>
      </w:r>
      <w:proofErr w:type="spellStart"/>
      <w:r w:rsidRPr="00B01B67">
        <w:rPr>
          <w:rFonts w:ascii="Calibri" w:hAnsi="Calibri"/>
          <w:sz w:val="20"/>
          <w:szCs w:val="20"/>
          <w:lang w:val="en-GB"/>
        </w:rPr>
        <w:t>Eur</w:t>
      </w:r>
      <w:proofErr w:type="spellEnd"/>
      <w:r w:rsidRPr="00B01B67">
        <w:rPr>
          <w:rFonts w:ascii="Calibri" w:hAnsi="Calibri"/>
          <w:sz w:val="20"/>
          <w:szCs w:val="20"/>
          <w:lang w:val="en-GB"/>
        </w:rPr>
        <w:t xml:space="preserve"> Heart J. 2008.</w:t>
      </w:r>
    </w:p>
    <w:p w14:paraId="0D2B5E89" w14:textId="77777777" w:rsidR="00406376" w:rsidRPr="000D48E6" w:rsidRDefault="00406376" w:rsidP="00406376">
      <w:pPr>
        <w:pStyle w:val="Bibliografia"/>
        <w:ind w:firstLine="708"/>
        <w:jc w:val="both"/>
        <w:rPr>
          <w:rFonts w:ascii="Calibri" w:hAnsi="Calibri"/>
          <w:sz w:val="20"/>
          <w:szCs w:val="20"/>
        </w:rPr>
      </w:pPr>
      <w:r w:rsidRPr="00B01B67">
        <w:rPr>
          <w:sz w:val="20"/>
          <w:szCs w:val="20"/>
          <w:vertAlign w:val="superscript"/>
          <w:lang w:val="en-GB"/>
        </w:rPr>
        <w:t>#</w:t>
      </w:r>
      <w:r w:rsidRPr="00B01B67">
        <w:rPr>
          <w:rFonts w:ascii="Calibri" w:hAnsi="Calibri"/>
          <w:sz w:val="20"/>
          <w:szCs w:val="20"/>
          <w:lang w:val="en-GB"/>
        </w:rPr>
        <w:t xml:space="preserve"> </w:t>
      </w:r>
      <w:proofErr w:type="spellStart"/>
      <w:r>
        <w:rPr>
          <w:rFonts w:ascii="Calibri" w:hAnsi="Calibri"/>
          <w:sz w:val="20"/>
          <w:szCs w:val="20"/>
          <w:lang w:val="en-GB"/>
        </w:rPr>
        <w:t>Ponikowski</w:t>
      </w:r>
      <w:proofErr w:type="spellEnd"/>
      <w:r>
        <w:rPr>
          <w:rFonts w:ascii="Calibri" w:hAnsi="Calibri"/>
          <w:sz w:val="20"/>
          <w:szCs w:val="20"/>
          <w:lang w:val="en-GB"/>
        </w:rPr>
        <w:t xml:space="preserve"> P </w:t>
      </w:r>
      <w:r w:rsidRPr="00B01B67">
        <w:rPr>
          <w:rFonts w:ascii="Calibri" w:hAnsi="Calibri"/>
          <w:sz w:val="20"/>
          <w:szCs w:val="20"/>
          <w:lang w:val="en-GB"/>
        </w:rPr>
        <w:t xml:space="preserve">et al. 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 </w:t>
      </w:r>
      <w:proofErr w:type="spellStart"/>
      <w:r w:rsidRPr="000D48E6">
        <w:rPr>
          <w:rFonts w:ascii="Calibri" w:hAnsi="Calibri"/>
          <w:sz w:val="20"/>
          <w:szCs w:val="20"/>
        </w:rPr>
        <w:t>Eur</w:t>
      </w:r>
      <w:proofErr w:type="spellEnd"/>
      <w:r w:rsidRPr="000D48E6">
        <w:rPr>
          <w:rFonts w:ascii="Calibri" w:hAnsi="Calibri"/>
          <w:sz w:val="20"/>
          <w:szCs w:val="20"/>
        </w:rPr>
        <w:t xml:space="preserve"> </w:t>
      </w:r>
      <w:proofErr w:type="spellStart"/>
      <w:r w:rsidRPr="000D48E6">
        <w:rPr>
          <w:rFonts w:ascii="Calibri" w:hAnsi="Calibri"/>
          <w:sz w:val="20"/>
          <w:szCs w:val="20"/>
        </w:rPr>
        <w:t>Heart</w:t>
      </w:r>
      <w:proofErr w:type="spellEnd"/>
      <w:r w:rsidRPr="000D48E6">
        <w:rPr>
          <w:rFonts w:ascii="Calibri" w:hAnsi="Calibri"/>
          <w:sz w:val="20"/>
          <w:szCs w:val="20"/>
        </w:rPr>
        <w:t xml:space="preserve"> J. 2016. </w:t>
      </w:r>
    </w:p>
    <w:p w14:paraId="4FB205CE" w14:textId="77777777" w:rsidR="009B2CB3" w:rsidRPr="00406376" w:rsidRDefault="009B2CB3" w:rsidP="00056F84">
      <w:pPr>
        <w:jc w:val="both"/>
        <w:rPr>
          <w:b/>
        </w:rPr>
      </w:pPr>
    </w:p>
    <w:p w14:paraId="7B957CEF" w14:textId="77777777" w:rsidR="009B2CB3" w:rsidRDefault="009B2CB3" w:rsidP="00056F84">
      <w:pPr>
        <w:jc w:val="both"/>
        <w:rPr>
          <w:b/>
          <w:i/>
        </w:rPr>
      </w:pPr>
    </w:p>
    <w:p w14:paraId="30E6D982" w14:textId="77777777" w:rsidR="009B2CB3" w:rsidRDefault="009B2CB3" w:rsidP="00056F84">
      <w:pPr>
        <w:jc w:val="both"/>
        <w:rPr>
          <w:b/>
          <w:i/>
        </w:rPr>
      </w:pPr>
    </w:p>
    <w:p w14:paraId="23330D4C" w14:textId="77777777" w:rsidR="009B2CB3" w:rsidRDefault="009B2CB3" w:rsidP="00056F84">
      <w:pPr>
        <w:jc w:val="both"/>
        <w:rPr>
          <w:b/>
          <w:i/>
        </w:rPr>
      </w:pPr>
    </w:p>
    <w:p w14:paraId="7891D181" w14:textId="77777777" w:rsidR="009B2CB3" w:rsidRDefault="009B2CB3" w:rsidP="00056F84">
      <w:pPr>
        <w:jc w:val="both"/>
        <w:rPr>
          <w:b/>
          <w:i/>
        </w:rPr>
      </w:pPr>
    </w:p>
    <w:p w14:paraId="0D1F4B36" w14:textId="77777777" w:rsidR="009B2CB3" w:rsidRDefault="009B2CB3" w:rsidP="00056F84">
      <w:pPr>
        <w:jc w:val="both"/>
        <w:rPr>
          <w:b/>
          <w:i/>
        </w:rPr>
      </w:pPr>
    </w:p>
    <w:p w14:paraId="61273454" w14:textId="7975C988" w:rsidR="00406376" w:rsidRDefault="00406376" w:rsidP="00406376">
      <w:pPr>
        <w:spacing w:after="200" w:line="276" w:lineRule="auto"/>
        <w:jc w:val="both"/>
        <w:rPr>
          <w:b/>
          <w:sz w:val="28"/>
          <w:szCs w:val="26"/>
        </w:rPr>
      </w:pPr>
      <w:r w:rsidRPr="00214A90">
        <w:rPr>
          <w:b/>
          <w:sz w:val="26"/>
          <w:szCs w:val="26"/>
        </w:rPr>
        <w:t xml:space="preserve">Material suplementar </w:t>
      </w:r>
      <w:proofErr w:type="spellStart"/>
      <w:r w:rsidRPr="00214A90">
        <w:rPr>
          <w:b/>
          <w:i/>
          <w:sz w:val="26"/>
          <w:szCs w:val="26"/>
        </w:rPr>
        <w:t>on</w:t>
      </w:r>
      <w:proofErr w:type="spellEnd"/>
      <w:r w:rsidRPr="00214A90">
        <w:rPr>
          <w:b/>
          <w:i/>
          <w:sz w:val="26"/>
          <w:szCs w:val="26"/>
        </w:rPr>
        <w:t xml:space="preserve"> </w:t>
      </w:r>
      <w:proofErr w:type="spellStart"/>
      <w:r w:rsidRPr="00214A90">
        <w:rPr>
          <w:b/>
          <w:i/>
          <w:sz w:val="26"/>
          <w:szCs w:val="26"/>
        </w:rPr>
        <w:t>line</w:t>
      </w:r>
      <w:proofErr w:type="spellEnd"/>
      <w:r>
        <w:rPr>
          <w:b/>
          <w:sz w:val="26"/>
          <w:szCs w:val="26"/>
        </w:rPr>
        <w:t xml:space="preserve"> 3</w:t>
      </w:r>
      <w:r w:rsidRPr="00214A90">
        <w:rPr>
          <w:b/>
          <w:sz w:val="26"/>
          <w:szCs w:val="26"/>
        </w:rPr>
        <w:t xml:space="preserve"> </w:t>
      </w:r>
    </w:p>
    <w:p w14:paraId="1345706D" w14:textId="72953535" w:rsidR="00406376" w:rsidRDefault="00406376" w:rsidP="00406376">
      <w:pPr>
        <w:spacing w:after="200" w:line="276" w:lineRule="auto"/>
        <w:jc w:val="both"/>
        <w:rPr>
          <w:i/>
        </w:rPr>
      </w:pPr>
      <w:r w:rsidRPr="00214A90">
        <w:rPr>
          <w:b/>
        </w:rPr>
        <w:t>Figura 1</w:t>
      </w:r>
      <w:r>
        <w:rPr>
          <w:b/>
          <w:i/>
        </w:rPr>
        <w:t xml:space="preserve"> (</w:t>
      </w:r>
      <w:proofErr w:type="spellStart"/>
      <w:r>
        <w:rPr>
          <w:b/>
          <w:i/>
        </w:rPr>
        <w:t>on</w:t>
      </w:r>
      <w:proofErr w:type="spellEnd"/>
      <w:r>
        <w:rPr>
          <w:b/>
          <w:i/>
        </w:rPr>
        <w:t xml:space="preserve"> </w:t>
      </w:r>
      <w:proofErr w:type="spellStart"/>
      <w:r>
        <w:rPr>
          <w:b/>
          <w:i/>
        </w:rPr>
        <w:t>line</w:t>
      </w:r>
      <w:proofErr w:type="spellEnd"/>
      <w:r>
        <w:rPr>
          <w:b/>
          <w:i/>
        </w:rPr>
        <w:t xml:space="preserve">) </w:t>
      </w:r>
      <w:r>
        <w:rPr>
          <w:i/>
        </w:rPr>
        <w:t xml:space="preserve">– </w:t>
      </w:r>
      <w:r w:rsidRPr="00214A90">
        <w:t>Distribuição dos doentes que implantaram CRT de acordo com a duração do QRS e percentagem de melhoria da classe NYHA (N=135).</w:t>
      </w:r>
    </w:p>
    <w:p w14:paraId="69F6B28D" w14:textId="77777777" w:rsidR="00406376" w:rsidRDefault="00406376" w:rsidP="00406376">
      <w:pPr>
        <w:spacing w:after="200" w:line="276" w:lineRule="auto"/>
        <w:jc w:val="center"/>
        <w:rPr>
          <w:i/>
        </w:rPr>
      </w:pPr>
      <w:r>
        <w:rPr>
          <w:i/>
          <w:noProof/>
          <w:lang w:eastAsia="pt-PT"/>
        </w:rPr>
        <w:drawing>
          <wp:anchor distT="0" distB="0" distL="114300" distR="114300" simplePos="0" relativeHeight="251663360" behindDoc="0" locked="0" layoutInCell="1" allowOverlap="1" wp14:anchorId="784F6F54" wp14:editId="1A6EDB1C">
            <wp:simplePos x="0" y="0"/>
            <wp:positionH relativeFrom="margin">
              <wp:align>center</wp:align>
            </wp:positionH>
            <wp:positionV relativeFrom="paragraph">
              <wp:posOffset>75565</wp:posOffset>
            </wp:positionV>
            <wp:extent cx="3532505" cy="253809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2505" cy="2538095"/>
                    </a:xfrm>
                    <a:prstGeom prst="rect">
                      <a:avLst/>
                    </a:prstGeom>
                    <a:noFill/>
                  </pic:spPr>
                </pic:pic>
              </a:graphicData>
            </a:graphic>
            <wp14:sizeRelH relativeFrom="page">
              <wp14:pctWidth>0</wp14:pctWidth>
            </wp14:sizeRelH>
            <wp14:sizeRelV relativeFrom="page">
              <wp14:pctHeight>0</wp14:pctHeight>
            </wp14:sizeRelV>
          </wp:anchor>
        </w:drawing>
      </w:r>
    </w:p>
    <w:p w14:paraId="382CCAD4" w14:textId="77777777" w:rsidR="00406376" w:rsidRDefault="00406376" w:rsidP="00406376">
      <w:pPr>
        <w:spacing w:after="200" w:line="276" w:lineRule="auto"/>
        <w:rPr>
          <w:i/>
        </w:rPr>
      </w:pPr>
    </w:p>
    <w:p w14:paraId="312301D3" w14:textId="77777777" w:rsidR="00406376" w:rsidRDefault="00406376" w:rsidP="00406376">
      <w:pPr>
        <w:jc w:val="both"/>
        <w:rPr>
          <w:b/>
          <w:sz w:val="24"/>
        </w:rPr>
      </w:pPr>
    </w:p>
    <w:p w14:paraId="3DFCE3B5" w14:textId="77777777" w:rsidR="00406376" w:rsidRDefault="00406376" w:rsidP="00406376">
      <w:pPr>
        <w:jc w:val="both"/>
        <w:rPr>
          <w:b/>
          <w:sz w:val="24"/>
        </w:rPr>
      </w:pPr>
    </w:p>
    <w:p w14:paraId="21D5DF23" w14:textId="77777777" w:rsidR="00406376" w:rsidRDefault="00406376" w:rsidP="00406376">
      <w:pPr>
        <w:jc w:val="both"/>
        <w:rPr>
          <w:b/>
          <w:sz w:val="24"/>
        </w:rPr>
      </w:pPr>
    </w:p>
    <w:p w14:paraId="74C04BB1" w14:textId="77777777" w:rsidR="00406376" w:rsidRDefault="00406376" w:rsidP="00406376">
      <w:pPr>
        <w:jc w:val="both"/>
        <w:rPr>
          <w:b/>
          <w:sz w:val="24"/>
        </w:rPr>
      </w:pPr>
    </w:p>
    <w:p w14:paraId="6A66DDE3" w14:textId="77777777" w:rsidR="00406376" w:rsidRDefault="00406376" w:rsidP="00406376">
      <w:pPr>
        <w:jc w:val="both"/>
        <w:rPr>
          <w:b/>
          <w:sz w:val="24"/>
        </w:rPr>
      </w:pPr>
    </w:p>
    <w:p w14:paraId="548E8CFE" w14:textId="77777777" w:rsidR="00406376" w:rsidRDefault="00406376" w:rsidP="00406376">
      <w:pPr>
        <w:jc w:val="both"/>
        <w:rPr>
          <w:b/>
          <w:sz w:val="24"/>
        </w:rPr>
      </w:pPr>
    </w:p>
    <w:p w14:paraId="1F83047F" w14:textId="77777777" w:rsidR="00406376" w:rsidRDefault="00406376" w:rsidP="00406376">
      <w:pPr>
        <w:jc w:val="both"/>
        <w:rPr>
          <w:b/>
          <w:sz w:val="24"/>
        </w:rPr>
      </w:pPr>
    </w:p>
    <w:p w14:paraId="205EDEC7" w14:textId="77777777" w:rsidR="00406376" w:rsidRDefault="00406376" w:rsidP="00406376">
      <w:pPr>
        <w:jc w:val="both"/>
        <w:rPr>
          <w:b/>
          <w:sz w:val="24"/>
        </w:rPr>
      </w:pPr>
    </w:p>
    <w:p w14:paraId="30FEDFF1" w14:textId="0050371C" w:rsidR="00406376" w:rsidRPr="00214A90" w:rsidRDefault="00406376" w:rsidP="00406376">
      <w:pPr>
        <w:jc w:val="both"/>
        <w:rPr>
          <w:i/>
          <w:sz w:val="24"/>
        </w:rPr>
      </w:pPr>
      <w:r w:rsidRPr="00214A90">
        <w:rPr>
          <w:b/>
          <w:sz w:val="24"/>
        </w:rPr>
        <w:t>Figura 2</w:t>
      </w:r>
      <w:r w:rsidRPr="00214A90">
        <w:rPr>
          <w:b/>
          <w:i/>
          <w:sz w:val="24"/>
        </w:rPr>
        <w:t xml:space="preserve"> (</w:t>
      </w:r>
      <w:proofErr w:type="spellStart"/>
      <w:r w:rsidRPr="00214A90">
        <w:rPr>
          <w:b/>
          <w:i/>
          <w:sz w:val="24"/>
        </w:rPr>
        <w:t>on</w:t>
      </w:r>
      <w:proofErr w:type="spellEnd"/>
      <w:r w:rsidRPr="00214A90">
        <w:rPr>
          <w:b/>
          <w:i/>
          <w:sz w:val="24"/>
        </w:rPr>
        <w:t xml:space="preserve"> </w:t>
      </w:r>
      <w:proofErr w:type="spellStart"/>
      <w:r w:rsidRPr="00214A90">
        <w:rPr>
          <w:b/>
          <w:i/>
          <w:sz w:val="24"/>
        </w:rPr>
        <w:t>line</w:t>
      </w:r>
      <w:proofErr w:type="spellEnd"/>
      <w:r w:rsidRPr="00214A90">
        <w:rPr>
          <w:b/>
          <w:i/>
          <w:sz w:val="24"/>
        </w:rPr>
        <w:t>)</w:t>
      </w:r>
      <w:r w:rsidRPr="00214A90">
        <w:rPr>
          <w:i/>
          <w:sz w:val="24"/>
        </w:rPr>
        <w:t xml:space="preserve"> – </w:t>
      </w:r>
      <w:r w:rsidRPr="00214A90">
        <w:rPr>
          <w:sz w:val="24"/>
        </w:rPr>
        <w:t>Classe funcional NYHA aos 12 meses de acordo com a presença de dessincronia intraventricular na avaliação basal (N=82)</w:t>
      </w:r>
    </w:p>
    <w:p w14:paraId="3CE1E868" w14:textId="47F6BCF1" w:rsidR="00406376" w:rsidRDefault="00406376" w:rsidP="00406376">
      <w:pPr>
        <w:rPr>
          <w:i/>
        </w:rPr>
      </w:pPr>
      <w:r>
        <w:rPr>
          <w:i/>
          <w:noProof/>
          <w:lang w:eastAsia="pt-PT"/>
        </w:rPr>
        <w:drawing>
          <wp:anchor distT="0" distB="0" distL="114300" distR="114300" simplePos="0" relativeHeight="251665408" behindDoc="0" locked="0" layoutInCell="1" allowOverlap="1" wp14:anchorId="419DBF0A" wp14:editId="5BB6B3A1">
            <wp:simplePos x="0" y="0"/>
            <wp:positionH relativeFrom="margin">
              <wp:align>center</wp:align>
            </wp:positionH>
            <wp:positionV relativeFrom="paragraph">
              <wp:posOffset>192405</wp:posOffset>
            </wp:positionV>
            <wp:extent cx="5161905" cy="3571429"/>
            <wp:effectExtent l="0" t="0" r="127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3_ Material Suplementar.tif"/>
                    <pic:cNvPicPr/>
                  </pic:nvPicPr>
                  <pic:blipFill>
                    <a:blip r:embed="rId6">
                      <a:extLst>
                        <a:ext uri="{28A0092B-C50C-407E-A947-70E740481C1C}">
                          <a14:useLocalDpi xmlns:a14="http://schemas.microsoft.com/office/drawing/2010/main" val="0"/>
                        </a:ext>
                      </a:extLst>
                    </a:blip>
                    <a:stretch>
                      <a:fillRect/>
                    </a:stretch>
                  </pic:blipFill>
                  <pic:spPr>
                    <a:xfrm>
                      <a:off x="0" y="0"/>
                      <a:ext cx="5161905" cy="3571429"/>
                    </a:xfrm>
                    <a:prstGeom prst="rect">
                      <a:avLst/>
                    </a:prstGeom>
                  </pic:spPr>
                </pic:pic>
              </a:graphicData>
            </a:graphic>
          </wp:anchor>
        </w:drawing>
      </w:r>
    </w:p>
    <w:p w14:paraId="296DE74E" w14:textId="4AB88FA5" w:rsidR="00406376" w:rsidRDefault="00406376" w:rsidP="00406376">
      <w:pPr>
        <w:spacing w:after="200" w:line="276" w:lineRule="auto"/>
      </w:pPr>
    </w:p>
    <w:p w14:paraId="256B87AE" w14:textId="2940F6C7" w:rsidR="00406376" w:rsidRDefault="00406376" w:rsidP="00406376">
      <w:pPr>
        <w:spacing w:after="200" w:line="276" w:lineRule="auto"/>
      </w:pPr>
    </w:p>
    <w:p w14:paraId="3C47FE98" w14:textId="77777777" w:rsidR="00406376" w:rsidRPr="00EE5F5D" w:rsidRDefault="00406376" w:rsidP="00406376">
      <w:pPr>
        <w:spacing w:after="200" w:line="276" w:lineRule="auto"/>
      </w:pPr>
    </w:p>
    <w:p w14:paraId="47746248" w14:textId="39C44FDD" w:rsidR="00406376" w:rsidRPr="00214A90" w:rsidRDefault="00406376" w:rsidP="00406376">
      <w:pPr>
        <w:spacing w:after="0" w:line="360" w:lineRule="auto"/>
        <w:jc w:val="center"/>
        <w:rPr>
          <w:b/>
          <w:sz w:val="26"/>
          <w:szCs w:val="26"/>
        </w:rPr>
      </w:pPr>
      <w:r w:rsidRPr="00214A90">
        <w:rPr>
          <w:b/>
          <w:sz w:val="26"/>
          <w:szCs w:val="26"/>
        </w:rPr>
        <w:t xml:space="preserve">Material suplementar </w:t>
      </w:r>
      <w:proofErr w:type="spellStart"/>
      <w:r w:rsidRPr="00214A90">
        <w:rPr>
          <w:b/>
          <w:i/>
          <w:sz w:val="26"/>
          <w:szCs w:val="26"/>
        </w:rPr>
        <w:t>on</w:t>
      </w:r>
      <w:proofErr w:type="spellEnd"/>
      <w:r w:rsidRPr="00214A90">
        <w:rPr>
          <w:b/>
          <w:i/>
          <w:sz w:val="26"/>
          <w:szCs w:val="26"/>
        </w:rPr>
        <w:t xml:space="preserve"> </w:t>
      </w:r>
      <w:proofErr w:type="spellStart"/>
      <w:r w:rsidRPr="00214A90">
        <w:rPr>
          <w:b/>
          <w:i/>
          <w:sz w:val="26"/>
          <w:szCs w:val="26"/>
        </w:rPr>
        <w:t>line</w:t>
      </w:r>
      <w:proofErr w:type="spellEnd"/>
      <w:r>
        <w:rPr>
          <w:b/>
          <w:sz w:val="26"/>
          <w:szCs w:val="26"/>
        </w:rPr>
        <w:t xml:space="preserve"> 4</w:t>
      </w:r>
      <w:r w:rsidRPr="00214A90">
        <w:rPr>
          <w:b/>
          <w:sz w:val="26"/>
          <w:szCs w:val="26"/>
        </w:rPr>
        <w:t xml:space="preserve"> - Dessincronia avaliada por ecocardiografia nos doentes que implantaram CRT  </w:t>
      </w:r>
    </w:p>
    <w:p w14:paraId="56EB4EC7" w14:textId="29002A0C" w:rsidR="00406376" w:rsidRPr="00EA2C91" w:rsidRDefault="00406376" w:rsidP="00406376">
      <w:pPr>
        <w:jc w:val="both"/>
        <w:rPr>
          <w:i/>
          <w:sz w:val="24"/>
          <w:szCs w:val="24"/>
        </w:rPr>
      </w:pPr>
      <w:r>
        <w:rPr>
          <w:b/>
          <w:sz w:val="24"/>
          <w:szCs w:val="24"/>
        </w:rPr>
        <w:t>Tabela 2</w:t>
      </w:r>
      <w:r w:rsidRPr="00EA2C91">
        <w:rPr>
          <w:b/>
          <w:i/>
          <w:sz w:val="24"/>
          <w:szCs w:val="24"/>
        </w:rPr>
        <w:t xml:space="preserve"> (</w:t>
      </w:r>
      <w:proofErr w:type="spellStart"/>
      <w:r w:rsidRPr="00EA2C91">
        <w:rPr>
          <w:b/>
          <w:i/>
          <w:sz w:val="24"/>
          <w:szCs w:val="24"/>
        </w:rPr>
        <w:t>on</w:t>
      </w:r>
      <w:proofErr w:type="spellEnd"/>
      <w:r w:rsidRPr="00EA2C91">
        <w:rPr>
          <w:b/>
          <w:i/>
          <w:sz w:val="24"/>
          <w:szCs w:val="24"/>
        </w:rPr>
        <w:t xml:space="preserve"> </w:t>
      </w:r>
      <w:proofErr w:type="spellStart"/>
      <w:r w:rsidRPr="00EA2C91">
        <w:rPr>
          <w:b/>
          <w:i/>
          <w:sz w:val="24"/>
          <w:szCs w:val="24"/>
        </w:rPr>
        <w:t>line</w:t>
      </w:r>
      <w:proofErr w:type="spellEnd"/>
      <w:r w:rsidRPr="00EA2C91">
        <w:rPr>
          <w:b/>
          <w:i/>
          <w:sz w:val="24"/>
          <w:szCs w:val="24"/>
        </w:rPr>
        <w:t xml:space="preserve">) </w:t>
      </w:r>
      <w:r w:rsidRPr="00EA2C91">
        <w:rPr>
          <w:i/>
          <w:sz w:val="24"/>
          <w:szCs w:val="24"/>
        </w:rPr>
        <w:t xml:space="preserve">– </w:t>
      </w:r>
      <w:r w:rsidRPr="00EA2C91">
        <w:rPr>
          <w:sz w:val="24"/>
          <w:szCs w:val="24"/>
        </w:rPr>
        <w:t>Características clínicas e ecocardiográficas dos doentes com avaliação de dessincronia por ecocardiografia (n=82)</w:t>
      </w:r>
    </w:p>
    <w:tbl>
      <w:tblPr>
        <w:tblW w:w="3641" w:type="pct"/>
        <w:tblInd w:w="1049" w:type="dxa"/>
        <w:tblCellMar>
          <w:left w:w="0" w:type="dxa"/>
          <w:right w:w="0" w:type="dxa"/>
        </w:tblCellMar>
        <w:tblLook w:val="04A0" w:firstRow="1" w:lastRow="0" w:firstColumn="1" w:lastColumn="0" w:noHBand="0" w:noVBand="1"/>
      </w:tblPr>
      <w:tblGrid>
        <w:gridCol w:w="4478"/>
        <w:gridCol w:w="2128"/>
      </w:tblGrid>
      <w:tr w:rsidR="00406376" w:rsidRPr="00B4379A" w14:paraId="4127D700" w14:textId="77777777" w:rsidTr="00CE1E62">
        <w:trPr>
          <w:trHeight w:val="454"/>
        </w:trPr>
        <w:tc>
          <w:tcPr>
            <w:tcW w:w="3389" w:type="pct"/>
            <w:tcBorders>
              <w:top w:val="single" w:sz="8" w:space="0" w:color="A5A5A5"/>
              <w:left w:val="nil"/>
              <w:bottom w:val="single" w:sz="8" w:space="0" w:color="A5A5A5"/>
              <w:right w:val="nil"/>
            </w:tcBorders>
            <w:shd w:val="clear" w:color="auto" w:fill="auto"/>
            <w:tcMar>
              <w:top w:w="15" w:type="dxa"/>
              <w:left w:w="108" w:type="dxa"/>
              <w:bottom w:w="0" w:type="dxa"/>
              <w:right w:w="108" w:type="dxa"/>
            </w:tcMar>
            <w:hideMark/>
          </w:tcPr>
          <w:p w14:paraId="1C3A1458" w14:textId="77777777" w:rsidR="00406376" w:rsidRPr="00B4379A" w:rsidRDefault="00406376" w:rsidP="00CE1E62">
            <w:pPr>
              <w:spacing w:after="60" w:line="360" w:lineRule="auto"/>
              <w:rPr>
                <w:szCs w:val="24"/>
              </w:rPr>
            </w:pPr>
            <w:r w:rsidRPr="00B4379A">
              <w:rPr>
                <w:b/>
                <w:bCs/>
                <w:szCs w:val="24"/>
              </w:rPr>
              <w:t> </w:t>
            </w:r>
          </w:p>
        </w:tc>
        <w:tc>
          <w:tcPr>
            <w:tcW w:w="1611" w:type="pct"/>
            <w:tcBorders>
              <w:top w:val="single" w:sz="8" w:space="0" w:color="A5A5A5"/>
              <w:left w:val="nil"/>
              <w:bottom w:val="single" w:sz="8" w:space="0" w:color="A5A5A5"/>
              <w:right w:val="nil"/>
            </w:tcBorders>
            <w:shd w:val="clear" w:color="auto" w:fill="auto"/>
            <w:tcMar>
              <w:top w:w="15" w:type="dxa"/>
              <w:left w:w="108" w:type="dxa"/>
              <w:bottom w:w="0" w:type="dxa"/>
              <w:right w:w="108" w:type="dxa"/>
            </w:tcMar>
            <w:vAlign w:val="center"/>
            <w:hideMark/>
          </w:tcPr>
          <w:p w14:paraId="7B2B2498" w14:textId="77777777" w:rsidR="00406376" w:rsidRPr="00B4379A" w:rsidRDefault="00406376" w:rsidP="00CE1E62">
            <w:pPr>
              <w:spacing w:after="60" w:line="360" w:lineRule="auto"/>
              <w:jc w:val="center"/>
              <w:rPr>
                <w:szCs w:val="24"/>
              </w:rPr>
            </w:pPr>
            <w:r>
              <w:rPr>
                <w:b/>
                <w:bCs/>
                <w:szCs w:val="24"/>
              </w:rPr>
              <w:t>N=82</w:t>
            </w:r>
          </w:p>
        </w:tc>
      </w:tr>
      <w:tr w:rsidR="00406376" w:rsidRPr="00B4379A" w14:paraId="66CE68BF" w14:textId="77777777" w:rsidTr="00CE1E62">
        <w:trPr>
          <w:trHeight w:val="340"/>
        </w:trPr>
        <w:tc>
          <w:tcPr>
            <w:tcW w:w="3389" w:type="pct"/>
            <w:tcBorders>
              <w:top w:val="single" w:sz="8" w:space="0" w:color="A5A5A5"/>
              <w:left w:val="nil"/>
              <w:bottom w:val="nil"/>
              <w:right w:val="nil"/>
            </w:tcBorders>
            <w:shd w:val="clear" w:color="auto" w:fill="F0F0F0"/>
            <w:tcMar>
              <w:top w:w="15" w:type="dxa"/>
              <w:left w:w="108" w:type="dxa"/>
              <w:bottom w:w="0" w:type="dxa"/>
              <w:right w:w="108" w:type="dxa"/>
            </w:tcMar>
            <w:hideMark/>
          </w:tcPr>
          <w:p w14:paraId="306FF78A" w14:textId="77777777" w:rsidR="00406376" w:rsidRPr="009B5BC2" w:rsidRDefault="00406376" w:rsidP="00CE1E62">
            <w:pPr>
              <w:spacing w:after="60" w:line="360" w:lineRule="auto"/>
              <w:rPr>
                <w:sz w:val="20"/>
                <w:szCs w:val="24"/>
              </w:rPr>
            </w:pPr>
            <w:r>
              <w:rPr>
                <w:b/>
                <w:bCs/>
                <w:sz w:val="20"/>
                <w:szCs w:val="24"/>
              </w:rPr>
              <w:t>Idade</w:t>
            </w:r>
          </w:p>
        </w:tc>
        <w:tc>
          <w:tcPr>
            <w:tcW w:w="1611" w:type="pct"/>
            <w:tcBorders>
              <w:top w:val="single" w:sz="8" w:space="0" w:color="A5A5A5"/>
              <w:left w:val="nil"/>
              <w:bottom w:val="nil"/>
              <w:right w:val="nil"/>
            </w:tcBorders>
            <w:shd w:val="clear" w:color="auto" w:fill="F0F0F0"/>
            <w:tcMar>
              <w:top w:w="15" w:type="dxa"/>
              <w:left w:w="108" w:type="dxa"/>
              <w:bottom w:w="0" w:type="dxa"/>
              <w:right w:w="108" w:type="dxa"/>
            </w:tcMar>
            <w:vAlign w:val="center"/>
            <w:hideMark/>
          </w:tcPr>
          <w:p w14:paraId="5278291F" w14:textId="77777777" w:rsidR="00406376" w:rsidRPr="009B5BC2" w:rsidRDefault="00406376" w:rsidP="00CE1E62">
            <w:pPr>
              <w:spacing w:after="60" w:line="360" w:lineRule="auto"/>
              <w:jc w:val="center"/>
              <w:rPr>
                <w:sz w:val="20"/>
                <w:szCs w:val="24"/>
              </w:rPr>
            </w:pPr>
            <w:r>
              <w:rPr>
                <w:sz w:val="20"/>
                <w:szCs w:val="20"/>
              </w:rPr>
              <w:t>68±10</w:t>
            </w:r>
          </w:p>
        </w:tc>
      </w:tr>
      <w:tr w:rsidR="00406376" w:rsidRPr="00B4379A" w14:paraId="1C52ECAF" w14:textId="77777777" w:rsidTr="00CE1E62">
        <w:trPr>
          <w:trHeight w:val="340"/>
        </w:trPr>
        <w:tc>
          <w:tcPr>
            <w:tcW w:w="3389" w:type="pct"/>
            <w:tcBorders>
              <w:top w:val="nil"/>
              <w:left w:val="nil"/>
              <w:bottom w:val="nil"/>
              <w:right w:val="nil"/>
            </w:tcBorders>
            <w:shd w:val="clear" w:color="auto" w:fill="auto"/>
            <w:tcMar>
              <w:top w:w="15" w:type="dxa"/>
              <w:left w:w="108" w:type="dxa"/>
              <w:bottom w:w="0" w:type="dxa"/>
              <w:right w:w="108" w:type="dxa"/>
            </w:tcMar>
          </w:tcPr>
          <w:p w14:paraId="1795431A" w14:textId="77777777" w:rsidR="00406376" w:rsidRPr="00903F5C" w:rsidRDefault="00406376" w:rsidP="00CE1E62">
            <w:pPr>
              <w:spacing w:after="60" w:line="360" w:lineRule="auto"/>
              <w:rPr>
                <w:b/>
                <w:sz w:val="20"/>
                <w:szCs w:val="24"/>
              </w:rPr>
            </w:pPr>
            <w:r w:rsidRPr="00903F5C">
              <w:rPr>
                <w:b/>
                <w:sz w:val="20"/>
                <w:szCs w:val="24"/>
              </w:rPr>
              <w:t>Sexo</w:t>
            </w:r>
          </w:p>
        </w:tc>
        <w:tc>
          <w:tcPr>
            <w:tcW w:w="1611" w:type="pct"/>
            <w:tcBorders>
              <w:top w:val="nil"/>
              <w:left w:val="nil"/>
              <w:bottom w:val="nil"/>
              <w:right w:val="nil"/>
            </w:tcBorders>
            <w:shd w:val="clear" w:color="auto" w:fill="auto"/>
            <w:tcMar>
              <w:top w:w="15" w:type="dxa"/>
              <w:left w:w="108" w:type="dxa"/>
              <w:bottom w:w="0" w:type="dxa"/>
              <w:right w:w="108" w:type="dxa"/>
            </w:tcMar>
            <w:vAlign w:val="center"/>
          </w:tcPr>
          <w:p w14:paraId="543BFC82" w14:textId="77777777" w:rsidR="00406376" w:rsidRPr="009B5BC2" w:rsidRDefault="00406376" w:rsidP="00CE1E62">
            <w:pPr>
              <w:spacing w:after="60" w:line="360" w:lineRule="auto"/>
              <w:jc w:val="center"/>
              <w:rPr>
                <w:sz w:val="20"/>
                <w:szCs w:val="24"/>
              </w:rPr>
            </w:pPr>
            <w:r>
              <w:rPr>
                <w:sz w:val="20"/>
                <w:szCs w:val="20"/>
              </w:rPr>
              <w:t>57 (70</w:t>
            </w:r>
            <w:r w:rsidRPr="009B5BC2">
              <w:rPr>
                <w:sz w:val="20"/>
                <w:szCs w:val="20"/>
              </w:rPr>
              <w:t>%)</w:t>
            </w:r>
          </w:p>
        </w:tc>
      </w:tr>
      <w:tr w:rsidR="00406376" w:rsidRPr="00B4379A" w14:paraId="043B0A4C" w14:textId="77777777" w:rsidTr="00CE1E62">
        <w:trPr>
          <w:trHeight w:val="340"/>
        </w:trPr>
        <w:tc>
          <w:tcPr>
            <w:tcW w:w="3389" w:type="pct"/>
            <w:tcBorders>
              <w:top w:val="nil"/>
              <w:left w:val="nil"/>
              <w:bottom w:val="nil"/>
              <w:right w:val="nil"/>
            </w:tcBorders>
            <w:shd w:val="clear" w:color="auto" w:fill="F0F0F0"/>
            <w:tcMar>
              <w:top w:w="15" w:type="dxa"/>
              <w:left w:w="108" w:type="dxa"/>
              <w:bottom w:w="0" w:type="dxa"/>
              <w:right w:w="108" w:type="dxa"/>
            </w:tcMar>
          </w:tcPr>
          <w:p w14:paraId="344EA6CE" w14:textId="77777777" w:rsidR="00406376" w:rsidRPr="009B5BC2" w:rsidRDefault="00406376" w:rsidP="00CE1E62">
            <w:pPr>
              <w:spacing w:after="0" w:line="360" w:lineRule="auto"/>
              <w:rPr>
                <w:sz w:val="20"/>
                <w:szCs w:val="20"/>
              </w:rPr>
            </w:pPr>
            <w:r w:rsidRPr="009B5BC2">
              <w:rPr>
                <w:b/>
                <w:bCs/>
                <w:sz w:val="20"/>
                <w:szCs w:val="20"/>
              </w:rPr>
              <w:t xml:space="preserve">Classe NYHA </w:t>
            </w:r>
            <w:r w:rsidRPr="00903F5C">
              <w:rPr>
                <w:b/>
                <w:sz w:val="20"/>
                <w:szCs w:val="20"/>
              </w:rPr>
              <w:t>basal</w:t>
            </w:r>
          </w:p>
          <w:p w14:paraId="4861ED46" w14:textId="77777777" w:rsidR="00406376" w:rsidRPr="009B5BC2" w:rsidRDefault="00406376" w:rsidP="00CE1E62">
            <w:pPr>
              <w:spacing w:after="0" w:line="360" w:lineRule="auto"/>
              <w:ind w:left="113"/>
              <w:rPr>
                <w:sz w:val="20"/>
                <w:szCs w:val="20"/>
              </w:rPr>
            </w:pPr>
            <w:r w:rsidRPr="009B5BC2">
              <w:rPr>
                <w:sz w:val="20"/>
                <w:szCs w:val="20"/>
              </w:rPr>
              <w:t>I</w:t>
            </w:r>
          </w:p>
          <w:p w14:paraId="6FD8785C" w14:textId="77777777" w:rsidR="00406376" w:rsidRPr="009B5BC2" w:rsidRDefault="00406376" w:rsidP="00CE1E62">
            <w:pPr>
              <w:spacing w:after="0" w:line="360" w:lineRule="auto"/>
              <w:ind w:left="113"/>
              <w:rPr>
                <w:sz w:val="20"/>
                <w:szCs w:val="20"/>
              </w:rPr>
            </w:pPr>
            <w:r w:rsidRPr="009B5BC2">
              <w:rPr>
                <w:sz w:val="20"/>
                <w:szCs w:val="20"/>
              </w:rPr>
              <w:t>II</w:t>
            </w:r>
          </w:p>
          <w:p w14:paraId="5E8E4AC5" w14:textId="77777777" w:rsidR="00406376" w:rsidRPr="009B5BC2" w:rsidRDefault="00406376" w:rsidP="00CE1E62">
            <w:pPr>
              <w:spacing w:after="0" w:line="360" w:lineRule="auto"/>
              <w:ind w:left="113"/>
              <w:rPr>
                <w:sz w:val="20"/>
                <w:szCs w:val="20"/>
              </w:rPr>
            </w:pPr>
            <w:r w:rsidRPr="009B5BC2">
              <w:rPr>
                <w:sz w:val="20"/>
                <w:szCs w:val="20"/>
              </w:rPr>
              <w:t>III</w:t>
            </w:r>
          </w:p>
          <w:p w14:paraId="13D75065" w14:textId="77777777" w:rsidR="00406376" w:rsidRPr="009B5BC2" w:rsidRDefault="00406376" w:rsidP="00CE1E62">
            <w:pPr>
              <w:spacing w:after="0" w:line="360" w:lineRule="auto"/>
              <w:ind w:left="113"/>
              <w:rPr>
                <w:sz w:val="20"/>
                <w:szCs w:val="24"/>
              </w:rPr>
            </w:pPr>
            <w:r w:rsidRPr="009B5BC2">
              <w:rPr>
                <w:sz w:val="20"/>
                <w:szCs w:val="20"/>
              </w:rPr>
              <w:t>IV</w:t>
            </w:r>
          </w:p>
        </w:tc>
        <w:tc>
          <w:tcPr>
            <w:tcW w:w="1611" w:type="pct"/>
            <w:tcBorders>
              <w:top w:val="nil"/>
              <w:left w:val="nil"/>
              <w:bottom w:val="nil"/>
              <w:right w:val="nil"/>
            </w:tcBorders>
            <w:shd w:val="clear" w:color="auto" w:fill="F0F0F0"/>
            <w:tcMar>
              <w:top w:w="15" w:type="dxa"/>
              <w:left w:w="108" w:type="dxa"/>
              <w:bottom w:w="0" w:type="dxa"/>
              <w:right w:w="108" w:type="dxa"/>
            </w:tcMar>
            <w:vAlign w:val="center"/>
          </w:tcPr>
          <w:p w14:paraId="4633EA96" w14:textId="77777777" w:rsidR="00406376" w:rsidRDefault="00406376" w:rsidP="00CE1E62">
            <w:pPr>
              <w:spacing w:after="0" w:line="360" w:lineRule="auto"/>
              <w:jc w:val="center"/>
              <w:rPr>
                <w:sz w:val="20"/>
                <w:szCs w:val="24"/>
              </w:rPr>
            </w:pPr>
          </w:p>
          <w:p w14:paraId="50BB69A9" w14:textId="77777777" w:rsidR="00406376" w:rsidRDefault="00406376" w:rsidP="00CE1E62">
            <w:pPr>
              <w:spacing w:after="0" w:line="360" w:lineRule="auto"/>
              <w:jc w:val="center"/>
              <w:rPr>
                <w:sz w:val="20"/>
                <w:szCs w:val="24"/>
              </w:rPr>
            </w:pPr>
            <w:r>
              <w:rPr>
                <w:sz w:val="20"/>
                <w:szCs w:val="24"/>
              </w:rPr>
              <w:t>0</w:t>
            </w:r>
          </w:p>
          <w:p w14:paraId="40D16B2F" w14:textId="77777777" w:rsidR="00406376" w:rsidRDefault="00406376" w:rsidP="00CE1E62">
            <w:pPr>
              <w:spacing w:after="0" w:line="360" w:lineRule="auto"/>
              <w:jc w:val="center"/>
              <w:rPr>
                <w:sz w:val="20"/>
                <w:szCs w:val="24"/>
              </w:rPr>
            </w:pPr>
            <w:r>
              <w:rPr>
                <w:sz w:val="20"/>
                <w:szCs w:val="24"/>
              </w:rPr>
              <w:t>29 (35%)</w:t>
            </w:r>
          </w:p>
          <w:p w14:paraId="3D09CE67" w14:textId="77777777" w:rsidR="00406376" w:rsidRDefault="00406376" w:rsidP="00CE1E62">
            <w:pPr>
              <w:spacing w:after="0" w:line="360" w:lineRule="auto"/>
              <w:jc w:val="center"/>
              <w:rPr>
                <w:sz w:val="20"/>
                <w:szCs w:val="24"/>
              </w:rPr>
            </w:pPr>
            <w:r>
              <w:rPr>
                <w:sz w:val="20"/>
                <w:szCs w:val="24"/>
              </w:rPr>
              <w:t>51 (62%)</w:t>
            </w:r>
          </w:p>
          <w:p w14:paraId="3C402793" w14:textId="77777777" w:rsidR="00406376" w:rsidRPr="009B5BC2" w:rsidRDefault="00406376" w:rsidP="00CE1E62">
            <w:pPr>
              <w:spacing w:after="0" w:line="360" w:lineRule="auto"/>
              <w:jc w:val="center"/>
              <w:rPr>
                <w:sz w:val="20"/>
                <w:szCs w:val="24"/>
              </w:rPr>
            </w:pPr>
            <w:r>
              <w:rPr>
                <w:sz w:val="20"/>
                <w:szCs w:val="24"/>
              </w:rPr>
              <w:t>2 (2%)</w:t>
            </w:r>
          </w:p>
        </w:tc>
      </w:tr>
      <w:tr w:rsidR="00406376" w:rsidRPr="00B4379A" w14:paraId="15C39011" w14:textId="77777777" w:rsidTr="00CE1E62">
        <w:trPr>
          <w:trHeight w:val="340"/>
        </w:trPr>
        <w:tc>
          <w:tcPr>
            <w:tcW w:w="3389" w:type="pct"/>
            <w:tcBorders>
              <w:top w:val="nil"/>
              <w:left w:val="nil"/>
              <w:bottom w:val="nil"/>
              <w:right w:val="nil"/>
            </w:tcBorders>
            <w:shd w:val="clear" w:color="auto" w:fill="FFFFFF" w:themeFill="background1"/>
            <w:tcMar>
              <w:top w:w="15" w:type="dxa"/>
              <w:left w:w="108" w:type="dxa"/>
              <w:bottom w:w="0" w:type="dxa"/>
              <w:right w:w="108" w:type="dxa"/>
            </w:tcMar>
          </w:tcPr>
          <w:p w14:paraId="6806BB8E" w14:textId="77777777" w:rsidR="00406376" w:rsidRPr="001F7B4C" w:rsidRDefault="00406376" w:rsidP="00CE1E62">
            <w:pPr>
              <w:spacing w:after="0" w:line="360" w:lineRule="auto"/>
              <w:rPr>
                <w:sz w:val="20"/>
                <w:szCs w:val="20"/>
              </w:rPr>
            </w:pPr>
            <w:r w:rsidRPr="001F7B4C">
              <w:rPr>
                <w:b/>
                <w:bCs/>
                <w:sz w:val="20"/>
                <w:szCs w:val="20"/>
              </w:rPr>
              <w:t xml:space="preserve">Classe NYHA </w:t>
            </w:r>
            <w:r>
              <w:rPr>
                <w:b/>
                <w:sz w:val="20"/>
                <w:szCs w:val="20"/>
              </w:rPr>
              <w:t>aos 12 meses (pós CRT)</w:t>
            </w:r>
          </w:p>
          <w:p w14:paraId="65562E65" w14:textId="77777777" w:rsidR="00406376" w:rsidRPr="001F7B4C" w:rsidRDefault="00406376" w:rsidP="00CE1E62">
            <w:pPr>
              <w:spacing w:after="0" w:line="360" w:lineRule="auto"/>
              <w:ind w:left="113"/>
              <w:rPr>
                <w:sz w:val="20"/>
                <w:szCs w:val="20"/>
              </w:rPr>
            </w:pPr>
            <w:r w:rsidRPr="001F7B4C">
              <w:rPr>
                <w:sz w:val="20"/>
                <w:szCs w:val="20"/>
              </w:rPr>
              <w:t>I</w:t>
            </w:r>
          </w:p>
          <w:p w14:paraId="363EC38A" w14:textId="77777777" w:rsidR="00406376" w:rsidRPr="001F7B4C" w:rsidRDefault="00406376" w:rsidP="00CE1E62">
            <w:pPr>
              <w:spacing w:after="0" w:line="360" w:lineRule="auto"/>
              <w:ind w:left="113"/>
              <w:rPr>
                <w:sz w:val="20"/>
                <w:szCs w:val="20"/>
              </w:rPr>
            </w:pPr>
            <w:r w:rsidRPr="001F7B4C">
              <w:rPr>
                <w:sz w:val="20"/>
                <w:szCs w:val="20"/>
              </w:rPr>
              <w:t>II</w:t>
            </w:r>
          </w:p>
          <w:p w14:paraId="20E05FB9" w14:textId="77777777" w:rsidR="00406376" w:rsidRPr="001F7B4C" w:rsidRDefault="00406376" w:rsidP="00CE1E62">
            <w:pPr>
              <w:spacing w:after="0" w:line="360" w:lineRule="auto"/>
              <w:ind w:left="113"/>
              <w:rPr>
                <w:sz w:val="20"/>
                <w:szCs w:val="20"/>
              </w:rPr>
            </w:pPr>
            <w:r w:rsidRPr="001F7B4C">
              <w:rPr>
                <w:sz w:val="20"/>
                <w:szCs w:val="20"/>
              </w:rPr>
              <w:t>III</w:t>
            </w:r>
          </w:p>
          <w:p w14:paraId="5AC506D6" w14:textId="77777777" w:rsidR="00406376" w:rsidRPr="001F7B4C" w:rsidRDefault="00406376" w:rsidP="00CE1E62">
            <w:pPr>
              <w:spacing w:after="0" w:line="360" w:lineRule="auto"/>
              <w:ind w:left="113"/>
              <w:rPr>
                <w:sz w:val="20"/>
                <w:szCs w:val="24"/>
              </w:rPr>
            </w:pPr>
            <w:r w:rsidRPr="001F7B4C">
              <w:rPr>
                <w:sz w:val="20"/>
                <w:szCs w:val="20"/>
              </w:rPr>
              <w:t>IV</w:t>
            </w:r>
          </w:p>
        </w:tc>
        <w:tc>
          <w:tcPr>
            <w:tcW w:w="1611" w:type="pct"/>
            <w:tcBorders>
              <w:top w:val="nil"/>
              <w:left w:val="nil"/>
              <w:bottom w:val="nil"/>
              <w:right w:val="nil"/>
            </w:tcBorders>
            <w:shd w:val="clear" w:color="auto" w:fill="FFFFFF" w:themeFill="background1"/>
            <w:tcMar>
              <w:top w:w="15" w:type="dxa"/>
              <w:left w:w="108" w:type="dxa"/>
              <w:bottom w:w="0" w:type="dxa"/>
              <w:right w:w="108" w:type="dxa"/>
            </w:tcMar>
            <w:vAlign w:val="center"/>
          </w:tcPr>
          <w:p w14:paraId="53A41649" w14:textId="77777777" w:rsidR="00406376" w:rsidRPr="001F7B4C" w:rsidRDefault="00406376" w:rsidP="00CE1E62">
            <w:pPr>
              <w:spacing w:after="0" w:line="360" w:lineRule="auto"/>
              <w:jc w:val="center"/>
              <w:rPr>
                <w:sz w:val="20"/>
                <w:szCs w:val="24"/>
              </w:rPr>
            </w:pPr>
          </w:p>
          <w:p w14:paraId="58F7C07D" w14:textId="77777777" w:rsidR="00406376" w:rsidRPr="001F7B4C" w:rsidRDefault="00406376" w:rsidP="00CE1E62">
            <w:pPr>
              <w:spacing w:after="0" w:line="360" w:lineRule="auto"/>
              <w:jc w:val="center"/>
              <w:rPr>
                <w:sz w:val="20"/>
                <w:szCs w:val="24"/>
              </w:rPr>
            </w:pPr>
            <w:r>
              <w:rPr>
                <w:sz w:val="20"/>
                <w:szCs w:val="24"/>
              </w:rPr>
              <w:t>17 (21%)</w:t>
            </w:r>
          </w:p>
          <w:p w14:paraId="33A070AD" w14:textId="77777777" w:rsidR="00406376" w:rsidRPr="001F7B4C" w:rsidRDefault="00406376" w:rsidP="00CE1E62">
            <w:pPr>
              <w:spacing w:after="0" w:line="360" w:lineRule="auto"/>
              <w:jc w:val="center"/>
              <w:rPr>
                <w:sz w:val="20"/>
                <w:szCs w:val="24"/>
              </w:rPr>
            </w:pPr>
            <w:r>
              <w:rPr>
                <w:sz w:val="20"/>
                <w:szCs w:val="24"/>
              </w:rPr>
              <w:t>49</w:t>
            </w:r>
            <w:r w:rsidRPr="001F7B4C">
              <w:rPr>
                <w:sz w:val="20"/>
                <w:szCs w:val="24"/>
              </w:rPr>
              <w:t xml:space="preserve"> (</w:t>
            </w:r>
            <w:r>
              <w:rPr>
                <w:sz w:val="20"/>
                <w:szCs w:val="24"/>
              </w:rPr>
              <w:t>60</w:t>
            </w:r>
            <w:r w:rsidRPr="001F7B4C">
              <w:rPr>
                <w:sz w:val="20"/>
                <w:szCs w:val="24"/>
              </w:rPr>
              <w:t>%)</w:t>
            </w:r>
          </w:p>
          <w:p w14:paraId="2D0F5A97" w14:textId="77777777" w:rsidR="00406376" w:rsidRPr="001F7B4C" w:rsidRDefault="00406376" w:rsidP="00CE1E62">
            <w:pPr>
              <w:spacing w:after="0" w:line="360" w:lineRule="auto"/>
              <w:jc w:val="center"/>
              <w:rPr>
                <w:sz w:val="20"/>
                <w:szCs w:val="24"/>
              </w:rPr>
            </w:pPr>
            <w:r>
              <w:rPr>
                <w:sz w:val="20"/>
                <w:szCs w:val="24"/>
              </w:rPr>
              <w:t>13</w:t>
            </w:r>
            <w:r w:rsidRPr="001F7B4C">
              <w:rPr>
                <w:sz w:val="20"/>
                <w:szCs w:val="24"/>
              </w:rPr>
              <w:t xml:space="preserve"> (</w:t>
            </w:r>
            <w:r>
              <w:rPr>
                <w:sz w:val="20"/>
                <w:szCs w:val="24"/>
              </w:rPr>
              <w:t>16</w:t>
            </w:r>
            <w:r w:rsidRPr="001F7B4C">
              <w:rPr>
                <w:sz w:val="20"/>
                <w:szCs w:val="24"/>
              </w:rPr>
              <w:t>%)</w:t>
            </w:r>
          </w:p>
          <w:p w14:paraId="4113201B" w14:textId="77777777" w:rsidR="00406376" w:rsidRPr="001F7B4C" w:rsidRDefault="00406376" w:rsidP="00CE1E62">
            <w:pPr>
              <w:spacing w:after="0" w:line="360" w:lineRule="auto"/>
              <w:jc w:val="center"/>
              <w:rPr>
                <w:sz w:val="20"/>
                <w:szCs w:val="24"/>
              </w:rPr>
            </w:pPr>
            <w:r>
              <w:rPr>
                <w:sz w:val="20"/>
                <w:szCs w:val="24"/>
              </w:rPr>
              <w:t>3</w:t>
            </w:r>
            <w:r w:rsidRPr="001F7B4C">
              <w:rPr>
                <w:sz w:val="20"/>
                <w:szCs w:val="24"/>
              </w:rPr>
              <w:t xml:space="preserve"> (</w:t>
            </w:r>
            <w:r>
              <w:rPr>
                <w:sz w:val="20"/>
                <w:szCs w:val="24"/>
              </w:rPr>
              <w:t>4</w:t>
            </w:r>
            <w:r w:rsidRPr="001F7B4C">
              <w:rPr>
                <w:sz w:val="20"/>
                <w:szCs w:val="24"/>
              </w:rPr>
              <w:t>%)</w:t>
            </w:r>
          </w:p>
        </w:tc>
      </w:tr>
      <w:tr w:rsidR="00406376" w:rsidRPr="00B4379A" w14:paraId="3DAA1407" w14:textId="77777777" w:rsidTr="00CE1E62">
        <w:trPr>
          <w:trHeight w:val="340"/>
        </w:trPr>
        <w:tc>
          <w:tcPr>
            <w:tcW w:w="3389" w:type="pct"/>
            <w:tcBorders>
              <w:top w:val="nil"/>
              <w:left w:val="nil"/>
              <w:bottom w:val="nil"/>
              <w:right w:val="nil"/>
            </w:tcBorders>
            <w:shd w:val="clear" w:color="auto" w:fill="F0F0F0"/>
            <w:tcMar>
              <w:top w:w="15" w:type="dxa"/>
              <w:left w:w="108" w:type="dxa"/>
              <w:bottom w:w="0" w:type="dxa"/>
              <w:right w:w="108" w:type="dxa"/>
            </w:tcMar>
            <w:vAlign w:val="center"/>
          </w:tcPr>
          <w:p w14:paraId="0A7A9101" w14:textId="77777777" w:rsidR="00406376" w:rsidRPr="00903F5C" w:rsidRDefault="00406376" w:rsidP="00CE1E62">
            <w:pPr>
              <w:spacing w:after="60" w:line="360" w:lineRule="auto"/>
              <w:rPr>
                <w:b/>
                <w:sz w:val="20"/>
                <w:szCs w:val="24"/>
              </w:rPr>
            </w:pPr>
            <w:r w:rsidRPr="00903F5C">
              <w:rPr>
                <w:b/>
                <w:sz w:val="20"/>
                <w:szCs w:val="24"/>
              </w:rPr>
              <w:t>BCRE</w:t>
            </w:r>
          </w:p>
        </w:tc>
        <w:tc>
          <w:tcPr>
            <w:tcW w:w="1611" w:type="pct"/>
            <w:tcBorders>
              <w:top w:val="nil"/>
              <w:left w:val="nil"/>
              <w:bottom w:val="nil"/>
              <w:right w:val="nil"/>
            </w:tcBorders>
            <w:shd w:val="clear" w:color="auto" w:fill="F0F0F0"/>
            <w:tcMar>
              <w:top w:w="15" w:type="dxa"/>
              <w:left w:w="108" w:type="dxa"/>
              <w:bottom w:w="0" w:type="dxa"/>
              <w:right w:w="108" w:type="dxa"/>
            </w:tcMar>
            <w:vAlign w:val="center"/>
          </w:tcPr>
          <w:p w14:paraId="1B198904" w14:textId="77777777" w:rsidR="00406376" w:rsidRPr="009B5BC2" w:rsidRDefault="00406376" w:rsidP="00CE1E62">
            <w:pPr>
              <w:spacing w:after="60" w:line="360" w:lineRule="auto"/>
              <w:jc w:val="center"/>
              <w:rPr>
                <w:sz w:val="20"/>
                <w:szCs w:val="24"/>
              </w:rPr>
            </w:pPr>
            <w:r>
              <w:rPr>
                <w:sz w:val="20"/>
                <w:szCs w:val="24"/>
              </w:rPr>
              <w:t>74 (90%)</w:t>
            </w:r>
          </w:p>
        </w:tc>
      </w:tr>
      <w:tr w:rsidR="00406376" w:rsidRPr="00B4379A" w14:paraId="2F2301C7" w14:textId="77777777" w:rsidTr="00CE1E62">
        <w:trPr>
          <w:trHeight w:val="340"/>
        </w:trPr>
        <w:tc>
          <w:tcPr>
            <w:tcW w:w="3389" w:type="pct"/>
            <w:tcBorders>
              <w:top w:val="nil"/>
              <w:left w:val="nil"/>
              <w:bottom w:val="nil"/>
              <w:right w:val="nil"/>
            </w:tcBorders>
            <w:shd w:val="clear" w:color="auto" w:fill="FFFFFF" w:themeFill="background1"/>
            <w:tcMar>
              <w:top w:w="15" w:type="dxa"/>
              <w:left w:w="108" w:type="dxa"/>
              <w:bottom w:w="0" w:type="dxa"/>
              <w:right w:w="108" w:type="dxa"/>
            </w:tcMar>
          </w:tcPr>
          <w:p w14:paraId="40CF2583" w14:textId="77777777" w:rsidR="00406376" w:rsidRDefault="00406376" w:rsidP="00CE1E62">
            <w:pPr>
              <w:spacing w:after="0" w:line="360" w:lineRule="auto"/>
              <w:rPr>
                <w:b/>
                <w:sz w:val="20"/>
                <w:szCs w:val="24"/>
              </w:rPr>
            </w:pPr>
            <w:r>
              <w:rPr>
                <w:b/>
                <w:sz w:val="20"/>
                <w:szCs w:val="24"/>
              </w:rPr>
              <w:t>QRS</w:t>
            </w:r>
          </w:p>
          <w:p w14:paraId="65DEEBAD" w14:textId="77777777" w:rsidR="00406376" w:rsidRPr="00EB7596" w:rsidRDefault="00406376" w:rsidP="00CE1E62">
            <w:pPr>
              <w:spacing w:after="0" w:line="360" w:lineRule="auto"/>
              <w:ind w:left="113"/>
              <w:rPr>
                <w:sz w:val="20"/>
                <w:szCs w:val="24"/>
              </w:rPr>
            </w:pPr>
            <w:r w:rsidRPr="00EB7596">
              <w:rPr>
                <w:sz w:val="20"/>
                <w:szCs w:val="24"/>
              </w:rPr>
              <w:t>QRS</w:t>
            </w:r>
            <w:r>
              <w:rPr>
                <w:sz w:val="20"/>
                <w:szCs w:val="24"/>
              </w:rPr>
              <w:t xml:space="preserve"> </w:t>
            </w:r>
            <w:r w:rsidRPr="00EB7596">
              <w:rPr>
                <w:sz w:val="20"/>
                <w:szCs w:val="24"/>
              </w:rPr>
              <w:t>≥</w:t>
            </w:r>
            <w:r>
              <w:rPr>
                <w:sz w:val="20"/>
                <w:szCs w:val="24"/>
              </w:rPr>
              <w:t xml:space="preserve"> </w:t>
            </w:r>
            <w:r w:rsidRPr="00EB7596">
              <w:rPr>
                <w:sz w:val="20"/>
                <w:szCs w:val="24"/>
              </w:rPr>
              <w:t>150ms</w:t>
            </w:r>
          </w:p>
          <w:p w14:paraId="34044AED" w14:textId="77777777" w:rsidR="00406376" w:rsidRPr="00903F5C" w:rsidRDefault="00406376" w:rsidP="00CE1E62">
            <w:pPr>
              <w:spacing w:after="0" w:line="360" w:lineRule="auto"/>
              <w:ind w:left="113"/>
              <w:rPr>
                <w:b/>
                <w:sz w:val="20"/>
                <w:szCs w:val="24"/>
              </w:rPr>
            </w:pPr>
            <w:r w:rsidRPr="00EB7596">
              <w:rPr>
                <w:sz w:val="20"/>
                <w:szCs w:val="24"/>
              </w:rPr>
              <w:t>QRS 130-149ms</w:t>
            </w:r>
          </w:p>
        </w:tc>
        <w:tc>
          <w:tcPr>
            <w:tcW w:w="1611" w:type="pct"/>
            <w:tcBorders>
              <w:top w:val="nil"/>
              <w:left w:val="nil"/>
              <w:bottom w:val="nil"/>
              <w:right w:val="nil"/>
            </w:tcBorders>
            <w:shd w:val="clear" w:color="auto" w:fill="FFFFFF" w:themeFill="background1"/>
            <w:tcMar>
              <w:top w:w="15" w:type="dxa"/>
              <w:left w:w="108" w:type="dxa"/>
              <w:bottom w:w="0" w:type="dxa"/>
              <w:right w:w="108" w:type="dxa"/>
            </w:tcMar>
            <w:vAlign w:val="center"/>
          </w:tcPr>
          <w:p w14:paraId="23BB4256" w14:textId="77777777" w:rsidR="00406376" w:rsidRPr="002D1E97" w:rsidRDefault="00406376" w:rsidP="00CE1E62">
            <w:pPr>
              <w:spacing w:after="0" w:line="360" w:lineRule="auto"/>
              <w:jc w:val="center"/>
              <w:rPr>
                <w:sz w:val="20"/>
                <w:szCs w:val="24"/>
              </w:rPr>
            </w:pPr>
          </w:p>
          <w:p w14:paraId="61ECA7B8" w14:textId="77777777" w:rsidR="00406376" w:rsidRPr="002D1E97" w:rsidRDefault="00406376" w:rsidP="00CE1E62">
            <w:pPr>
              <w:spacing w:after="0" w:line="360" w:lineRule="auto"/>
              <w:jc w:val="center"/>
              <w:rPr>
                <w:sz w:val="20"/>
                <w:szCs w:val="24"/>
              </w:rPr>
            </w:pPr>
            <w:r w:rsidRPr="002D1E97">
              <w:rPr>
                <w:sz w:val="20"/>
                <w:szCs w:val="24"/>
              </w:rPr>
              <w:t>66 (80%)</w:t>
            </w:r>
          </w:p>
          <w:p w14:paraId="4EEB2CD0" w14:textId="77777777" w:rsidR="00406376" w:rsidRPr="002D1E97" w:rsidRDefault="00406376" w:rsidP="00CE1E62">
            <w:pPr>
              <w:spacing w:after="0" w:line="360" w:lineRule="auto"/>
              <w:jc w:val="center"/>
              <w:rPr>
                <w:sz w:val="20"/>
                <w:szCs w:val="24"/>
              </w:rPr>
            </w:pPr>
            <w:r w:rsidRPr="002D1E97">
              <w:rPr>
                <w:sz w:val="20"/>
                <w:szCs w:val="24"/>
              </w:rPr>
              <w:t>8 (10%)</w:t>
            </w:r>
          </w:p>
        </w:tc>
      </w:tr>
      <w:tr w:rsidR="00406376" w:rsidRPr="00B4379A" w14:paraId="27574BC7" w14:textId="77777777" w:rsidTr="00CE1E62">
        <w:trPr>
          <w:trHeight w:val="340"/>
        </w:trPr>
        <w:tc>
          <w:tcPr>
            <w:tcW w:w="3389" w:type="pct"/>
            <w:tcBorders>
              <w:top w:val="nil"/>
              <w:left w:val="nil"/>
              <w:bottom w:val="nil"/>
              <w:right w:val="nil"/>
            </w:tcBorders>
            <w:shd w:val="clear" w:color="auto" w:fill="F0F0F0"/>
            <w:tcMar>
              <w:top w:w="15" w:type="dxa"/>
              <w:left w:w="108" w:type="dxa"/>
              <w:bottom w:w="0" w:type="dxa"/>
              <w:right w:w="108" w:type="dxa"/>
            </w:tcMar>
          </w:tcPr>
          <w:p w14:paraId="6D07FD71" w14:textId="77777777" w:rsidR="00406376" w:rsidRPr="009B5BC2" w:rsidRDefault="00406376" w:rsidP="00CE1E62">
            <w:pPr>
              <w:spacing w:after="60" w:line="360" w:lineRule="auto"/>
              <w:rPr>
                <w:sz w:val="20"/>
                <w:szCs w:val="24"/>
              </w:rPr>
            </w:pPr>
            <w:r w:rsidRPr="009B5BC2">
              <w:rPr>
                <w:b/>
                <w:bCs/>
                <w:sz w:val="20"/>
                <w:szCs w:val="24"/>
              </w:rPr>
              <w:t>Fração de ejeção (%)</w:t>
            </w:r>
          </w:p>
        </w:tc>
        <w:tc>
          <w:tcPr>
            <w:tcW w:w="1611" w:type="pct"/>
            <w:tcBorders>
              <w:top w:val="nil"/>
              <w:left w:val="nil"/>
              <w:bottom w:val="nil"/>
              <w:right w:val="nil"/>
            </w:tcBorders>
            <w:shd w:val="clear" w:color="auto" w:fill="F0F0F0"/>
            <w:tcMar>
              <w:top w:w="15" w:type="dxa"/>
              <w:left w:w="108" w:type="dxa"/>
              <w:bottom w:w="0" w:type="dxa"/>
              <w:right w:w="108" w:type="dxa"/>
            </w:tcMar>
            <w:vAlign w:val="center"/>
          </w:tcPr>
          <w:p w14:paraId="6692C332" w14:textId="77777777" w:rsidR="00406376" w:rsidRPr="002D1E97" w:rsidRDefault="00406376" w:rsidP="00CE1E62">
            <w:pPr>
              <w:spacing w:after="60" w:line="360" w:lineRule="auto"/>
              <w:jc w:val="center"/>
              <w:rPr>
                <w:sz w:val="20"/>
                <w:szCs w:val="24"/>
              </w:rPr>
            </w:pPr>
            <w:r w:rsidRPr="002D1E97">
              <w:rPr>
                <w:sz w:val="20"/>
                <w:szCs w:val="24"/>
              </w:rPr>
              <w:t>27±6</w:t>
            </w:r>
          </w:p>
        </w:tc>
      </w:tr>
      <w:tr w:rsidR="00406376" w:rsidRPr="00B4379A" w14:paraId="73E53C7B" w14:textId="77777777" w:rsidTr="00CE1E62">
        <w:trPr>
          <w:trHeight w:val="340"/>
        </w:trPr>
        <w:tc>
          <w:tcPr>
            <w:tcW w:w="3389" w:type="pct"/>
            <w:tcBorders>
              <w:top w:val="nil"/>
              <w:left w:val="nil"/>
              <w:bottom w:val="nil"/>
              <w:right w:val="nil"/>
            </w:tcBorders>
            <w:shd w:val="clear" w:color="auto" w:fill="FFFFFF" w:themeFill="background1"/>
            <w:tcMar>
              <w:top w:w="15" w:type="dxa"/>
              <w:left w:w="108" w:type="dxa"/>
              <w:bottom w:w="0" w:type="dxa"/>
              <w:right w:w="108" w:type="dxa"/>
            </w:tcMar>
            <w:hideMark/>
          </w:tcPr>
          <w:p w14:paraId="5B02D95F" w14:textId="77777777" w:rsidR="00406376" w:rsidRPr="009B5BC2" w:rsidRDefault="00406376" w:rsidP="00CE1E62">
            <w:pPr>
              <w:pStyle w:val="NormalWeb"/>
              <w:spacing w:before="0" w:beforeAutospacing="0" w:after="0" w:afterAutospacing="0" w:line="360" w:lineRule="auto"/>
              <w:rPr>
                <w:rFonts w:ascii="Arial" w:hAnsi="Arial" w:cs="Arial"/>
                <w:sz w:val="20"/>
                <w:szCs w:val="36"/>
              </w:rPr>
            </w:pPr>
            <w:r w:rsidRPr="009B5BC2">
              <w:rPr>
                <w:rFonts w:ascii="Calibri" w:hAnsi="Calibri" w:cs="Arial"/>
                <w:b/>
                <w:bCs/>
                <w:color w:val="000000" w:themeColor="text1"/>
                <w:kern w:val="24"/>
                <w:sz w:val="20"/>
              </w:rPr>
              <w:t xml:space="preserve">Volume </w:t>
            </w:r>
            <w:proofErr w:type="spellStart"/>
            <w:r w:rsidRPr="009B5BC2">
              <w:rPr>
                <w:rFonts w:ascii="Calibri" w:hAnsi="Calibri" w:cs="Arial"/>
                <w:b/>
                <w:bCs/>
                <w:color w:val="000000" w:themeColor="text1"/>
                <w:kern w:val="24"/>
                <w:sz w:val="20"/>
              </w:rPr>
              <w:t>telediastólico</w:t>
            </w:r>
            <w:proofErr w:type="spellEnd"/>
            <w:r w:rsidRPr="009B5BC2">
              <w:rPr>
                <w:rFonts w:ascii="Calibri" w:hAnsi="Calibri" w:cs="Arial"/>
                <w:b/>
                <w:bCs/>
                <w:color w:val="000000" w:themeColor="text1"/>
                <w:kern w:val="24"/>
                <w:sz w:val="20"/>
              </w:rPr>
              <w:t xml:space="preserve"> indexado (ml/m</w:t>
            </w:r>
            <w:r w:rsidRPr="009B5BC2">
              <w:rPr>
                <w:rFonts w:ascii="Calibri" w:hAnsi="Calibri" w:cs="Arial"/>
                <w:b/>
                <w:bCs/>
                <w:color w:val="000000" w:themeColor="text1"/>
                <w:kern w:val="24"/>
                <w:position w:val="7"/>
                <w:sz w:val="20"/>
                <w:vertAlign w:val="superscript"/>
              </w:rPr>
              <w:t>2</w:t>
            </w:r>
            <w:r w:rsidRPr="009B5BC2">
              <w:rPr>
                <w:rFonts w:ascii="Calibri" w:hAnsi="Calibri" w:cs="Arial"/>
                <w:b/>
                <w:bCs/>
                <w:color w:val="000000" w:themeColor="text1"/>
                <w:kern w:val="24"/>
                <w:sz w:val="20"/>
              </w:rPr>
              <w:t>)</w:t>
            </w:r>
          </w:p>
        </w:tc>
        <w:tc>
          <w:tcPr>
            <w:tcW w:w="1611" w:type="pct"/>
            <w:tcBorders>
              <w:top w:val="nil"/>
              <w:left w:val="nil"/>
              <w:bottom w:val="nil"/>
              <w:right w:val="nil"/>
            </w:tcBorders>
            <w:shd w:val="clear" w:color="auto" w:fill="FFFFFF" w:themeFill="background1"/>
            <w:tcMar>
              <w:top w:w="15" w:type="dxa"/>
              <w:left w:w="108" w:type="dxa"/>
              <w:bottom w:w="0" w:type="dxa"/>
              <w:right w:w="108" w:type="dxa"/>
            </w:tcMar>
            <w:vAlign w:val="center"/>
            <w:hideMark/>
          </w:tcPr>
          <w:p w14:paraId="175A07AD" w14:textId="77777777" w:rsidR="00406376" w:rsidRPr="002D1E97" w:rsidRDefault="00406376" w:rsidP="00CE1E62">
            <w:pPr>
              <w:pStyle w:val="NormalWeb"/>
              <w:spacing w:before="0" w:beforeAutospacing="0" w:after="0" w:afterAutospacing="0" w:line="360" w:lineRule="auto"/>
              <w:jc w:val="center"/>
              <w:rPr>
                <w:rFonts w:asciiTheme="minorHAnsi" w:hAnsiTheme="minorHAnsi" w:cs="Arial"/>
                <w:sz w:val="20"/>
                <w:szCs w:val="36"/>
              </w:rPr>
            </w:pPr>
            <w:r>
              <w:rPr>
                <w:rFonts w:asciiTheme="minorHAnsi" w:hAnsiTheme="minorHAnsi"/>
                <w:sz w:val="20"/>
              </w:rPr>
              <w:t>113</w:t>
            </w:r>
            <w:r w:rsidRPr="002D1E97">
              <w:rPr>
                <w:rFonts w:asciiTheme="minorHAnsi" w:hAnsiTheme="minorHAnsi"/>
                <w:sz w:val="20"/>
              </w:rPr>
              <w:t>±</w:t>
            </w:r>
            <w:r>
              <w:rPr>
                <w:rFonts w:asciiTheme="minorHAnsi" w:hAnsiTheme="minorHAnsi"/>
                <w:sz w:val="20"/>
              </w:rPr>
              <w:t>40</w:t>
            </w:r>
          </w:p>
        </w:tc>
      </w:tr>
      <w:tr w:rsidR="00406376" w:rsidRPr="00B4379A" w14:paraId="302F8A87" w14:textId="77777777" w:rsidTr="00CE1E62">
        <w:trPr>
          <w:trHeight w:val="340"/>
        </w:trPr>
        <w:tc>
          <w:tcPr>
            <w:tcW w:w="3389" w:type="pct"/>
            <w:tcBorders>
              <w:top w:val="nil"/>
              <w:left w:val="nil"/>
              <w:bottom w:val="nil"/>
              <w:right w:val="nil"/>
            </w:tcBorders>
            <w:shd w:val="clear" w:color="auto" w:fill="F0F0F0"/>
            <w:tcMar>
              <w:top w:w="15" w:type="dxa"/>
              <w:left w:w="108" w:type="dxa"/>
              <w:bottom w:w="0" w:type="dxa"/>
              <w:right w:w="108" w:type="dxa"/>
            </w:tcMar>
            <w:hideMark/>
          </w:tcPr>
          <w:p w14:paraId="3C4E2336" w14:textId="77777777" w:rsidR="00406376" w:rsidRPr="001F7B4C" w:rsidRDefault="00406376" w:rsidP="00CE1E62">
            <w:pPr>
              <w:pStyle w:val="NormalWeb"/>
              <w:spacing w:before="0" w:beforeAutospacing="0" w:after="0" w:afterAutospacing="0" w:line="360" w:lineRule="auto"/>
              <w:rPr>
                <w:rFonts w:asciiTheme="minorHAnsi" w:hAnsiTheme="minorHAnsi" w:cs="Arial"/>
                <w:sz w:val="20"/>
                <w:szCs w:val="36"/>
              </w:rPr>
            </w:pPr>
            <w:r w:rsidRPr="001F7B4C">
              <w:rPr>
                <w:rFonts w:asciiTheme="minorHAnsi" w:eastAsia="Calibri" w:hAnsiTheme="minorHAnsi"/>
                <w:b/>
                <w:bCs/>
                <w:color w:val="000000" w:themeColor="text1"/>
                <w:kern w:val="24"/>
                <w:sz w:val="20"/>
              </w:rPr>
              <w:t xml:space="preserve">Volume </w:t>
            </w:r>
            <w:proofErr w:type="spellStart"/>
            <w:r w:rsidRPr="001F7B4C">
              <w:rPr>
                <w:rFonts w:asciiTheme="minorHAnsi" w:eastAsia="Calibri" w:hAnsiTheme="minorHAnsi"/>
                <w:b/>
                <w:bCs/>
                <w:color w:val="000000" w:themeColor="text1"/>
                <w:kern w:val="24"/>
                <w:sz w:val="20"/>
              </w:rPr>
              <w:t>telessistólico</w:t>
            </w:r>
            <w:proofErr w:type="spellEnd"/>
            <w:r w:rsidRPr="001F7B4C">
              <w:rPr>
                <w:rFonts w:asciiTheme="minorHAnsi" w:eastAsia="Calibri" w:hAnsiTheme="minorHAnsi"/>
                <w:b/>
                <w:bCs/>
                <w:color w:val="000000" w:themeColor="text1"/>
                <w:kern w:val="24"/>
                <w:sz w:val="20"/>
              </w:rPr>
              <w:t xml:space="preserve"> indexado (ml/m</w:t>
            </w:r>
            <w:r w:rsidRPr="001F7B4C">
              <w:rPr>
                <w:rFonts w:asciiTheme="minorHAnsi" w:hAnsiTheme="minorHAnsi" w:cs="Arial"/>
                <w:b/>
                <w:bCs/>
                <w:color w:val="000000" w:themeColor="text1"/>
                <w:kern w:val="24"/>
                <w:position w:val="7"/>
                <w:sz w:val="20"/>
                <w:vertAlign w:val="superscript"/>
              </w:rPr>
              <w:t>2</w:t>
            </w:r>
            <w:r w:rsidRPr="001F7B4C">
              <w:rPr>
                <w:rFonts w:asciiTheme="minorHAnsi" w:eastAsia="Calibri" w:hAnsiTheme="minorHAnsi"/>
                <w:b/>
                <w:bCs/>
                <w:color w:val="000000" w:themeColor="text1"/>
                <w:kern w:val="24"/>
                <w:sz w:val="20"/>
              </w:rPr>
              <w:t>)</w:t>
            </w:r>
          </w:p>
        </w:tc>
        <w:tc>
          <w:tcPr>
            <w:tcW w:w="1611" w:type="pct"/>
            <w:tcBorders>
              <w:top w:val="nil"/>
              <w:left w:val="nil"/>
              <w:bottom w:val="nil"/>
              <w:right w:val="nil"/>
            </w:tcBorders>
            <w:shd w:val="clear" w:color="auto" w:fill="F0F0F0"/>
            <w:tcMar>
              <w:top w:w="15" w:type="dxa"/>
              <w:left w:w="108" w:type="dxa"/>
              <w:bottom w:w="0" w:type="dxa"/>
              <w:right w:w="108" w:type="dxa"/>
            </w:tcMar>
            <w:vAlign w:val="center"/>
            <w:hideMark/>
          </w:tcPr>
          <w:p w14:paraId="1CA99115" w14:textId="77777777" w:rsidR="00406376" w:rsidRPr="002D1E97" w:rsidRDefault="00406376" w:rsidP="00CE1E62">
            <w:pPr>
              <w:pStyle w:val="NormalWeb"/>
              <w:spacing w:before="0" w:beforeAutospacing="0" w:after="0" w:afterAutospacing="0" w:line="360" w:lineRule="auto"/>
              <w:jc w:val="center"/>
              <w:rPr>
                <w:rFonts w:asciiTheme="minorHAnsi" w:hAnsiTheme="minorHAnsi" w:cs="Arial"/>
                <w:sz w:val="20"/>
                <w:szCs w:val="36"/>
              </w:rPr>
            </w:pPr>
            <w:r>
              <w:rPr>
                <w:rFonts w:asciiTheme="minorHAnsi" w:hAnsiTheme="minorHAnsi"/>
                <w:sz w:val="20"/>
              </w:rPr>
              <w:t>79</w:t>
            </w:r>
            <w:r w:rsidRPr="002D1E97">
              <w:rPr>
                <w:rFonts w:asciiTheme="minorHAnsi" w:hAnsiTheme="minorHAnsi"/>
                <w:sz w:val="20"/>
              </w:rPr>
              <w:t>±</w:t>
            </w:r>
            <w:r>
              <w:rPr>
                <w:rFonts w:asciiTheme="minorHAnsi" w:hAnsiTheme="minorHAnsi"/>
                <w:sz w:val="20"/>
              </w:rPr>
              <w:t>32</w:t>
            </w:r>
          </w:p>
        </w:tc>
      </w:tr>
      <w:tr w:rsidR="00406376" w:rsidRPr="00B4379A" w14:paraId="76B76E16" w14:textId="77777777" w:rsidTr="00CE1E62">
        <w:trPr>
          <w:trHeight w:val="340"/>
        </w:trPr>
        <w:tc>
          <w:tcPr>
            <w:tcW w:w="3389" w:type="pct"/>
            <w:tcBorders>
              <w:top w:val="nil"/>
              <w:left w:val="nil"/>
              <w:bottom w:val="nil"/>
              <w:right w:val="nil"/>
            </w:tcBorders>
            <w:shd w:val="clear" w:color="auto" w:fill="FFFFFF" w:themeFill="background1"/>
            <w:tcMar>
              <w:top w:w="15" w:type="dxa"/>
              <w:left w:w="108" w:type="dxa"/>
              <w:bottom w:w="0" w:type="dxa"/>
              <w:right w:w="108" w:type="dxa"/>
            </w:tcMar>
          </w:tcPr>
          <w:p w14:paraId="2AE223DA" w14:textId="77777777" w:rsidR="00406376" w:rsidRPr="001F7B4C" w:rsidRDefault="00406376" w:rsidP="00CE1E62">
            <w:pPr>
              <w:pStyle w:val="NormalWeb"/>
              <w:spacing w:before="0" w:beforeAutospacing="0" w:after="0" w:afterAutospacing="0" w:line="360" w:lineRule="auto"/>
              <w:rPr>
                <w:rFonts w:asciiTheme="minorHAnsi" w:eastAsia="Calibri" w:hAnsiTheme="minorHAnsi"/>
                <w:b/>
                <w:bCs/>
                <w:color w:val="000000" w:themeColor="text1"/>
                <w:kern w:val="24"/>
                <w:sz w:val="20"/>
              </w:rPr>
            </w:pPr>
            <w:r w:rsidRPr="001F7B4C">
              <w:rPr>
                <w:rFonts w:asciiTheme="minorHAnsi" w:eastAsia="Calibri" w:hAnsiTheme="minorHAnsi"/>
                <w:b/>
                <w:bCs/>
                <w:color w:val="000000" w:themeColor="text1"/>
                <w:kern w:val="24"/>
                <w:sz w:val="20"/>
              </w:rPr>
              <w:t>Dessincronia auriculoventricular</w:t>
            </w:r>
          </w:p>
        </w:tc>
        <w:tc>
          <w:tcPr>
            <w:tcW w:w="1611" w:type="pct"/>
            <w:tcBorders>
              <w:top w:val="nil"/>
              <w:left w:val="nil"/>
              <w:bottom w:val="nil"/>
              <w:right w:val="nil"/>
            </w:tcBorders>
            <w:shd w:val="clear" w:color="auto" w:fill="FFFFFF" w:themeFill="background1"/>
            <w:tcMar>
              <w:top w:w="15" w:type="dxa"/>
              <w:left w:w="108" w:type="dxa"/>
              <w:bottom w:w="0" w:type="dxa"/>
              <w:right w:w="108" w:type="dxa"/>
            </w:tcMar>
            <w:vAlign w:val="center"/>
          </w:tcPr>
          <w:p w14:paraId="40862E9F" w14:textId="77777777" w:rsidR="00406376" w:rsidRPr="002D1E97" w:rsidRDefault="00406376" w:rsidP="00CE1E62">
            <w:pPr>
              <w:pStyle w:val="NormalWeb"/>
              <w:spacing w:before="0" w:beforeAutospacing="0" w:after="0" w:afterAutospacing="0" w:line="360" w:lineRule="auto"/>
              <w:jc w:val="center"/>
              <w:rPr>
                <w:rFonts w:asciiTheme="minorHAnsi" w:hAnsiTheme="minorHAnsi" w:cs="Arial"/>
                <w:sz w:val="20"/>
                <w:szCs w:val="36"/>
              </w:rPr>
            </w:pPr>
            <w:r w:rsidRPr="002D1E97">
              <w:rPr>
                <w:rFonts w:asciiTheme="minorHAnsi" w:hAnsiTheme="minorHAnsi" w:cs="Arial"/>
                <w:sz w:val="20"/>
                <w:szCs w:val="36"/>
              </w:rPr>
              <w:t>15 (18%)</w:t>
            </w:r>
          </w:p>
        </w:tc>
      </w:tr>
      <w:tr w:rsidR="00406376" w:rsidRPr="00B4379A" w14:paraId="0B4219D1" w14:textId="77777777" w:rsidTr="00CE1E62">
        <w:trPr>
          <w:trHeight w:val="340"/>
        </w:trPr>
        <w:tc>
          <w:tcPr>
            <w:tcW w:w="3389" w:type="pct"/>
            <w:tcBorders>
              <w:top w:val="nil"/>
              <w:left w:val="nil"/>
              <w:bottom w:val="nil"/>
              <w:right w:val="nil"/>
            </w:tcBorders>
            <w:shd w:val="clear" w:color="auto" w:fill="F0F0F0"/>
            <w:tcMar>
              <w:top w:w="15" w:type="dxa"/>
              <w:left w:w="108" w:type="dxa"/>
              <w:bottom w:w="0" w:type="dxa"/>
              <w:right w:w="108" w:type="dxa"/>
            </w:tcMar>
          </w:tcPr>
          <w:p w14:paraId="76074A82" w14:textId="77777777" w:rsidR="00406376" w:rsidRPr="001F7B4C" w:rsidRDefault="00406376" w:rsidP="00CE1E62">
            <w:pPr>
              <w:pStyle w:val="NormalWeb"/>
              <w:spacing w:before="0" w:beforeAutospacing="0" w:after="0" w:afterAutospacing="0" w:line="360" w:lineRule="auto"/>
              <w:rPr>
                <w:rFonts w:asciiTheme="minorHAnsi" w:eastAsia="Calibri" w:hAnsiTheme="minorHAnsi"/>
                <w:b/>
                <w:bCs/>
                <w:color w:val="000000" w:themeColor="text1"/>
                <w:kern w:val="24"/>
                <w:sz w:val="20"/>
              </w:rPr>
            </w:pPr>
            <w:r w:rsidRPr="001F7B4C">
              <w:rPr>
                <w:rFonts w:asciiTheme="minorHAnsi" w:eastAsia="Calibri" w:hAnsiTheme="minorHAnsi"/>
                <w:b/>
                <w:bCs/>
                <w:color w:val="000000" w:themeColor="text1"/>
                <w:kern w:val="24"/>
                <w:sz w:val="20"/>
              </w:rPr>
              <w:t xml:space="preserve">Dessincronia </w:t>
            </w:r>
            <w:r>
              <w:rPr>
                <w:rFonts w:asciiTheme="minorHAnsi" w:eastAsia="Calibri" w:hAnsiTheme="minorHAnsi"/>
                <w:b/>
                <w:bCs/>
                <w:color w:val="000000" w:themeColor="text1"/>
                <w:kern w:val="24"/>
                <w:sz w:val="20"/>
              </w:rPr>
              <w:t>intraventricular</w:t>
            </w:r>
          </w:p>
        </w:tc>
        <w:tc>
          <w:tcPr>
            <w:tcW w:w="1611" w:type="pct"/>
            <w:tcBorders>
              <w:top w:val="nil"/>
              <w:left w:val="nil"/>
              <w:bottom w:val="nil"/>
              <w:right w:val="nil"/>
            </w:tcBorders>
            <w:shd w:val="clear" w:color="auto" w:fill="F0F0F0"/>
            <w:tcMar>
              <w:top w:w="15" w:type="dxa"/>
              <w:left w:w="108" w:type="dxa"/>
              <w:bottom w:w="0" w:type="dxa"/>
              <w:right w:w="108" w:type="dxa"/>
            </w:tcMar>
            <w:vAlign w:val="center"/>
          </w:tcPr>
          <w:p w14:paraId="10C25BA2" w14:textId="77777777" w:rsidR="00406376" w:rsidRPr="001F7B4C" w:rsidRDefault="00406376" w:rsidP="00CE1E62">
            <w:pPr>
              <w:pStyle w:val="NormalWeb"/>
              <w:spacing w:before="0" w:beforeAutospacing="0" w:after="0" w:afterAutospacing="0" w:line="360" w:lineRule="auto"/>
              <w:jc w:val="center"/>
              <w:rPr>
                <w:rFonts w:asciiTheme="minorHAnsi" w:hAnsiTheme="minorHAnsi" w:cs="Arial"/>
                <w:sz w:val="20"/>
                <w:szCs w:val="36"/>
              </w:rPr>
            </w:pPr>
            <w:r>
              <w:rPr>
                <w:rFonts w:asciiTheme="minorHAnsi" w:hAnsiTheme="minorHAnsi" w:cs="Arial"/>
                <w:sz w:val="20"/>
                <w:szCs w:val="36"/>
              </w:rPr>
              <w:t>55 (</w:t>
            </w:r>
            <w:r w:rsidRPr="001F7B4C">
              <w:rPr>
                <w:rFonts w:asciiTheme="minorHAnsi" w:hAnsiTheme="minorHAnsi" w:cs="Arial"/>
                <w:sz w:val="20"/>
                <w:szCs w:val="36"/>
              </w:rPr>
              <w:t>67%</w:t>
            </w:r>
            <w:r>
              <w:rPr>
                <w:rFonts w:asciiTheme="minorHAnsi" w:hAnsiTheme="minorHAnsi" w:cs="Arial"/>
                <w:sz w:val="20"/>
                <w:szCs w:val="36"/>
              </w:rPr>
              <w:t>)</w:t>
            </w:r>
          </w:p>
        </w:tc>
      </w:tr>
      <w:tr w:rsidR="00406376" w:rsidRPr="00B4379A" w14:paraId="1B91F6DB" w14:textId="77777777" w:rsidTr="00CE1E62">
        <w:trPr>
          <w:trHeight w:val="340"/>
        </w:trPr>
        <w:tc>
          <w:tcPr>
            <w:tcW w:w="3389" w:type="pct"/>
            <w:tcBorders>
              <w:top w:val="nil"/>
              <w:left w:val="nil"/>
              <w:bottom w:val="nil"/>
              <w:right w:val="nil"/>
            </w:tcBorders>
            <w:shd w:val="clear" w:color="auto" w:fill="FFFFFF" w:themeFill="background1"/>
            <w:tcMar>
              <w:top w:w="15" w:type="dxa"/>
              <w:left w:w="108" w:type="dxa"/>
              <w:bottom w:w="0" w:type="dxa"/>
              <w:right w:w="108" w:type="dxa"/>
            </w:tcMar>
          </w:tcPr>
          <w:p w14:paraId="01E510BD" w14:textId="77777777" w:rsidR="00406376" w:rsidRPr="001F7B4C" w:rsidRDefault="00406376" w:rsidP="00CE1E62">
            <w:pPr>
              <w:pStyle w:val="NormalWeb"/>
              <w:spacing w:before="0" w:beforeAutospacing="0" w:after="0" w:afterAutospacing="0" w:line="360" w:lineRule="auto"/>
              <w:rPr>
                <w:rFonts w:asciiTheme="minorHAnsi" w:eastAsia="Calibri" w:hAnsiTheme="minorHAnsi"/>
                <w:b/>
                <w:bCs/>
                <w:color w:val="000000" w:themeColor="text1"/>
                <w:kern w:val="24"/>
                <w:sz w:val="20"/>
              </w:rPr>
            </w:pPr>
            <w:r w:rsidRPr="001F7B4C">
              <w:rPr>
                <w:rFonts w:asciiTheme="minorHAnsi" w:eastAsia="Calibri" w:hAnsiTheme="minorHAnsi"/>
                <w:b/>
                <w:bCs/>
                <w:color w:val="000000" w:themeColor="text1"/>
                <w:kern w:val="24"/>
                <w:sz w:val="20"/>
              </w:rPr>
              <w:t>Dessincronia</w:t>
            </w:r>
            <w:r>
              <w:rPr>
                <w:rFonts w:asciiTheme="minorHAnsi" w:eastAsia="Calibri" w:hAnsiTheme="minorHAnsi"/>
                <w:b/>
                <w:bCs/>
                <w:color w:val="000000" w:themeColor="text1"/>
                <w:kern w:val="24"/>
                <w:sz w:val="20"/>
              </w:rPr>
              <w:t xml:space="preserve"> interventricular</w:t>
            </w:r>
          </w:p>
        </w:tc>
        <w:tc>
          <w:tcPr>
            <w:tcW w:w="1611" w:type="pct"/>
            <w:tcBorders>
              <w:top w:val="nil"/>
              <w:left w:val="nil"/>
              <w:bottom w:val="nil"/>
              <w:right w:val="nil"/>
            </w:tcBorders>
            <w:shd w:val="clear" w:color="auto" w:fill="FFFFFF" w:themeFill="background1"/>
            <w:tcMar>
              <w:top w:w="15" w:type="dxa"/>
              <w:left w:w="108" w:type="dxa"/>
              <w:bottom w:w="0" w:type="dxa"/>
              <w:right w:w="108" w:type="dxa"/>
            </w:tcMar>
            <w:vAlign w:val="center"/>
          </w:tcPr>
          <w:p w14:paraId="4BBFE3C6" w14:textId="77777777" w:rsidR="00406376" w:rsidRPr="001F7B4C" w:rsidRDefault="00406376" w:rsidP="00CE1E62">
            <w:pPr>
              <w:pStyle w:val="NormalWeb"/>
              <w:spacing w:before="0" w:beforeAutospacing="0" w:after="0" w:afterAutospacing="0" w:line="360" w:lineRule="auto"/>
              <w:jc w:val="center"/>
              <w:rPr>
                <w:rFonts w:asciiTheme="minorHAnsi" w:hAnsiTheme="minorHAnsi" w:cs="Arial"/>
                <w:sz w:val="20"/>
                <w:szCs w:val="36"/>
              </w:rPr>
            </w:pPr>
            <w:r>
              <w:rPr>
                <w:rFonts w:asciiTheme="minorHAnsi" w:hAnsiTheme="minorHAnsi" w:cs="Arial"/>
                <w:sz w:val="20"/>
                <w:szCs w:val="36"/>
              </w:rPr>
              <w:t>34 (</w:t>
            </w:r>
            <w:r w:rsidRPr="001F7B4C">
              <w:rPr>
                <w:rFonts w:asciiTheme="minorHAnsi" w:hAnsiTheme="minorHAnsi" w:cs="Arial"/>
                <w:sz w:val="20"/>
                <w:szCs w:val="36"/>
              </w:rPr>
              <w:t>41%</w:t>
            </w:r>
            <w:r>
              <w:rPr>
                <w:rFonts w:asciiTheme="minorHAnsi" w:hAnsiTheme="minorHAnsi" w:cs="Arial"/>
                <w:sz w:val="20"/>
                <w:szCs w:val="36"/>
              </w:rPr>
              <w:t>)</w:t>
            </w:r>
          </w:p>
        </w:tc>
      </w:tr>
    </w:tbl>
    <w:p w14:paraId="04950826" w14:textId="77777777" w:rsidR="009B2CB3" w:rsidRPr="00406376" w:rsidRDefault="009B2CB3" w:rsidP="00056F84">
      <w:pPr>
        <w:jc w:val="both"/>
        <w:rPr>
          <w:b/>
        </w:rPr>
      </w:pPr>
    </w:p>
    <w:p w14:paraId="64664FC0" w14:textId="77777777" w:rsidR="009B2CB3" w:rsidRDefault="009B2CB3" w:rsidP="00056F84">
      <w:pPr>
        <w:jc w:val="both"/>
        <w:rPr>
          <w:b/>
          <w:i/>
        </w:rPr>
      </w:pPr>
    </w:p>
    <w:p w14:paraId="440E708F" w14:textId="77777777" w:rsidR="009B2CB3" w:rsidRDefault="009B2CB3" w:rsidP="00056F84">
      <w:pPr>
        <w:jc w:val="both"/>
        <w:rPr>
          <w:b/>
          <w:i/>
        </w:rPr>
      </w:pPr>
    </w:p>
    <w:p w14:paraId="790108CB" w14:textId="77777777" w:rsidR="009B2CB3" w:rsidRDefault="009B2CB3" w:rsidP="00056F84">
      <w:pPr>
        <w:jc w:val="both"/>
        <w:rPr>
          <w:b/>
          <w:i/>
        </w:rPr>
      </w:pPr>
    </w:p>
    <w:p w14:paraId="37BB54B3" w14:textId="77777777" w:rsidR="009B2CB3" w:rsidRDefault="009B2CB3" w:rsidP="00056F84">
      <w:pPr>
        <w:jc w:val="both"/>
        <w:rPr>
          <w:b/>
          <w:i/>
        </w:rPr>
      </w:pPr>
    </w:p>
    <w:p w14:paraId="28AD21BC" w14:textId="77777777" w:rsidR="009B2CB3" w:rsidRDefault="009B2CB3" w:rsidP="00056F84">
      <w:pPr>
        <w:jc w:val="both"/>
        <w:rPr>
          <w:b/>
          <w:i/>
        </w:rPr>
      </w:pPr>
    </w:p>
    <w:p w14:paraId="6AF64343" w14:textId="0659C9C8" w:rsidR="009B2CB3" w:rsidRPr="005C046F" w:rsidRDefault="009B2CB3" w:rsidP="005C046F">
      <w:pPr>
        <w:spacing w:after="200" w:line="276" w:lineRule="auto"/>
        <w:rPr>
          <w:b/>
          <w:i/>
        </w:rPr>
      </w:pPr>
    </w:p>
    <w:p w14:paraId="1FE7E9D1" w14:textId="2008B790" w:rsidR="00056F84" w:rsidRPr="00EA5A1C" w:rsidRDefault="005C046F" w:rsidP="00214A90">
      <w:pPr>
        <w:jc w:val="center"/>
        <w:rPr>
          <w:b/>
          <w:sz w:val="26"/>
          <w:szCs w:val="26"/>
        </w:rPr>
      </w:pPr>
      <w:r w:rsidRPr="005C046F">
        <w:rPr>
          <w:b/>
          <w:sz w:val="26"/>
          <w:szCs w:val="26"/>
        </w:rPr>
        <w:t xml:space="preserve">Material suplementar </w:t>
      </w:r>
      <w:proofErr w:type="spellStart"/>
      <w:r w:rsidRPr="005C046F">
        <w:rPr>
          <w:b/>
          <w:i/>
          <w:sz w:val="26"/>
          <w:szCs w:val="26"/>
        </w:rPr>
        <w:t>on</w:t>
      </w:r>
      <w:proofErr w:type="spellEnd"/>
      <w:r w:rsidRPr="005C046F">
        <w:rPr>
          <w:b/>
          <w:i/>
          <w:sz w:val="26"/>
          <w:szCs w:val="26"/>
        </w:rPr>
        <w:t xml:space="preserve"> </w:t>
      </w:r>
      <w:proofErr w:type="spellStart"/>
      <w:r w:rsidRPr="005C046F">
        <w:rPr>
          <w:b/>
          <w:i/>
          <w:sz w:val="26"/>
          <w:szCs w:val="26"/>
        </w:rPr>
        <w:t>line</w:t>
      </w:r>
      <w:proofErr w:type="spellEnd"/>
      <w:r w:rsidR="00406376">
        <w:rPr>
          <w:b/>
          <w:sz w:val="26"/>
          <w:szCs w:val="26"/>
        </w:rPr>
        <w:t xml:space="preserve"> 5</w:t>
      </w:r>
      <w:r w:rsidR="00EA5A1C">
        <w:rPr>
          <w:b/>
          <w:sz w:val="26"/>
          <w:szCs w:val="26"/>
        </w:rPr>
        <w:t xml:space="preserve">: </w:t>
      </w:r>
      <w:r w:rsidR="00056F84" w:rsidRPr="00214A90">
        <w:rPr>
          <w:b/>
          <w:sz w:val="24"/>
        </w:rPr>
        <w:t>Tabela 1</w:t>
      </w:r>
      <w:r w:rsidR="009B2CB3" w:rsidRPr="00214A90">
        <w:rPr>
          <w:b/>
          <w:i/>
          <w:sz w:val="24"/>
        </w:rPr>
        <w:t xml:space="preserve"> (</w:t>
      </w:r>
      <w:proofErr w:type="spellStart"/>
      <w:r w:rsidR="009B2CB3" w:rsidRPr="00214A90">
        <w:rPr>
          <w:b/>
          <w:i/>
          <w:sz w:val="24"/>
        </w:rPr>
        <w:t>on</w:t>
      </w:r>
      <w:proofErr w:type="spellEnd"/>
      <w:r w:rsidR="009B2CB3" w:rsidRPr="00214A90">
        <w:rPr>
          <w:b/>
          <w:i/>
          <w:sz w:val="24"/>
        </w:rPr>
        <w:t xml:space="preserve"> </w:t>
      </w:r>
      <w:proofErr w:type="spellStart"/>
      <w:r w:rsidR="009B2CB3" w:rsidRPr="00214A90">
        <w:rPr>
          <w:b/>
          <w:i/>
          <w:sz w:val="24"/>
        </w:rPr>
        <w:t>line</w:t>
      </w:r>
      <w:proofErr w:type="spellEnd"/>
      <w:r w:rsidRPr="00214A90">
        <w:rPr>
          <w:b/>
          <w:i/>
          <w:sz w:val="24"/>
        </w:rPr>
        <w:t>)</w:t>
      </w:r>
      <w:r w:rsidR="00056F84" w:rsidRPr="00214A90">
        <w:rPr>
          <w:b/>
          <w:i/>
          <w:sz w:val="24"/>
        </w:rPr>
        <w:t xml:space="preserve"> </w:t>
      </w:r>
      <w:r w:rsidR="00056F84" w:rsidRPr="00214A90">
        <w:rPr>
          <w:sz w:val="24"/>
        </w:rPr>
        <w:t>–</w:t>
      </w:r>
      <w:r w:rsidR="00056F84" w:rsidRPr="00214A90">
        <w:rPr>
          <w:b/>
          <w:sz w:val="24"/>
        </w:rPr>
        <w:t xml:space="preserve"> </w:t>
      </w:r>
      <w:r w:rsidR="00056F84" w:rsidRPr="00214A90">
        <w:rPr>
          <w:sz w:val="24"/>
        </w:rPr>
        <w:t>Centros que participaram na inclusão de doentes</w:t>
      </w:r>
    </w:p>
    <w:tbl>
      <w:tblPr>
        <w:tblpPr w:leftFromText="141" w:rightFromText="141" w:vertAnchor="page" w:horzAnchor="margin" w:tblpXSpec="center" w:tblpY="3151"/>
        <w:tblW w:w="8859" w:type="dxa"/>
        <w:tblCellMar>
          <w:left w:w="70" w:type="dxa"/>
          <w:right w:w="70" w:type="dxa"/>
        </w:tblCellMar>
        <w:tblLook w:val="04A0" w:firstRow="1" w:lastRow="0" w:firstColumn="1" w:lastColumn="0" w:noHBand="0" w:noVBand="1"/>
      </w:tblPr>
      <w:tblGrid>
        <w:gridCol w:w="3898"/>
        <w:gridCol w:w="3402"/>
        <w:gridCol w:w="1559"/>
      </w:tblGrid>
      <w:tr w:rsidR="00056F84" w14:paraId="0790AE95"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1C4A1" w14:textId="77777777" w:rsidR="00056F84" w:rsidRPr="00CA2C72" w:rsidRDefault="00056F84" w:rsidP="00056F84">
            <w:pPr>
              <w:jc w:val="center"/>
              <w:rPr>
                <w:rFonts w:ascii="Calibri" w:hAnsi="Calibri"/>
                <w:b/>
                <w:color w:val="000000"/>
              </w:rPr>
            </w:pPr>
            <w:r w:rsidRPr="00CA2C72">
              <w:rPr>
                <w:rFonts w:ascii="Calibri" w:hAnsi="Calibri"/>
                <w:b/>
                <w:color w:val="000000"/>
              </w:rPr>
              <w:t>Centros</w:t>
            </w:r>
          </w:p>
        </w:tc>
        <w:tc>
          <w:tcPr>
            <w:tcW w:w="3402" w:type="dxa"/>
            <w:tcBorders>
              <w:top w:val="single" w:sz="4" w:space="0" w:color="auto"/>
              <w:left w:val="single" w:sz="4" w:space="0" w:color="auto"/>
              <w:bottom w:val="single" w:sz="4" w:space="0" w:color="auto"/>
              <w:right w:val="single" w:sz="4" w:space="0" w:color="auto"/>
            </w:tcBorders>
          </w:tcPr>
          <w:p w14:paraId="21E115D4" w14:textId="77777777" w:rsidR="00056F84" w:rsidRPr="00CA2C72" w:rsidRDefault="00056F84" w:rsidP="00056F84">
            <w:pPr>
              <w:jc w:val="center"/>
              <w:rPr>
                <w:rFonts w:ascii="Calibri" w:hAnsi="Calibri"/>
                <w:b/>
                <w:color w:val="000000"/>
              </w:rPr>
            </w:pPr>
            <w:r>
              <w:rPr>
                <w:rFonts w:ascii="Calibri" w:hAnsi="Calibri"/>
                <w:b/>
                <w:color w:val="000000"/>
              </w:rPr>
              <w:t>Investigador principal</w:t>
            </w:r>
          </w:p>
        </w:tc>
        <w:tc>
          <w:tcPr>
            <w:tcW w:w="1559" w:type="dxa"/>
            <w:tcBorders>
              <w:top w:val="single" w:sz="4" w:space="0" w:color="auto"/>
              <w:left w:val="single" w:sz="4" w:space="0" w:color="auto"/>
              <w:bottom w:val="single" w:sz="4" w:space="0" w:color="auto"/>
              <w:right w:val="single" w:sz="4" w:space="0" w:color="auto"/>
            </w:tcBorders>
          </w:tcPr>
          <w:p w14:paraId="530F287A" w14:textId="77777777" w:rsidR="00056F84" w:rsidRPr="00CA2C72" w:rsidRDefault="00056F84" w:rsidP="00056F84">
            <w:pPr>
              <w:rPr>
                <w:rFonts w:ascii="Calibri" w:hAnsi="Calibri"/>
                <w:b/>
                <w:color w:val="000000"/>
              </w:rPr>
            </w:pPr>
            <w:r>
              <w:rPr>
                <w:rFonts w:ascii="Calibri" w:hAnsi="Calibri"/>
                <w:color w:val="000000"/>
              </w:rPr>
              <w:t xml:space="preserve">   </w:t>
            </w:r>
            <w:r w:rsidRPr="00CA2C72">
              <w:rPr>
                <w:rFonts w:ascii="Calibri" w:hAnsi="Calibri"/>
                <w:b/>
                <w:color w:val="000000"/>
              </w:rPr>
              <w:t>Nº doentes</w:t>
            </w:r>
          </w:p>
        </w:tc>
      </w:tr>
      <w:tr w:rsidR="00056F84" w14:paraId="3A975BF1"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650EF" w14:textId="77777777" w:rsidR="00056F84" w:rsidRDefault="00056F84" w:rsidP="00056F84">
            <w:pPr>
              <w:rPr>
                <w:rFonts w:ascii="Calibri" w:hAnsi="Calibri"/>
                <w:color w:val="000000"/>
              </w:rPr>
            </w:pPr>
            <w:r>
              <w:rPr>
                <w:rFonts w:ascii="Calibri" w:hAnsi="Calibri"/>
                <w:color w:val="000000"/>
              </w:rPr>
              <w:t>Centro Hospitalar do Funchal</w:t>
            </w:r>
          </w:p>
        </w:tc>
        <w:tc>
          <w:tcPr>
            <w:tcW w:w="3402" w:type="dxa"/>
            <w:tcBorders>
              <w:top w:val="single" w:sz="4" w:space="0" w:color="auto"/>
              <w:left w:val="single" w:sz="4" w:space="0" w:color="auto"/>
              <w:bottom w:val="single" w:sz="4" w:space="0" w:color="auto"/>
              <w:right w:val="single" w:sz="4" w:space="0" w:color="auto"/>
            </w:tcBorders>
          </w:tcPr>
          <w:p w14:paraId="3FDBD39D" w14:textId="77777777" w:rsidR="00056F84" w:rsidRDefault="00056F84" w:rsidP="00056F84">
            <w:pPr>
              <w:rPr>
                <w:rFonts w:ascii="Calibri" w:hAnsi="Calibri"/>
                <w:color w:val="000000"/>
              </w:rPr>
            </w:pPr>
            <w:r>
              <w:rPr>
                <w:rFonts w:ascii="Calibri" w:hAnsi="Calibri"/>
                <w:color w:val="000000"/>
              </w:rPr>
              <w:t>Nuno Santos</w:t>
            </w:r>
          </w:p>
        </w:tc>
        <w:tc>
          <w:tcPr>
            <w:tcW w:w="1559" w:type="dxa"/>
            <w:tcBorders>
              <w:top w:val="single" w:sz="4" w:space="0" w:color="auto"/>
              <w:left w:val="single" w:sz="4" w:space="0" w:color="auto"/>
              <w:bottom w:val="single" w:sz="4" w:space="0" w:color="auto"/>
              <w:right w:val="single" w:sz="4" w:space="0" w:color="auto"/>
            </w:tcBorders>
          </w:tcPr>
          <w:p w14:paraId="6F52125D" w14:textId="77777777" w:rsidR="00056F84" w:rsidRDefault="00056F84" w:rsidP="00056F84">
            <w:pPr>
              <w:jc w:val="center"/>
              <w:rPr>
                <w:rFonts w:ascii="Calibri" w:hAnsi="Calibri"/>
                <w:color w:val="000000"/>
              </w:rPr>
            </w:pPr>
            <w:r>
              <w:rPr>
                <w:rFonts w:ascii="Calibri" w:hAnsi="Calibri"/>
                <w:color w:val="000000"/>
              </w:rPr>
              <w:t>10</w:t>
            </w:r>
          </w:p>
        </w:tc>
      </w:tr>
      <w:tr w:rsidR="00056F84" w14:paraId="02DAF6B1"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F0497" w14:textId="77777777" w:rsidR="00056F84" w:rsidRDefault="00056F84" w:rsidP="00056F84">
            <w:pPr>
              <w:rPr>
                <w:rFonts w:ascii="Calibri" w:hAnsi="Calibri"/>
                <w:color w:val="000000"/>
              </w:rPr>
            </w:pPr>
            <w:r>
              <w:rPr>
                <w:rFonts w:ascii="Calibri" w:hAnsi="Calibri"/>
                <w:color w:val="000000"/>
              </w:rPr>
              <w:t>Centro Hospitalar Lisboa Ocidental</w:t>
            </w:r>
          </w:p>
        </w:tc>
        <w:tc>
          <w:tcPr>
            <w:tcW w:w="3402" w:type="dxa"/>
            <w:tcBorders>
              <w:top w:val="single" w:sz="4" w:space="0" w:color="auto"/>
              <w:left w:val="single" w:sz="4" w:space="0" w:color="auto"/>
              <w:bottom w:val="single" w:sz="4" w:space="0" w:color="auto"/>
              <w:right w:val="single" w:sz="4" w:space="0" w:color="auto"/>
            </w:tcBorders>
          </w:tcPr>
          <w:p w14:paraId="644FFF1A" w14:textId="77777777" w:rsidR="00056F84" w:rsidRDefault="00056F84" w:rsidP="00056F84">
            <w:pPr>
              <w:rPr>
                <w:rFonts w:ascii="Calibri" w:hAnsi="Calibri"/>
                <w:color w:val="000000"/>
              </w:rPr>
            </w:pPr>
            <w:r>
              <w:rPr>
                <w:rFonts w:ascii="Calibri" w:hAnsi="Calibri"/>
                <w:color w:val="000000"/>
              </w:rPr>
              <w:t>Pedro Adragão</w:t>
            </w:r>
          </w:p>
        </w:tc>
        <w:tc>
          <w:tcPr>
            <w:tcW w:w="1559" w:type="dxa"/>
            <w:tcBorders>
              <w:top w:val="single" w:sz="4" w:space="0" w:color="auto"/>
              <w:left w:val="single" w:sz="4" w:space="0" w:color="auto"/>
              <w:bottom w:val="single" w:sz="4" w:space="0" w:color="auto"/>
              <w:right w:val="single" w:sz="4" w:space="0" w:color="auto"/>
            </w:tcBorders>
          </w:tcPr>
          <w:p w14:paraId="6BFA7803" w14:textId="77777777" w:rsidR="00056F84" w:rsidRDefault="00056F84" w:rsidP="00056F84">
            <w:pPr>
              <w:jc w:val="center"/>
              <w:rPr>
                <w:rFonts w:ascii="Calibri" w:hAnsi="Calibri"/>
                <w:color w:val="000000"/>
              </w:rPr>
            </w:pPr>
            <w:r>
              <w:rPr>
                <w:rFonts w:ascii="Calibri" w:hAnsi="Calibri"/>
                <w:color w:val="000000"/>
              </w:rPr>
              <w:t>250</w:t>
            </w:r>
          </w:p>
        </w:tc>
      </w:tr>
      <w:tr w:rsidR="00056F84" w14:paraId="123ED1C1"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6917C" w14:textId="77777777" w:rsidR="00056F84" w:rsidRDefault="00056F84" w:rsidP="00056F84">
            <w:pPr>
              <w:rPr>
                <w:rFonts w:ascii="Calibri" w:hAnsi="Calibri"/>
                <w:color w:val="000000"/>
              </w:rPr>
            </w:pPr>
            <w:r>
              <w:rPr>
                <w:rFonts w:ascii="Calibri" w:hAnsi="Calibri"/>
                <w:color w:val="000000"/>
              </w:rPr>
              <w:t>Centro Hospitalar Vila Nova de Gaia</w:t>
            </w:r>
          </w:p>
        </w:tc>
        <w:tc>
          <w:tcPr>
            <w:tcW w:w="3402" w:type="dxa"/>
            <w:tcBorders>
              <w:top w:val="single" w:sz="4" w:space="0" w:color="auto"/>
              <w:left w:val="single" w:sz="4" w:space="0" w:color="auto"/>
              <w:bottom w:val="single" w:sz="4" w:space="0" w:color="auto"/>
              <w:right w:val="single" w:sz="4" w:space="0" w:color="auto"/>
            </w:tcBorders>
          </w:tcPr>
          <w:p w14:paraId="397809D5" w14:textId="77777777" w:rsidR="00056F84" w:rsidRDefault="00056F84" w:rsidP="00056F84">
            <w:pPr>
              <w:rPr>
                <w:rFonts w:ascii="Calibri" w:hAnsi="Calibri"/>
                <w:color w:val="000000"/>
              </w:rPr>
            </w:pPr>
            <w:r>
              <w:rPr>
                <w:rFonts w:ascii="Calibri" w:hAnsi="Calibri"/>
                <w:color w:val="000000"/>
              </w:rPr>
              <w:t>João Primo</w:t>
            </w:r>
          </w:p>
        </w:tc>
        <w:tc>
          <w:tcPr>
            <w:tcW w:w="1559" w:type="dxa"/>
            <w:tcBorders>
              <w:top w:val="single" w:sz="4" w:space="0" w:color="auto"/>
              <w:left w:val="single" w:sz="4" w:space="0" w:color="auto"/>
              <w:bottom w:val="single" w:sz="4" w:space="0" w:color="auto"/>
              <w:right w:val="single" w:sz="4" w:space="0" w:color="auto"/>
            </w:tcBorders>
          </w:tcPr>
          <w:p w14:paraId="4D1DFB4F" w14:textId="77777777" w:rsidR="00056F84" w:rsidRDefault="00056F84" w:rsidP="00056F84">
            <w:pPr>
              <w:jc w:val="center"/>
              <w:rPr>
                <w:rFonts w:ascii="Calibri" w:hAnsi="Calibri"/>
                <w:color w:val="000000"/>
              </w:rPr>
            </w:pPr>
            <w:r>
              <w:rPr>
                <w:rFonts w:ascii="Calibri" w:hAnsi="Calibri"/>
                <w:color w:val="000000"/>
              </w:rPr>
              <w:t>2</w:t>
            </w:r>
          </w:p>
        </w:tc>
      </w:tr>
      <w:tr w:rsidR="00056F84" w14:paraId="343E8878"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19A9B" w14:textId="77777777" w:rsidR="00056F84" w:rsidRDefault="00056F84" w:rsidP="00056F84">
            <w:pPr>
              <w:rPr>
                <w:rFonts w:ascii="Calibri" w:hAnsi="Calibri"/>
                <w:color w:val="000000"/>
              </w:rPr>
            </w:pPr>
            <w:r>
              <w:rPr>
                <w:rFonts w:ascii="Calibri" w:hAnsi="Calibri"/>
                <w:color w:val="000000"/>
              </w:rPr>
              <w:t>Hospital da Luz (Lisboa)</w:t>
            </w:r>
          </w:p>
        </w:tc>
        <w:tc>
          <w:tcPr>
            <w:tcW w:w="3402" w:type="dxa"/>
            <w:tcBorders>
              <w:top w:val="single" w:sz="4" w:space="0" w:color="auto"/>
              <w:left w:val="single" w:sz="4" w:space="0" w:color="auto"/>
              <w:bottom w:val="single" w:sz="4" w:space="0" w:color="auto"/>
              <w:right w:val="single" w:sz="4" w:space="0" w:color="auto"/>
            </w:tcBorders>
          </w:tcPr>
          <w:p w14:paraId="4B94D658" w14:textId="77777777" w:rsidR="00056F84" w:rsidRDefault="00056F84" w:rsidP="00056F84">
            <w:pPr>
              <w:rPr>
                <w:rFonts w:ascii="Calibri" w:hAnsi="Calibri"/>
                <w:color w:val="000000"/>
              </w:rPr>
            </w:pPr>
            <w:r>
              <w:rPr>
                <w:rFonts w:ascii="Calibri" w:hAnsi="Calibri"/>
                <w:color w:val="000000"/>
              </w:rPr>
              <w:t>Pedro Adragão</w:t>
            </w:r>
          </w:p>
        </w:tc>
        <w:tc>
          <w:tcPr>
            <w:tcW w:w="1559" w:type="dxa"/>
            <w:tcBorders>
              <w:top w:val="single" w:sz="4" w:space="0" w:color="auto"/>
              <w:left w:val="single" w:sz="4" w:space="0" w:color="auto"/>
              <w:bottom w:val="single" w:sz="4" w:space="0" w:color="auto"/>
              <w:right w:val="single" w:sz="4" w:space="0" w:color="auto"/>
            </w:tcBorders>
          </w:tcPr>
          <w:p w14:paraId="27EFC3FD" w14:textId="77777777" w:rsidR="00056F84" w:rsidRDefault="00056F84" w:rsidP="00056F84">
            <w:pPr>
              <w:jc w:val="center"/>
              <w:rPr>
                <w:rFonts w:ascii="Calibri" w:hAnsi="Calibri"/>
                <w:color w:val="000000"/>
              </w:rPr>
            </w:pPr>
            <w:r>
              <w:rPr>
                <w:rFonts w:ascii="Calibri" w:hAnsi="Calibri"/>
                <w:color w:val="000000"/>
              </w:rPr>
              <w:t>4</w:t>
            </w:r>
          </w:p>
        </w:tc>
      </w:tr>
      <w:tr w:rsidR="00056F84" w14:paraId="5E669F69"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628FA" w14:textId="77777777" w:rsidR="00056F84" w:rsidRDefault="00056F84" w:rsidP="00056F84">
            <w:pPr>
              <w:rPr>
                <w:rFonts w:ascii="Calibri" w:hAnsi="Calibri"/>
                <w:color w:val="000000"/>
              </w:rPr>
            </w:pPr>
            <w:r>
              <w:rPr>
                <w:rFonts w:ascii="Calibri" w:hAnsi="Calibri"/>
                <w:color w:val="000000"/>
              </w:rPr>
              <w:t>Hospital da Universidade de Coimbra</w:t>
            </w:r>
          </w:p>
        </w:tc>
        <w:tc>
          <w:tcPr>
            <w:tcW w:w="3402" w:type="dxa"/>
            <w:tcBorders>
              <w:top w:val="single" w:sz="4" w:space="0" w:color="auto"/>
              <w:left w:val="single" w:sz="4" w:space="0" w:color="auto"/>
              <w:bottom w:val="single" w:sz="4" w:space="0" w:color="auto"/>
              <w:right w:val="single" w:sz="4" w:space="0" w:color="auto"/>
            </w:tcBorders>
          </w:tcPr>
          <w:p w14:paraId="2D5EE04E" w14:textId="77777777" w:rsidR="00056F84" w:rsidRDefault="00056F84" w:rsidP="00056F84">
            <w:pPr>
              <w:rPr>
                <w:rFonts w:ascii="Calibri" w:hAnsi="Calibri"/>
                <w:color w:val="000000"/>
              </w:rPr>
            </w:pPr>
            <w:r>
              <w:rPr>
                <w:rFonts w:ascii="Calibri" w:hAnsi="Calibri"/>
                <w:color w:val="000000"/>
              </w:rPr>
              <w:t>Luís Elvas</w:t>
            </w:r>
          </w:p>
        </w:tc>
        <w:tc>
          <w:tcPr>
            <w:tcW w:w="1559" w:type="dxa"/>
            <w:tcBorders>
              <w:top w:val="single" w:sz="4" w:space="0" w:color="auto"/>
              <w:left w:val="single" w:sz="4" w:space="0" w:color="auto"/>
              <w:bottom w:val="single" w:sz="4" w:space="0" w:color="auto"/>
              <w:right w:val="single" w:sz="4" w:space="0" w:color="auto"/>
            </w:tcBorders>
          </w:tcPr>
          <w:p w14:paraId="2BCFCFE0" w14:textId="77777777" w:rsidR="00056F84" w:rsidRDefault="00056F84" w:rsidP="00056F84">
            <w:pPr>
              <w:jc w:val="center"/>
              <w:rPr>
                <w:rFonts w:ascii="Calibri" w:hAnsi="Calibri"/>
                <w:color w:val="000000"/>
              </w:rPr>
            </w:pPr>
            <w:r>
              <w:rPr>
                <w:rFonts w:ascii="Calibri" w:hAnsi="Calibri"/>
                <w:color w:val="000000"/>
              </w:rPr>
              <w:t>17</w:t>
            </w:r>
          </w:p>
        </w:tc>
      </w:tr>
      <w:tr w:rsidR="00056F84" w14:paraId="70311080"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E7396" w14:textId="77777777" w:rsidR="00056F84" w:rsidRDefault="00056F84" w:rsidP="00056F84">
            <w:pPr>
              <w:rPr>
                <w:rFonts w:ascii="Calibri" w:hAnsi="Calibri"/>
                <w:color w:val="000000"/>
              </w:rPr>
            </w:pPr>
            <w:r>
              <w:rPr>
                <w:rFonts w:ascii="Calibri" w:hAnsi="Calibri"/>
                <w:color w:val="000000"/>
              </w:rPr>
              <w:t>Hospital de Faro</w:t>
            </w:r>
          </w:p>
        </w:tc>
        <w:tc>
          <w:tcPr>
            <w:tcW w:w="3402" w:type="dxa"/>
            <w:tcBorders>
              <w:top w:val="single" w:sz="4" w:space="0" w:color="auto"/>
              <w:left w:val="single" w:sz="4" w:space="0" w:color="auto"/>
              <w:bottom w:val="single" w:sz="4" w:space="0" w:color="auto"/>
              <w:right w:val="single" w:sz="4" w:space="0" w:color="auto"/>
            </w:tcBorders>
          </w:tcPr>
          <w:p w14:paraId="39A4FF4F" w14:textId="77777777" w:rsidR="00056F84" w:rsidRDefault="00056F84" w:rsidP="00056F84">
            <w:pPr>
              <w:rPr>
                <w:rFonts w:ascii="Calibri" w:hAnsi="Calibri"/>
                <w:color w:val="000000"/>
              </w:rPr>
            </w:pPr>
            <w:r>
              <w:rPr>
                <w:rFonts w:ascii="Calibri" w:hAnsi="Calibri"/>
                <w:color w:val="000000"/>
              </w:rPr>
              <w:t>Ilídio de Jesus</w:t>
            </w:r>
          </w:p>
        </w:tc>
        <w:tc>
          <w:tcPr>
            <w:tcW w:w="1559" w:type="dxa"/>
            <w:tcBorders>
              <w:top w:val="single" w:sz="4" w:space="0" w:color="auto"/>
              <w:left w:val="single" w:sz="4" w:space="0" w:color="auto"/>
              <w:bottom w:val="single" w:sz="4" w:space="0" w:color="auto"/>
              <w:right w:val="single" w:sz="4" w:space="0" w:color="auto"/>
            </w:tcBorders>
          </w:tcPr>
          <w:p w14:paraId="09E34DEC" w14:textId="77777777" w:rsidR="00056F84" w:rsidRDefault="00056F84" w:rsidP="00056F84">
            <w:pPr>
              <w:jc w:val="center"/>
              <w:rPr>
                <w:rFonts w:ascii="Calibri" w:hAnsi="Calibri"/>
                <w:color w:val="000000"/>
              </w:rPr>
            </w:pPr>
            <w:r>
              <w:rPr>
                <w:rFonts w:ascii="Calibri" w:hAnsi="Calibri"/>
                <w:color w:val="000000"/>
              </w:rPr>
              <w:t>12</w:t>
            </w:r>
          </w:p>
        </w:tc>
      </w:tr>
      <w:tr w:rsidR="00056F84" w14:paraId="6E8CDDB5"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3006D" w14:textId="77777777" w:rsidR="00056F84" w:rsidRDefault="00056F84" w:rsidP="00056F84">
            <w:pPr>
              <w:rPr>
                <w:rFonts w:ascii="Calibri" w:hAnsi="Calibri"/>
                <w:color w:val="000000"/>
              </w:rPr>
            </w:pPr>
            <w:r>
              <w:rPr>
                <w:rFonts w:ascii="Calibri" w:hAnsi="Calibri"/>
                <w:color w:val="000000"/>
              </w:rPr>
              <w:t>Hospital de Santa Maria (Lisboa)</w:t>
            </w:r>
          </w:p>
        </w:tc>
        <w:tc>
          <w:tcPr>
            <w:tcW w:w="3402" w:type="dxa"/>
            <w:tcBorders>
              <w:top w:val="single" w:sz="4" w:space="0" w:color="auto"/>
              <w:left w:val="single" w:sz="4" w:space="0" w:color="auto"/>
              <w:bottom w:val="single" w:sz="4" w:space="0" w:color="auto"/>
              <w:right w:val="single" w:sz="4" w:space="0" w:color="auto"/>
            </w:tcBorders>
          </w:tcPr>
          <w:p w14:paraId="7C442E3C" w14:textId="77777777" w:rsidR="00056F84" w:rsidRDefault="00056F84" w:rsidP="00056F84">
            <w:pPr>
              <w:rPr>
                <w:rFonts w:ascii="Calibri" w:hAnsi="Calibri"/>
                <w:color w:val="000000"/>
              </w:rPr>
            </w:pPr>
            <w:r>
              <w:rPr>
                <w:rFonts w:ascii="Calibri" w:hAnsi="Calibri"/>
                <w:color w:val="000000"/>
              </w:rPr>
              <w:t>João de Sousa</w:t>
            </w:r>
          </w:p>
        </w:tc>
        <w:tc>
          <w:tcPr>
            <w:tcW w:w="1559" w:type="dxa"/>
            <w:tcBorders>
              <w:top w:val="single" w:sz="4" w:space="0" w:color="auto"/>
              <w:left w:val="single" w:sz="4" w:space="0" w:color="auto"/>
              <w:bottom w:val="single" w:sz="4" w:space="0" w:color="auto"/>
              <w:right w:val="single" w:sz="4" w:space="0" w:color="auto"/>
            </w:tcBorders>
          </w:tcPr>
          <w:p w14:paraId="5EAEAF6D" w14:textId="77777777" w:rsidR="00056F84" w:rsidRDefault="00056F84" w:rsidP="00056F84">
            <w:pPr>
              <w:jc w:val="center"/>
              <w:rPr>
                <w:rFonts w:ascii="Calibri" w:hAnsi="Calibri"/>
                <w:color w:val="000000"/>
              </w:rPr>
            </w:pPr>
            <w:r>
              <w:rPr>
                <w:rFonts w:ascii="Calibri" w:hAnsi="Calibri"/>
                <w:color w:val="000000"/>
              </w:rPr>
              <w:t>6</w:t>
            </w:r>
          </w:p>
        </w:tc>
      </w:tr>
      <w:tr w:rsidR="00056F84" w14:paraId="52B92A3B"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26549" w14:textId="77777777" w:rsidR="00056F84" w:rsidRDefault="00056F84" w:rsidP="00056F84">
            <w:pPr>
              <w:rPr>
                <w:rFonts w:ascii="Calibri" w:hAnsi="Calibri"/>
                <w:color w:val="000000"/>
              </w:rPr>
            </w:pPr>
            <w:r>
              <w:rPr>
                <w:rFonts w:ascii="Calibri" w:hAnsi="Calibri"/>
                <w:color w:val="000000"/>
              </w:rPr>
              <w:t>Hospital de Santa Marta (Lisboa)</w:t>
            </w:r>
          </w:p>
        </w:tc>
        <w:tc>
          <w:tcPr>
            <w:tcW w:w="3402" w:type="dxa"/>
            <w:tcBorders>
              <w:top w:val="single" w:sz="4" w:space="0" w:color="auto"/>
              <w:left w:val="single" w:sz="4" w:space="0" w:color="auto"/>
              <w:bottom w:val="single" w:sz="4" w:space="0" w:color="auto"/>
              <w:right w:val="single" w:sz="4" w:space="0" w:color="auto"/>
            </w:tcBorders>
          </w:tcPr>
          <w:p w14:paraId="1B94772A" w14:textId="77777777" w:rsidR="00056F84" w:rsidRDefault="00056F84" w:rsidP="00056F84">
            <w:pPr>
              <w:rPr>
                <w:rFonts w:ascii="Calibri" w:hAnsi="Calibri"/>
                <w:color w:val="000000"/>
              </w:rPr>
            </w:pPr>
            <w:r>
              <w:rPr>
                <w:rFonts w:ascii="Calibri" w:hAnsi="Calibri"/>
                <w:color w:val="000000"/>
              </w:rPr>
              <w:t>Manuel Nogueira / Mário Oliveira</w:t>
            </w:r>
          </w:p>
        </w:tc>
        <w:tc>
          <w:tcPr>
            <w:tcW w:w="1559" w:type="dxa"/>
            <w:tcBorders>
              <w:top w:val="single" w:sz="4" w:space="0" w:color="auto"/>
              <w:left w:val="single" w:sz="4" w:space="0" w:color="auto"/>
              <w:bottom w:val="single" w:sz="4" w:space="0" w:color="auto"/>
              <w:right w:val="single" w:sz="4" w:space="0" w:color="auto"/>
            </w:tcBorders>
          </w:tcPr>
          <w:p w14:paraId="29AC5156" w14:textId="77777777" w:rsidR="00056F84" w:rsidRDefault="00056F84" w:rsidP="00056F84">
            <w:pPr>
              <w:jc w:val="center"/>
              <w:rPr>
                <w:rFonts w:ascii="Calibri" w:hAnsi="Calibri"/>
                <w:color w:val="000000"/>
              </w:rPr>
            </w:pPr>
            <w:r>
              <w:rPr>
                <w:rFonts w:ascii="Calibri" w:hAnsi="Calibri"/>
                <w:color w:val="000000"/>
              </w:rPr>
              <w:t>56</w:t>
            </w:r>
          </w:p>
        </w:tc>
      </w:tr>
      <w:tr w:rsidR="00056F84" w14:paraId="7BCFCB94"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5F90B" w14:textId="77777777" w:rsidR="00056F84" w:rsidRDefault="00056F84" w:rsidP="00056F84">
            <w:pPr>
              <w:rPr>
                <w:rFonts w:ascii="Calibri" w:hAnsi="Calibri"/>
                <w:color w:val="000000"/>
              </w:rPr>
            </w:pPr>
            <w:r>
              <w:rPr>
                <w:rFonts w:ascii="Calibri" w:hAnsi="Calibri"/>
                <w:color w:val="000000"/>
              </w:rPr>
              <w:t>Hospital de Santo António (Porto)</w:t>
            </w:r>
          </w:p>
        </w:tc>
        <w:tc>
          <w:tcPr>
            <w:tcW w:w="3402" w:type="dxa"/>
            <w:tcBorders>
              <w:top w:val="single" w:sz="4" w:space="0" w:color="auto"/>
              <w:left w:val="single" w:sz="4" w:space="0" w:color="auto"/>
              <w:bottom w:val="single" w:sz="4" w:space="0" w:color="auto"/>
              <w:right w:val="single" w:sz="4" w:space="0" w:color="auto"/>
            </w:tcBorders>
          </w:tcPr>
          <w:p w14:paraId="287FEC25" w14:textId="77777777" w:rsidR="00056F84" w:rsidRDefault="00056F84" w:rsidP="00056F84">
            <w:pPr>
              <w:rPr>
                <w:rFonts w:ascii="Calibri" w:hAnsi="Calibri"/>
                <w:color w:val="000000"/>
              </w:rPr>
            </w:pPr>
            <w:r>
              <w:rPr>
                <w:rFonts w:ascii="Calibri" w:hAnsi="Calibri"/>
                <w:color w:val="000000"/>
              </w:rPr>
              <w:t>Hipólito Reis</w:t>
            </w:r>
          </w:p>
        </w:tc>
        <w:tc>
          <w:tcPr>
            <w:tcW w:w="1559" w:type="dxa"/>
            <w:tcBorders>
              <w:top w:val="single" w:sz="4" w:space="0" w:color="auto"/>
              <w:left w:val="single" w:sz="4" w:space="0" w:color="auto"/>
              <w:bottom w:val="single" w:sz="4" w:space="0" w:color="auto"/>
              <w:right w:val="single" w:sz="4" w:space="0" w:color="auto"/>
            </w:tcBorders>
          </w:tcPr>
          <w:p w14:paraId="4E93166A" w14:textId="77777777" w:rsidR="00056F84" w:rsidRDefault="00056F84" w:rsidP="00056F84">
            <w:pPr>
              <w:jc w:val="center"/>
              <w:rPr>
                <w:rFonts w:ascii="Calibri" w:hAnsi="Calibri"/>
                <w:color w:val="000000"/>
              </w:rPr>
            </w:pPr>
            <w:r>
              <w:rPr>
                <w:rFonts w:ascii="Calibri" w:hAnsi="Calibri"/>
                <w:color w:val="000000"/>
              </w:rPr>
              <w:t>3</w:t>
            </w:r>
          </w:p>
        </w:tc>
      </w:tr>
      <w:tr w:rsidR="00056F84" w14:paraId="0D099F1A"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1DC42" w14:textId="77777777" w:rsidR="00056F84" w:rsidRDefault="00056F84" w:rsidP="00056F84">
            <w:pPr>
              <w:rPr>
                <w:rFonts w:ascii="Calibri" w:hAnsi="Calibri"/>
                <w:color w:val="000000"/>
              </w:rPr>
            </w:pPr>
            <w:r>
              <w:rPr>
                <w:rFonts w:ascii="Calibri" w:hAnsi="Calibri"/>
                <w:color w:val="000000"/>
              </w:rPr>
              <w:t>Hospital de São João (Porto)</w:t>
            </w:r>
          </w:p>
        </w:tc>
        <w:tc>
          <w:tcPr>
            <w:tcW w:w="3402" w:type="dxa"/>
            <w:tcBorders>
              <w:top w:val="single" w:sz="4" w:space="0" w:color="auto"/>
              <w:left w:val="single" w:sz="4" w:space="0" w:color="auto"/>
              <w:bottom w:val="single" w:sz="4" w:space="0" w:color="auto"/>
              <w:right w:val="single" w:sz="4" w:space="0" w:color="auto"/>
            </w:tcBorders>
          </w:tcPr>
          <w:p w14:paraId="412BB49B" w14:textId="77777777" w:rsidR="00056F84" w:rsidRDefault="00056F84" w:rsidP="00056F84">
            <w:pPr>
              <w:rPr>
                <w:rFonts w:ascii="Calibri" w:hAnsi="Calibri"/>
                <w:color w:val="000000"/>
              </w:rPr>
            </w:pPr>
            <w:r>
              <w:rPr>
                <w:rFonts w:ascii="Calibri" w:hAnsi="Calibri"/>
                <w:color w:val="000000"/>
              </w:rPr>
              <w:t xml:space="preserve">Raquel </w:t>
            </w:r>
            <w:proofErr w:type="spellStart"/>
            <w:r>
              <w:rPr>
                <w:rFonts w:ascii="Calibri" w:hAnsi="Calibri"/>
                <w:color w:val="000000"/>
              </w:rPr>
              <w:t>Taboada</w:t>
            </w:r>
            <w:proofErr w:type="spellEnd"/>
          </w:p>
        </w:tc>
        <w:tc>
          <w:tcPr>
            <w:tcW w:w="1559" w:type="dxa"/>
            <w:tcBorders>
              <w:top w:val="single" w:sz="4" w:space="0" w:color="auto"/>
              <w:left w:val="single" w:sz="4" w:space="0" w:color="auto"/>
              <w:bottom w:val="single" w:sz="4" w:space="0" w:color="auto"/>
              <w:right w:val="single" w:sz="4" w:space="0" w:color="auto"/>
            </w:tcBorders>
          </w:tcPr>
          <w:p w14:paraId="44BC760D" w14:textId="77777777" w:rsidR="00056F84" w:rsidRDefault="00056F84" w:rsidP="00056F84">
            <w:pPr>
              <w:jc w:val="center"/>
              <w:rPr>
                <w:rFonts w:ascii="Calibri" w:hAnsi="Calibri"/>
                <w:color w:val="000000"/>
              </w:rPr>
            </w:pPr>
            <w:r>
              <w:rPr>
                <w:rFonts w:ascii="Calibri" w:hAnsi="Calibri"/>
                <w:color w:val="000000"/>
              </w:rPr>
              <w:t>15</w:t>
            </w:r>
          </w:p>
        </w:tc>
      </w:tr>
      <w:tr w:rsidR="00056F84" w14:paraId="4CB7C6CE"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95BC5" w14:textId="77777777" w:rsidR="00056F84" w:rsidRDefault="00056F84" w:rsidP="00056F84">
            <w:pPr>
              <w:rPr>
                <w:rFonts w:ascii="Calibri" w:hAnsi="Calibri"/>
                <w:color w:val="000000"/>
              </w:rPr>
            </w:pPr>
            <w:r>
              <w:rPr>
                <w:rFonts w:ascii="Calibri" w:hAnsi="Calibri"/>
                <w:color w:val="000000"/>
              </w:rPr>
              <w:t>Hospital de São Pedro (V. Real)</w:t>
            </w:r>
          </w:p>
        </w:tc>
        <w:tc>
          <w:tcPr>
            <w:tcW w:w="3402" w:type="dxa"/>
            <w:tcBorders>
              <w:top w:val="single" w:sz="4" w:space="0" w:color="auto"/>
              <w:left w:val="single" w:sz="4" w:space="0" w:color="auto"/>
              <w:bottom w:val="single" w:sz="4" w:space="0" w:color="auto"/>
              <w:right w:val="single" w:sz="4" w:space="0" w:color="auto"/>
            </w:tcBorders>
          </w:tcPr>
          <w:p w14:paraId="5EB27EAA" w14:textId="77777777" w:rsidR="00056F84" w:rsidRDefault="00056F84" w:rsidP="00056F84">
            <w:pPr>
              <w:rPr>
                <w:rFonts w:ascii="Calibri" w:hAnsi="Calibri"/>
                <w:color w:val="000000"/>
              </w:rPr>
            </w:pPr>
            <w:r>
              <w:rPr>
                <w:rFonts w:ascii="Calibri" w:hAnsi="Calibri"/>
                <w:color w:val="000000"/>
              </w:rPr>
              <w:t>Paulo Fontes</w:t>
            </w:r>
          </w:p>
        </w:tc>
        <w:tc>
          <w:tcPr>
            <w:tcW w:w="1559" w:type="dxa"/>
            <w:tcBorders>
              <w:top w:val="single" w:sz="4" w:space="0" w:color="auto"/>
              <w:left w:val="single" w:sz="4" w:space="0" w:color="auto"/>
              <w:bottom w:val="single" w:sz="4" w:space="0" w:color="auto"/>
              <w:right w:val="single" w:sz="4" w:space="0" w:color="auto"/>
            </w:tcBorders>
          </w:tcPr>
          <w:p w14:paraId="00B22165" w14:textId="77777777" w:rsidR="00056F84" w:rsidRDefault="00056F84" w:rsidP="00056F84">
            <w:pPr>
              <w:jc w:val="center"/>
              <w:rPr>
                <w:rFonts w:ascii="Calibri" w:hAnsi="Calibri"/>
                <w:color w:val="000000"/>
              </w:rPr>
            </w:pPr>
            <w:r>
              <w:rPr>
                <w:rFonts w:ascii="Calibri" w:hAnsi="Calibri"/>
                <w:color w:val="000000"/>
              </w:rPr>
              <w:t>8</w:t>
            </w:r>
          </w:p>
        </w:tc>
      </w:tr>
      <w:tr w:rsidR="00056F84" w14:paraId="5DA87B30"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29FA2" w14:textId="77777777" w:rsidR="00056F84" w:rsidRDefault="00056F84" w:rsidP="00056F84">
            <w:pPr>
              <w:rPr>
                <w:rFonts w:ascii="Calibri" w:hAnsi="Calibri"/>
                <w:color w:val="000000"/>
              </w:rPr>
            </w:pPr>
            <w:r>
              <w:rPr>
                <w:rFonts w:ascii="Calibri" w:hAnsi="Calibri"/>
                <w:color w:val="000000"/>
              </w:rPr>
              <w:t>Hospital de São Teotónio (Viseu)</w:t>
            </w:r>
          </w:p>
        </w:tc>
        <w:tc>
          <w:tcPr>
            <w:tcW w:w="3402" w:type="dxa"/>
            <w:tcBorders>
              <w:top w:val="single" w:sz="4" w:space="0" w:color="auto"/>
              <w:left w:val="single" w:sz="4" w:space="0" w:color="auto"/>
              <w:bottom w:val="single" w:sz="4" w:space="0" w:color="auto"/>
              <w:right w:val="single" w:sz="4" w:space="0" w:color="auto"/>
            </w:tcBorders>
          </w:tcPr>
          <w:p w14:paraId="19C2E425" w14:textId="77777777" w:rsidR="00056F84" w:rsidRDefault="00056F84" w:rsidP="00056F84">
            <w:pPr>
              <w:rPr>
                <w:rFonts w:ascii="Calibri" w:hAnsi="Calibri"/>
                <w:color w:val="000000"/>
              </w:rPr>
            </w:pPr>
            <w:r>
              <w:rPr>
                <w:rFonts w:ascii="Calibri" w:hAnsi="Calibri"/>
                <w:color w:val="000000"/>
              </w:rPr>
              <w:t>António Costa</w:t>
            </w:r>
          </w:p>
        </w:tc>
        <w:tc>
          <w:tcPr>
            <w:tcW w:w="1559" w:type="dxa"/>
            <w:tcBorders>
              <w:top w:val="single" w:sz="4" w:space="0" w:color="auto"/>
              <w:left w:val="single" w:sz="4" w:space="0" w:color="auto"/>
              <w:bottom w:val="single" w:sz="4" w:space="0" w:color="auto"/>
              <w:right w:val="single" w:sz="4" w:space="0" w:color="auto"/>
            </w:tcBorders>
          </w:tcPr>
          <w:p w14:paraId="64B70E32" w14:textId="77777777" w:rsidR="00056F84" w:rsidRDefault="00056F84" w:rsidP="00056F84">
            <w:pPr>
              <w:jc w:val="center"/>
              <w:rPr>
                <w:rFonts w:ascii="Calibri" w:hAnsi="Calibri"/>
                <w:color w:val="000000"/>
              </w:rPr>
            </w:pPr>
            <w:r>
              <w:rPr>
                <w:rFonts w:ascii="Calibri" w:hAnsi="Calibri"/>
                <w:color w:val="000000"/>
              </w:rPr>
              <w:t>21</w:t>
            </w:r>
          </w:p>
        </w:tc>
      </w:tr>
      <w:tr w:rsidR="00056F84" w14:paraId="424C9575"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AD747" w14:textId="77777777" w:rsidR="00056F84" w:rsidRDefault="00056F84" w:rsidP="00056F84">
            <w:pPr>
              <w:rPr>
                <w:rFonts w:ascii="Calibri" w:hAnsi="Calibri"/>
                <w:color w:val="000000"/>
              </w:rPr>
            </w:pPr>
            <w:r>
              <w:rPr>
                <w:rFonts w:ascii="Calibri" w:hAnsi="Calibri"/>
                <w:color w:val="000000"/>
              </w:rPr>
              <w:t>Hospital Distrital de Santarém</w:t>
            </w:r>
          </w:p>
        </w:tc>
        <w:tc>
          <w:tcPr>
            <w:tcW w:w="3402" w:type="dxa"/>
            <w:tcBorders>
              <w:top w:val="single" w:sz="4" w:space="0" w:color="auto"/>
              <w:left w:val="single" w:sz="4" w:space="0" w:color="auto"/>
              <w:bottom w:val="single" w:sz="4" w:space="0" w:color="auto"/>
              <w:right w:val="single" w:sz="4" w:space="0" w:color="auto"/>
            </w:tcBorders>
          </w:tcPr>
          <w:p w14:paraId="2071756B" w14:textId="77777777" w:rsidR="00056F84" w:rsidRDefault="00056F84" w:rsidP="00056F84">
            <w:pPr>
              <w:rPr>
                <w:rFonts w:ascii="Calibri" w:hAnsi="Calibri"/>
                <w:color w:val="000000"/>
              </w:rPr>
            </w:pPr>
            <w:r>
              <w:rPr>
                <w:rFonts w:ascii="Calibri" w:hAnsi="Calibri"/>
                <w:color w:val="000000"/>
              </w:rPr>
              <w:t>Vítor Martins</w:t>
            </w:r>
          </w:p>
        </w:tc>
        <w:tc>
          <w:tcPr>
            <w:tcW w:w="1559" w:type="dxa"/>
            <w:tcBorders>
              <w:top w:val="single" w:sz="4" w:space="0" w:color="auto"/>
              <w:left w:val="single" w:sz="4" w:space="0" w:color="auto"/>
              <w:bottom w:val="single" w:sz="4" w:space="0" w:color="auto"/>
              <w:right w:val="single" w:sz="4" w:space="0" w:color="auto"/>
            </w:tcBorders>
          </w:tcPr>
          <w:p w14:paraId="3BB24D4F" w14:textId="77777777" w:rsidR="00056F84" w:rsidRDefault="00056F84" w:rsidP="00056F84">
            <w:pPr>
              <w:jc w:val="center"/>
              <w:rPr>
                <w:rFonts w:ascii="Calibri" w:hAnsi="Calibri"/>
                <w:color w:val="000000"/>
              </w:rPr>
            </w:pPr>
            <w:r>
              <w:rPr>
                <w:rFonts w:ascii="Calibri" w:hAnsi="Calibri"/>
                <w:color w:val="000000"/>
              </w:rPr>
              <w:t>2</w:t>
            </w:r>
          </w:p>
        </w:tc>
      </w:tr>
      <w:tr w:rsidR="00056F84" w14:paraId="0EFFC779"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E8778" w14:textId="77777777" w:rsidR="00056F84" w:rsidRDefault="00056F84" w:rsidP="00056F84">
            <w:pPr>
              <w:rPr>
                <w:rFonts w:ascii="Calibri" w:hAnsi="Calibri"/>
                <w:color w:val="000000"/>
              </w:rPr>
            </w:pPr>
            <w:r>
              <w:rPr>
                <w:rFonts w:ascii="Calibri" w:hAnsi="Calibri"/>
                <w:color w:val="000000"/>
              </w:rPr>
              <w:t>Hospital do Divino Espírito Santo (Ponta Delgada)</w:t>
            </w:r>
          </w:p>
        </w:tc>
        <w:tc>
          <w:tcPr>
            <w:tcW w:w="3402" w:type="dxa"/>
            <w:tcBorders>
              <w:top w:val="single" w:sz="4" w:space="0" w:color="auto"/>
              <w:left w:val="single" w:sz="4" w:space="0" w:color="auto"/>
              <w:bottom w:val="single" w:sz="4" w:space="0" w:color="auto"/>
              <w:right w:val="single" w:sz="4" w:space="0" w:color="auto"/>
            </w:tcBorders>
          </w:tcPr>
          <w:p w14:paraId="3B6FB187" w14:textId="77777777" w:rsidR="00056F84" w:rsidRDefault="00056F84" w:rsidP="00056F84">
            <w:pPr>
              <w:rPr>
                <w:rFonts w:ascii="Calibri" w:hAnsi="Calibri"/>
                <w:color w:val="000000"/>
              </w:rPr>
            </w:pPr>
            <w:r>
              <w:rPr>
                <w:rFonts w:ascii="Calibri" w:hAnsi="Calibri"/>
                <w:color w:val="000000"/>
              </w:rPr>
              <w:t>Dinis Martins</w:t>
            </w:r>
          </w:p>
        </w:tc>
        <w:tc>
          <w:tcPr>
            <w:tcW w:w="1559" w:type="dxa"/>
            <w:tcBorders>
              <w:top w:val="single" w:sz="4" w:space="0" w:color="auto"/>
              <w:left w:val="single" w:sz="4" w:space="0" w:color="auto"/>
              <w:bottom w:val="single" w:sz="4" w:space="0" w:color="auto"/>
              <w:right w:val="single" w:sz="4" w:space="0" w:color="auto"/>
            </w:tcBorders>
          </w:tcPr>
          <w:p w14:paraId="46FA64F4" w14:textId="77777777" w:rsidR="00056F84" w:rsidRDefault="00056F84" w:rsidP="00056F84">
            <w:pPr>
              <w:jc w:val="center"/>
              <w:rPr>
                <w:rFonts w:ascii="Calibri" w:hAnsi="Calibri"/>
                <w:color w:val="000000"/>
              </w:rPr>
            </w:pPr>
            <w:r>
              <w:rPr>
                <w:rFonts w:ascii="Calibri" w:hAnsi="Calibri"/>
                <w:color w:val="000000"/>
              </w:rPr>
              <w:t>46</w:t>
            </w:r>
          </w:p>
        </w:tc>
      </w:tr>
      <w:tr w:rsidR="00056F84" w14:paraId="75074264"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436D7" w14:textId="77777777" w:rsidR="00056F84" w:rsidRDefault="00056F84" w:rsidP="00056F84">
            <w:pPr>
              <w:rPr>
                <w:rFonts w:ascii="Calibri" w:hAnsi="Calibri"/>
                <w:color w:val="000000"/>
              </w:rPr>
            </w:pPr>
            <w:r>
              <w:rPr>
                <w:rFonts w:ascii="Calibri" w:hAnsi="Calibri"/>
                <w:color w:val="000000"/>
              </w:rPr>
              <w:t>Hospital Fernando da Fonseca (Amadora-Sintra)</w:t>
            </w:r>
          </w:p>
        </w:tc>
        <w:tc>
          <w:tcPr>
            <w:tcW w:w="3402" w:type="dxa"/>
            <w:tcBorders>
              <w:top w:val="single" w:sz="4" w:space="0" w:color="auto"/>
              <w:left w:val="single" w:sz="4" w:space="0" w:color="auto"/>
              <w:bottom w:val="single" w:sz="4" w:space="0" w:color="auto"/>
              <w:right w:val="single" w:sz="4" w:space="0" w:color="auto"/>
            </w:tcBorders>
          </w:tcPr>
          <w:p w14:paraId="22088D54" w14:textId="77777777" w:rsidR="00056F84" w:rsidRDefault="00056F84" w:rsidP="00056F84">
            <w:pPr>
              <w:rPr>
                <w:rFonts w:ascii="Calibri" w:hAnsi="Calibri"/>
                <w:color w:val="000000"/>
              </w:rPr>
            </w:pPr>
            <w:r>
              <w:rPr>
                <w:rFonts w:ascii="Calibri" w:hAnsi="Calibri"/>
                <w:color w:val="000000"/>
              </w:rPr>
              <w:t>Francisco Madeira</w:t>
            </w:r>
          </w:p>
        </w:tc>
        <w:tc>
          <w:tcPr>
            <w:tcW w:w="1559" w:type="dxa"/>
            <w:tcBorders>
              <w:top w:val="single" w:sz="4" w:space="0" w:color="auto"/>
              <w:left w:val="single" w:sz="4" w:space="0" w:color="auto"/>
              <w:bottom w:val="single" w:sz="4" w:space="0" w:color="auto"/>
              <w:right w:val="single" w:sz="4" w:space="0" w:color="auto"/>
            </w:tcBorders>
          </w:tcPr>
          <w:p w14:paraId="3D22A456" w14:textId="77777777" w:rsidR="00056F84" w:rsidRDefault="00056F84" w:rsidP="00056F84">
            <w:pPr>
              <w:jc w:val="center"/>
              <w:rPr>
                <w:rFonts w:ascii="Calibri" w:hAnsi="Calibri"/>
                <w:color w:val="000000"/>
              </w:rPr>
            </w:pPr>
            <w:r>
              <w:rPr>
                <w:rFonts w:ascii="Calibri" w:hAnsi="Calibri"/>
                <w:color w:val="000000"/>
              </w:rPr>
              <w:t>25</w:t>
            </w:r>
          </w:p>
        </w:tc>
      </w:tr>
      <w:tr w:rsidR="00056F84" w14:paraId="0B74E34E" w14:textId="77777777" w:rsidTr="00056F84">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AFDA6" w14:textId="58B6DB7A" w:rsidR="00056F84" w:rsidRDefault="00C81725" w:rsidP="00056F84">
            <w:pPr>
              <w:rPr>
                <w:rFonts w:ascii="Calibri" w:hAnsi="Calibri"/>
                <w:color w:val="000000"/>
              </w:rPr>
            </w:pPr>
            <w:r>
              <w:rPr>
                <w:rFonts w:ascii="Calibri" w:hAnsi="Calibri"/>
                <w:color w:val="000000"/>
              </w:rPr>
              <w:t>Hospital Garcia de O</w:t>
            </w:r>
            <w:r w:rsidR="00056F84">
              <w:rPr>
                <w:rFonts w:ascii="Calibri" w:hAnsi="Calibri"/>
                <w:color w:val="000000"/>
              </w:rPr>
              <w:t>rta (Almada)</w:t>
            </w:r>
          </w:p>
        </w:tc>
        <w:tc>
          <w:tcPr>
            <w:tcW w:w="3402" w:type="dxa"/>
            <w:tcBorders>
              <w:top w:val="single" w:sz="4" w:space="0" w:color="auto"/>
              <w:left w:val="single" w:sz="4" w:space="0" w:color="auto"/>
              <w:bottom w:val="single" w:sz="4" w:space="0" w:color="auto"/>
              <w:right w:val="single" w:sz="4" w:space="0" w:color="auto"/>
            </w:tcBorders>
          </w:tcPr>
          <w:p w14:paraId="1931A4F2" w14:textId="77777777" w:rsidR="00056F84" w:rsidRDefault="00056F84" w:rsidP="00056F84">
            <w:pPr>
              <w:rPr>
                <w:rFonts w:ascii="Calibri" w:hAnsi="Calibri"/>
                <w:color w:val="000000"/>
              </w:rPr>
            </w:pPr>
            <w:r>
              <w:rPr>
                <w:rFonts w:ascii="Calibri" w:hAnsi="Calibri"/>
                <w:color w:val="000000"/>
              </w:rPr>
              <w:t>Luís Brandão</w:t>
            </w:r>
          </w:p>
        </w:tc>
        <w:tc>
          <w:tcPr>
            <w:tcW w:w="1559" w:type="dxa"/>
            <w:tcBorders>
              <w:top w:val="single" w:sz="4" w:space="0" w:color="auto"/>
              <w:left w:val="single" w:sz="4" w:space="0" w:color="auto"/>
              <w:bottom w:val="single" w:sz="4" w:space="0" w:color="auto"/>
              <w:right w:val="single" w:sz="4" w:space="0" w:color="auto"/>
            </w:tcBorders>
          </w:tcPr>
          <w:p w14:paraId="20919103" w14:textId="77777777" w:rsidR="00056F84" w:rsidRDefault="00056F84" w:rsidP="00056F84">
            <w:pPr>
              <w:jc w:val="center"/>
              <w:rPr>
                <w:rFonts w:ascii="Calibri" w:hAnsi="Calibri"/>
                <w:color w:val="000000"/>
              </w:rPr>
            </w:pPr>
            <w:r>
              <w:rPr>
                <w:rFonts w:ascii="Calibri" w:hAnsi="Calibri"/>
                <w:color w:val="000000"/>
              </w:rPr>
              <w:t>9</w:t>
            </w:r>
          </w:p>
        </w:tc>
      </w:tr>
    </w:tbl>
    <w:p w14:paraId="4DA3AC29" w14:textId="3D9EB2B5" w:rsidR="003F7010" w:rsidRDefault="003F7010" w:rsidP="005C046F">
      <w:pPr>
        <w:spacing w:after="200" w:line="276" w:lineRule="auto"/>
      </w:pPr>
    </w:p>
    <w:tbl>
      <w:tblPr>
        <w:tblW w:w="3641" w:type="pct"/>
        <w:tblInd w:w="1049" w:type="dxa"/>
        <w:tblCellMar>
          <w:left w:w="0" w:type="dxa"/>
          <w:right w:w="0" w:type="dxa"/>
        </w:tblCellMar>
        <w:tblLook w:val="04A0" w:firstRow="1" w:lastRow="0" w:firstColumn="1" w:lastColumn="0" w:noHBand="0" w:noVBand="1"/>
      </w:tblPr>
      <w:tblGrid>
        <w:gridCol w:w="4478"/>
        <w:gridCol w:w="2128"/>
      </w:tblGrid>
      <w:tr w:rsidR="00F43DD7" w:rsidRPr="00B4379A" w14:paraId="5C767C01" w14:textId="77777777" w:rsidTr="009B2CB3">
        <w:trPr>
          <w:trHeight w:val="340"/>
        </w:trPr>
        <w:tc>
          <w:tcPr>
            <w:tcW w:w="3389" w:type="pct"/>
            <w:tcBorders>
              <w:top w:val="nil"/>
              <w:left w:val="nil"/>
              <w:bottom w:val="nil"/>
              <w:right w:val="nil"/>
            </w:tcBorders>
            <w:shd w:val="clear" w:color="auto" w:fill="FFFFFF" w:themeFill="background1"/>
            <w:tcMar>
              <w:top w:w="15" w:type="dxa"/>
              <w:left w:w="108" w:type="dxa"/>
              <w:bottom w:w="0" w:type="dxa"/>
              <w:right w:w="108" w:type="dxa"/>
            </w:tcMar>
          </w:tcPr>
          <w:p w14:paraId="5CAB4830" w14:textId="3D94B8CE" w:rsidR="00F43DD7" w:rsidRDefault="0053043C" w:rsidP="00406376">
            <w:pPr>
              <w:spacing w:after="200" w:line="276" w:lineRule="auto"/>
              <w:rPr>
                <w:rFonts w:ascii="Calibri" w:eastAsia="Calibri" w:hAnsi="Calibri"/>
                <w:b/>
                <w:bCs/>
                <w:color w:val="000000" w:themeColor="text1"/>
                <w:kern w:val="24"/>
                <w:sz w:val="20"/>
              </w:rPr>
            </w:pPr>
            <w:r>
              <w:br w:type="page"/>
            </w:r>
          </w:p>
        </w:tc>
        <w:tc>
          <w:tcPr>
            <w:tcW w:w="1611" w:type="pct"/>
            <w:tcBorders>
              <w:top w:val="nil"/>
              <w:left w:val="nil"/>
              <w:bottom w:val="nil"/>
              <w:right w:val="nil"/>
            </w:tcBorders>
            <w:shd w:val="clear" w:color="auto" w:fill="FFFFFF" w:themeFill="background1"/>
            <w:tcMar>
              <w:top w:w="15" w:type="dxa"/>
              <w:left w:w="108" w:type="dxa"/>
              <w:bottom w:w="0" w:type="dxa"/>
              <w:right w:w="108" w:type="dxa"/>
            </w:tcMar>
          </w:tcPr>
          <w:p w14:paraId="31FD4616" w14:textId="77777777" w:rsidR="00F43DD7" w:rsidRPr="009B5BC2" w:rsidRDefault="00F43DD7" w:rsidP="009B2CB3">
            <w:pPr>
              <w:pStyle w:val="NormalWeb"/>
              <w:spacing w:before="0" w:beforeAutospacing="0" w:after="0" w:afterAutospacing="0" w:line="360" w:lineRule="auto"/>
              <w:jc w:val="center"/>
              <w:rPr>
                <w:rFonts w:ascii="Arial" w:hAnsi="Arial" w:cs="Arial"/>
                <w:sz w:val="20"/>
                <w:szCs w:val="36"/>
              </w:rPr>
            </w:pPr>
          </w:p>
        </w:tc>
      </w:tr>
    </w:tbl>
    <w:p w14:paraId="48800D2D" w14:textId="77777777" w:rsidR="0053043C" w:rsidRPr="003B3357" w:rsidRDefault="0053043C" w:rsidP="0053043C">
      <w:pPr>
        <w:jc w:val="center"/>
        <w:rPr>
          <w:i/>
        </w:rPr>
      </w:pPr>
    </w:p>
    <w:p w14:paraId="6F0F22B7" w14:textId="77777777" w:rsidR="0053043C" w:rsidRDefault="0053043C" w:rsidP="0053043C">
      <w:pPr>
        <w:rPr>
          <w:i/>
        </w:rPr>
      </w:pPr>
    </w:p>
    <w:p w14:paraId="32B3BB4B" w14:textId="77777777" w:rsidR="0053043C" w:rsidRDefault="0053043C" w:rsidP="0053043C">
      <w:pPr>
        <w:rPr>
          <w:i/>
        </w:rPr>
      </w:pPr>
    </w:p>
    <w:p w14:paraId="34250CFB" w14:textId="77777777" w:rsidR="0053043C" w:rsidRDefault="0053043C" w:rsidP="0053043C">
      <w:pPr>
        <w:rPr>
          <w:i/>
        </w:rPr>
      </w:pPr>
    </w:p>
    <w:p w14:paraId="0C6FBFC5" w14:textId="77777777" w:rsidR="0053043C" w:rsidRDefault="0053043C" w:rsidP="0053043C">
      <w:pPr>
        <w:rPr>
          <w:i/>
        </w:rPr>
      </w:pPr>
      <w:bookmarkStart w:id="0" w:name="_GoBack"/>
      <w:bookmarkEnd w:id="0"/>
    </w:p>
    <w:p w14:paraId="11CECAC5" w14:textId="77777777" w:rsidR="0053043C" w:rsidRDefault="0053043C" w:rsidP="0053043C">
      <w:pPr>
        <w:rPr>
          <w:i/>
        </w:rPr>
      </w:pPr>
    </w:p>
    <w:sectPr w:rsidR="0053043C" w:rsidSect="00CA2C72">
      <w:pgSz w:w="11906" w:h="16838"/>
      <w:pgMar w:top="1417" w:right="170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130E"/>
    <w:multiLevelType w:val="hybridMultilevel"/>
    <w:tmpl w:val="72E895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A8446EB"/>
    <w:multiLevelType w:val="hybridMultilevel"/>
    <w:tmpl w:val="E3DAE7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C72"/>
    <w:rsid w:val="00056F84"/>
    <w:rsid w:val="00093C80"/>
    <w:rsid w:val="000A7F1A"/>
    <w:rsid w:val="000D48E6"/>
    <w:rsid w:val="00113082"/>
    <w:rsid w:val="001E3AAD"/>
    <w:rsid w:val="00207ED1"/>
    <w:rsid w:val="00214A90"/>
    <w:rsid w:val="003F7010"/>
    <w:rsid w:val="00406376"/>
    <w:rsid w:val="00457E60"/>
    <w:rsid w:val="0053043C"/>
    <w:rsid w:val="005467CC"/>
    <w:rsid w:val="00561DCB"/>
    <w:rsid w:val="0057753F"/>
    <w:rsid w:val="005C046F"/>
    <w:rsid w:val="005C71EB"/>
    <w:rsid w:val="005F73DA"/>
    <w:rsid w:val="00656A82"/>
    <w:rsid w:val="006B5B93"/>
    <w:rsid w:val="0073405D"/>
    <w:rsid w:val="00807000"/>
    <w:rsid w:val="00842761"/>
    <w:rsid w:val="008F4BBA"/>
    <w:rsid w:val="009718A9"/>
    <w:rsid w:val="009B2CB3"/>
    <w:rsid w:val="00AC3D4E"/>
    <w:rsid w:val="00B01B67"/>
    <w:rsid w:val="00B960EB"/>
    <w:rsid w:val="00C76C82"/>
    <w:rsid w:val="00C81725"/>
    <w:rsid w:val="00CA2C72"/>
    <w:rsid w:val="00D0152D"/>
    <w:rsid w:val="00D02153"/>
    <w:rsid w:val="00D41B75"/>
    <w:rsid w:val="00D97DDB"/>
    <w:rsid w:val="00E469A4"/>
    <w:rsid w:val="00EA2C91"/>
    <w:rsid w:val="00EA5A1C"/>
    <w:rsid w:val="00EE5F5D"/>
    <w:rsid w:val="00F43DD7"/>
    <w:rsid w:val="00FA5E8F"/>
    <w:rsid w:val="00FB627F"/>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7904F"/>
  <w15:docId w15:val="{4E7C5786-0FD0-4CD8-B1BC-87756878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C72"/>
    <w:pPr>
      <w:spacing w:after="160" w:line="259"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7010"/>
    <w:pPr>
      <w:ind w:left="720"/>
      <w:contextualSpacing/>
    </w:pPr>
  </w:style>
  <w:style w:type="table" w:styleId="TabelacomGrelha">
    <w:name w:val="Table Grid"/>
    <w:basedOn w:val="Tabelanormal"/>
    <w:uiPriority w:val="59"/>
    <w:rsid w:val="005C7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043C"/>
    <w:pPr>
      <w:spacing w:before="100" w:beforeAutospacing="1" w:after="100" w:afterAutospacing="1" w:line="240" w:lineRule="auto"/>
    </w:pPr>
    <w:rPr>
      <w:rFonts w:ascii="Times New Roman" w:eastAsiaTheme="minorEastAsia" w:hAnsi="Times New Roman" w:cs="Times New Roman"/>
      <w:sz w:val="24"/>
      <w:szCs w:val="24"/>
      <w:lang w:eastAsia="pt-PT"/>
    </w:rPr>
  </w:style>
  <w:style w:type="paragraph" w:styleId="Bibliografia">
    <w:name w:val="Bibliography"/>
    <w:basedOn w:val="Normal"/>
    <w:next w:val="Normal"/>
    <w:uiPriority w:val="37"/>
    <w:semiHidden/>
    <w:unhideWhenUsed/>
    <w:rsid w:val="00B01B67"/>
  </w:style>
  <w:style w:type="paragraph" w:styleId="Textodebalo">
    <w:name w:val="Balloon Text"/>
    <w:basedOn w:val="Normal"/>
    <w:link w:val="TextodebaloCarter"/>
    <w:uiPriority w:val="99"/>
    <w:semiHidden/>
    <w:unhideWhenUsed/>
    <w:rsid w:val="00D0152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015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8741">
      <w:bodyDiv w:val="1"/>
      <w:marLeft w:val="0"/>
      <w:marRight w:val="0"/>
      <w:marTop w:val="0"/>
      <w:marBottom w:val="0"/>
      <w:divBdr>
        <w:top w:val="none" w:sz="0" w:space="0" w:color="auto"/>
        <w:left w:val="none" w:sz="0" w:space="0" w:color="auto"/>
        <w:bottom w:val="none" w:sz="0" w:space="0" w:color="auto"/>
        <w:right w:val="none" w:sz="0" w:space="0" w:color="auto"/>
      </w:divBdr>
    </w:div>
    <w:div w:id="722102378">
      <w:bodyDiv w:val="1"/>
      <w:marLeft w:val="0"/>
      <w:marRight w:val="0"/>
      <w:marTop w:val="0"/>
      <w:marBottom w:val="0"/>
      <w:divBdr>
        <w:top w:val="none" w:sz="0" w:space="0" w:color="auto"/>
        <w:left w:val="none" w:sz="0" w:space="0" w:color="auto"/>
        <w:bottom w:val="none" w:sz="0" w:space="0" w:color="auto"/>
        <w:right w:val="none" w:sz="0" w:space="0" w:color="auto"/>
      </w:divBdr>
    </w:div>
    <w:div w:id="933513556">
      <w:bodyDiv w:val="1"/>
      <w:marLeft w:val="0"/>
      <w:marRight w:val="0"/>
      <w:marTop w:val="0"/>
      <w:marBottom w:val="0"/>
      <w:divBdr>
        <w:top w:val="none" w:sz="0" w:space="0" w:color="auto"/>
        <w:left w:val="none" w:sz="0" w:space="0" w:color="auto"/>
        <w:bottom w:val="none" w:sz="0" w:space="0" w:color="auto"/>
        <w:right w:val="none" w:sz="0" w:space="0" w:color="auto"/>
      </w:divBdr>
    </w:div>
    <w:div w:id="18872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tif"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35</TotalTime>
  <Pages>6</Pages>
  <Words>1003</Words>
  <Characters>5418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Manager/>
  <HyperlinkBase/>
</Properties>
</file>

<file path=docProps/core.xml><?xml version="1.0" encoding="utf-8"?>
<cp:coreProperties xmlns:cp="http://schemas.openxmlformats.org/package/2006/metadata/core-properties" xmlns:dc="http://purl.org/dc/elements/1.1/" xmlns:dcterms="http://purl.org/dc/terms/" xmlns:xsi="http://www.w3.org/2001/XMLSchema-instance"/>
</file>