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C980" w14:textId="77777777" w:rsidR="00681ACD" w:rsidRPr="00E033BE" w:rsidRDefault="001868EE" w:rsidP="00195F3D">
      <w:pPr>
        <w:pStyle w:val="Ttulo2"/>
        <w:rPr>
          <w:rFonts w:ascii="Times New Roman" w:hAnsi="Times New Roman" w:cs="Times New Roman"/>
          <w:b/>
          <w:color w:val="auto"/>
          <w:sz w:val="24"/>
        </w:rPr>
      </w:pPr>
      <w:bookmarkStart w:id="0" w:name="_Toc487648408"/>
      <w:bookmarkStart w:id="1" w:name="_GoBack"/>
      <w:bookmarkEnd w:id="1"/>
      <w:r>
        <w:rPr>
          <w:rFonts w:ascii="Times New Roman" w:hAnsi="Times New Roman" w:cs="Times New Roman"/>
          <w:b/>
          <w:color w:val="auto"/>
          <w:sz w:val="24"/>
        </w:rPr>
        <w:t xml:space="preserve">Quadro Suplementar S1: </w:t>
      </w:r>
      <w:r w:rsidR="00AC5D5D" w:rsidRPr="00E033BE">
        <w:rPr>
          <w:rFonts w:ascii="Times New Roman" w:hAnsi="Times New Roman" w:cs="Times New Roman"/>
          <w:b/>
          <w:color w:val="auto"/>
          <w:sz w:val="24"/>
        </w:rPr>
        <w:t>Códigos</w:t>
      </w:r>
      <w:r w:rsidR="00681ACD" w:rsidRPr="00E033BE">
        <w:rPr>
          <w:rFonts w:ascii="Times New Roman" w:hAnsi="Times New Roman" w:cs="Times New Roman"/>
          <w:b/>
          <w:color w:val="auto"/>
          <w:sz w:val="24"/>
        </w:rPr>
        <w:t xml:space="preserve"> ICD-9 </w:t>
      </w:r>
      <w:r w:rsidR="00195F3D" w:rsidRPr="00E033BE">
        <w:rPr>
          <w:rFonts w:ascii="Times New Roman" w:hAnsi="Times New Roman" w:cs="Times New Roman"/>
          <w:b/>
          <w:color w:val="auto"/>
          <w:sz w:val="24"/>
        </w:rPr>
        <w:t xml:space="preserve">CM </w:t>
      </w:r>
      <w:r w:rsidR="00681ACD" w:rsidRPr="00E033BE">
        <w:rPr>
          <w:rFonts w:ascii="Times New Roman" w:hAnsi="Times New Roman" w:cs="Times New Roman"/>
          <w:b/>
          <w:color w:val="auto"/>
          <w:sz w:val="24"/>
        </w:rPr>
        <w:t>considerados para a identificação dos episódios de internamento.</w:t>
      </w:r>
      <w:bookmarkEnd w:id="0"/>
    </w:p>
    <w:p w14:paraId="7B6CC981" w14:textId="77777777" w:rsidR="00195F3D" w:rsidRPr="00E033BE" w:rsidRDefault="00195F3D" w:rsidP="00195F3D">
      <w:pPr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58"/>
        <w:tblW w:w="5584" w:type="pct"/>
        <w:tblLook w:val="06A0" w:firstRow="1" w:lastRow="0" w:firstColumn="1" w:lastColumn="0" w:noHBand="1" w:noVBand="1"/>
      </w:tblPr>
      <w:tblGrid>
        <w:gridCol w:w="1597"/>
        <w:gridCol w:w="1093"/>
        <w:gridCol w:w="6796"/>
      </w:tblGrid>
      <w:tr w:rsidR="00681ACD" w:rsidRPr="00E605CD" w14:paraId="7B6CC985" w14:textId="77777777" w:rsidTr="007D3158">
        <w:trPr>
          <w:trHeight w:val="260"/>
        </w:trPr>
        <w:tc>
          <w:tcPr>
            <w:tcW w:w="842" w:type="pct"/>
          </w:tcPr>
          <w:p w14:paraId="7B6CC982" w14:textId="77777777" w:rsidR="00681ACD" w:rsidRPr="00E605CD" w:rsidRDefault="00681ACD" w:rsidP="00D133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576" w:type="pct"/>
          </w:tcPr>
          <w:p w14:paraId="7B6CC983" w14:textId="77777777" w:rsidR="00681ACD" w:rsidRPr="00E605CD" w:rsidRDefault="00681ACD" w:rsidP="00195F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ICD 9 </w:t>
            </w:r>
          </w:p>
        </w:tc>
        <w:tc>
          <w:tcPr>
            <w:tcW w:w="3582" w:type="pct"/>
          </w:tcPr>
          <w:p w14:paraId="7B6CC984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Designação</w:t>
            </w:r>
          </w:p>
        </w:tc>
      </w:tr>
      <w:tr w:rsidR="00681ACD" w:rsidRPr="00E605CD" w14:paraId="7B6CC989" w14:textId="77777777" w:rsidTr="007D3158">
        <w:trPr>
          <w:trHeight w:val="340"/>
        </w:trPr>
        <w:tc>
          <w:tcPr>
            <w:tcW w:w="842" w:type="pct"/>
            <w:vMerge w:val="restart"/>
            <w:vAlign w:val="center"/>
          </w:tcPr>
          <w:p w14:paraId="7B6CC98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Insuficiência cardíaca</w:t>
            </w:r>
          </w:p>
        </w:tc>
        <w:tc>
          <w:tcPr>
            <w:tcW w:w="576" w:type="pct"/>
          </w:tcPr>
          <w:p w14:paraId="7B6CC98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402.01</w:t>
            </w:r>
          </w:p>
        </w:tc>
        <w:tc>
          <w:tcPr>
            <w:tcW w:w="3582" w:type="pct"/>
            <w:vAlign w:val="center"/>
          </w:tcPr>
          <w:p w14:paraId="7B6CC98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cardíaca hipertensiva maligna com IC</w:t>
            </w:r>
          </w:p>
        </w:tc>
      </w:tr>
      <w:tr w:rsidR="00681ACD" w:rsidRPr="00E605CD" w14:paraId="7B6CC98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8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8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402.11</w:t>
            </w:r>
          </w:p>
        </w:tc>
        <w:tc>
          <w:tcPr>
            <w:tcW w:w="3582" w:type="pct"/>
            <w:vAlign w:val="center"/>
          </w:tcPr>
          <w:p w14:paraId="7B6CC98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cardíaca hipertensiva benigna com IC</w:t>
            </w:r>
          </w:p>
        </w:tc>
      </w:tr>
      <w:tr w:rsidR="00681ACD" w:rsidRPr="00E605CD" w14:paraId="7B6CC991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8E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8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402.91</w:t>
            </w:r>
          </w:p>
        </w:tc>
        <w:tc>
          <w:tcPr>
            <w:tcW w:w="3582" w:type="pct"/>
            <w:vAlign w:val="center"/>
          </w:tcPr>
          <w:p w14:paraId="7B6CC99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cardíaca hipertensiva NE, com IC</w:t>
            </w:r>
          </w:p>
        </w:tc>
      </w:tr>
      <w:tr w:rsidR="00681ACD" w:rsidRPr="00E605CD" w14:paraId="7B6CC995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9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9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404.01</w:t>
            </w:r>
          </w:p>
        </w:tc>
        <w:tc>
          <w:tcPr>
            <w:tcW w:w="3582" w:type="pct"/>
            <w:vAlign w:val="center"/>
          </w:tcPr>
          <w:p w14:paraId="7B6CC99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maligna, com IC com DRC estadio I-IV ou NE</w:t>
            </w:r>
          </w:p>
        </w:tc>
      </w:tr>
      <w:tr w:rsidR="00681ACD" w:rsidRPr="00E605CD" w14:paraId="7B6CC999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9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9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404.03</w:t>
            </w:r>
          </w:p>
        </w:tc>
        <w:tc>
          <w:tcPr>
            <w:tcW w:w="3582" w:type="pct"/>
            <w:vAlign w:val="center"/>
          </w:tcPr>
          <w:p w14:paraId="7B6CC99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maligna, com IC, com DRC estadio V ou terminal</w:t>
            </w:r>
          </w:p>
        </w:tc>
      </w:tr>
      <w:tr w:rsidR="00681ACD" w:rsidRPr="00E605CD" w14:paraId="7B6CC99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9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9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404.11</w:t>
            </w:r>
          </w:p>
        </w:tc>
        <w:tc>
          <w:tcPr>
            <w:tcW w:w="3582" w:type="pct"/>
            <w:vAlign w:val="center"/>
          </w:tcPr>
          <w:p w14:paraId="7B6CC99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benigna, com IC com DRC estadio I-IV ou NE</w:t>
            </w:r>
          </w:p>
        </w:tc>
      </w:tr>
      <w:tr w:rsidR="00681ACD" w:rsidRPr="00E605CD" w14:paraId="7B6CC9A1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9E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9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404.13</w:t>
            </w:r>
          </w:p>
        </w:tc>
        <w:tc>
          <w:tcPr>
            <w:tcW w:w="3582" w:type="pct"/>
            <w:vAlign w:val="center"/>
          </w:tcPr>
          <w:p w14:paraId="7B6CC9A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benigna, com IC com DRC estadio V ou terminal</w:t>
            </w:r>
          </w:p>
        </w:tc>
      </w:tr>
      <w:tr w:rsidR="00681ACD" w:rsidRPr="00E605CD" w14:paraId="7B6CC9A5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A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A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404.91</w:t>
            </w:r>
          </w:p>
        </w:tc>
        <w:tc>
          <w:tcPr>
            <w:tcW w:w="3582" w:type="pct"/>
            <w:vAlign w:val="center"/>
          </w:tcPr>
          <w:p w14:paraId="7B6CC9A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NE, com IC, com DRC estadio I-IV ou NE</w:t>
            </w:r>
          </w:p>
        </w:tc>
      </w:tr>
      <w:tr w:rsidR="00681ACD" w:rsidRPr="00E605CD" w14:paraId="7B6CC9A9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A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A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404.93</w:t>
            </w:r>
          </w:p>
        </w:tc>
        <w:tc>
          <w:tcPr>
            <w:tcW w:w="3582" w:type="pct"/>
            <w:vAlign w:val="center"/>
          </w:tcPr>
          <w:p w14:paraId="7B6CC9A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hipertensiva cardio-renal, NE com IC com DRC estadio V ou terminal</w:t>
            </w:r>
          </w:p>
        </w:tc>
      </w:tr>
      <w:tr w:rsidR="00681ACD" w:rsidRPr="00E605CD" w14:paraId="7B6CC9A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A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A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428.XX</w:t>
            </w:r>
          </w:p>
        </w:tc>
        <w:tc>
          <w:tcPr>
            <w:tcW w:w="3582" w:type="pct"/>
            <w:vAlign w:val="center"/>
          </w:tcPr>
          <w:p w14:paraId="7B6CC9A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IC</w:t>
            </w:r>
          </w:p>
        </w:tc>
      </w:tr>
      <w:tr w:rsidR="00681ACD" w:rsidRPr="00E605CD" w14:paraId="7B6CC9B1" w14:textId="77777777" w:rsidTr="007D3158">
        <w:trPr>
          <w:trHeight w:val="340"/>
        </w:trPr>
        <w:tc>
          <w:tcPr>
            <w:tcW w:w="842" w:type="pct"/>
            <w:vAlign w:val="center"/>
          </w:tcPr>
          <w:p w14:paraId="7B6CC9AE" w14:textId="160AFD3C" w:rsidR="00681ACD" w:rsidRPr="00E605CD" w:rsidRDefault="00B16C6A" w:rsidP="00B82DC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Doença do apar</w:t>
            </w:r>
            <w:r w:rsidR="00B82D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elho</w:t>
            </w:r>
            <w:r w:rsidR="00681ACD"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circulatório</w:t>
            </w:r>
          </w:p>
        </w:tc>
        <w:tc>
          <w:tcPr>
            <w:tcW w:w="576" w:type="pct"/>
          </w:tcPr>
          <w:p w14:paraId="7B6CC9A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 a 459</w:t>
            </w:r>
          </w:p>
        </w:tc>
        <w:tc>
          <w:tcPr>
            <w:tcW w:w="3582" w:type="pct"/>
            <w:vAlign w:val="center"/>
          </w:tcPr>
          <w:p w14:paraId="7B6CC9B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Doença do aparelho circulatório</w:t>
            </w:r>
          </w:p>
        </w:tc>
      </w:tr>
      <w:tr w:rsidR="00681ACD" w:rsidRPr="00E605CD" w14:paraId="7B6CC9B5" w14:textId="77777777" w:rsidTr="007D3158">
        <w:trPr>
          <w:trHeight w:val="340"/>
        </w:trPr>
        <w:tc>
          <w:tcPr>
            <w:tcW w:w="842" w:type="pct"/>
            <w:vMerge w:val="restart"/>
            <w:vAlign w:val="center"/>
          </w:tcPr>
          <w:p w14:paraId="7B6CC9B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Procedimentos de substituição cardíaca</w:t>
            </w:r>
          </w:p>
        </w:tc>
        <w:tc>
          <w:tcPr>
            <w:tcW w:w="576" w:type="pct"/>
          </w:tcPr>
          <w:p w14:paraId="7B6CC9B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37.51</w:t>
            </w:r>
          </w:p>
        </w:tc>
        <w:tc>
          <w:tcPr>
            <w:tcW w:w="3582" w:type="pct"/>
            <w:vAlign w:val="center"/>
          </w:tcPr>
          <w:p w14:paraId="7B6CC9B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Transplante cardíaco</w:t>
            </w:r>
          </w:p>
        </w:tc>
      </w:tr>
      <w:tr w:rsidR="00681ACD" w:rsidRPr="00E605CD" w14:paraId="7B6CC9B9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B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B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37.52</w:t>
            </w:r>
          </w:p>
        </w:tc>
        <w:tc>
          <w:tcPr>
            <w:tcW w:w="3582" w:type="pct"/>
            <w:vAlign w:val="center"/>
          </w:tcPr>
          <w:p w14:paraId="7B6CC9B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de sistema de substituição cardíaca biventricular interno total</w:t>
            </w:r>
          </w:p>
        </w:tc>
      </w:tr>
      <w:tr w:rsidR="00681ACD" w:rsidRPr="00E605CD" w14:paraId="7B6CC9B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B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B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37.53</w:t>
            </w:r>
          </w:p>
        </w:tc>
        <w:tc>
          <w:tcPr>
            <w:tcW w:w="3582" w:type="pct"/>
            <w:vAlign w:val="center"/>
          </w:tcPr>
          <w:p w14:paraId="7B6CC9B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Substituição ou reparação da unidade torácica de sistema de substituição cardíaca (total)</w:t>
            </w:r>
          </w:p>
        </w:tc>
      </w:tr>
      <w:tr w:rsidR="00681ACD" w:rsidRPr="00E605CD" w14:paraId="7B6CC9C1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BE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B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37.54</w:t>
            </w:r>
          </w:p>
        </w:tc>
        <w:tc>
          <w:tcPr>
            <w:tcW w:w="3582" w:type="pct"/>
            <w:vAlign w:val="center"/>
          </w:tcPr>
          <w:p w14:paraId="7B6CC9C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Substituição ou reparação de outros componentes de sistema de substituição cardíaca (total)</w:t>
            </w:r>
          </w:p>
        </w:tc>
      </w:tr>
      <w:tr w:rsidR="00681ACD" w:rsidRPr="00E605CD" w14:paraId="7B6CC9C5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C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C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37.55</w:t>
            </w:r>
          </w:p>
        </w:tc>
        <w:tc>
          <w:tcPr>
            <w:tcW w:w="3582" w:type="pct"/>
            <w:vAlign w:val="center"/>
          </w:tcPr>
          <w:p w14:paraId="7B6CC9C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Remoção de sistema de substituição cardíaca biventricular interno</w:t>
            </w:r>
          </w:p>
        </w:tc>
      </w:tr>
      <w:tr w:rsidR="00681ACD" w:rsidRPr="00E605CD" w14:paraId="7B6CC9C9" w14:textId="77777777" w:rsidTr="007D3158">
        <w:trPr>
          <w:trHeight w:val="340"/>
        </w:trPr>
        <w:tc>
          <w:tcPr>
            <w:tcW w:w="842" w:type="pct"/>
            <w:vMerge w:val="restart"/>
            <w:vAlign w:val="center"/>
          </w:tcPr>
          <w:p w14:paraId="7B6CC9C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Implantação de sistemas de assistência cardíaca e circulatória</w:t>
            </w:r>
          </w:p>
        </w:tc>
        <w:tc>
          <w:tcPr>
            <w:tcW w:w="576" w:type="pct"/>
          </w:tcPr>
          <w:p w14:paraId="7B6CC9C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37.60</w:t>
            </w:r>
          </w:p>
        </w:tc>
        <w:tc>
          <w:tcPr>
            <w:tcW w:w="3582" w:type="pct"/>
            <w:vAlign w:val="center"/>
          </w:tcPr>
          <w:p w14:paraId="7B6CC9C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ou colocação de sistema externo de assistência cardíaca biventricular</w:t>
            </w:r>
          </w:p>
        </w:tc>
      </w:tr>
      <w:tr w:rsidR="00681ACD" w:rsidRPr="00E605CD" w14:paraId="7B6CC9C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C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C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37.61</w:t>
            </w:r>
          </w:p>
        </w:tc>
        <w:tc>
          <w:tcPr>
            <w:tcW w:w="3582" w:type="pct"/>
            <w:vAlign w:val="center"/>
          </w:tcPr>
          <w:p w14:paraId="7B6CC9C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de balão pulsátil</w:t>
            </w:r>
          </w:p>
        </w:tc>
      </w:tr>
      <w:tr w:rsidR="00681ACD" w:rsidRPr="00E605CD" w14:paraId="7B6CC9D1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CE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C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37.62</w:t>
            </w:r>
          </w:p>
        </w:tc>
        <w:tc>
          <w:tcPr>
            <w:tcW w:w="3582" w:type="pct"/>
            <w:vAlign w:val="center"/>
          </w:tcPr>
          <w:p w14:paraId="7B6CC9D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Colocação de sistema de assistê</w:t>
            </w:r>
            <w:r w:rsidR="00E72F6C">
              <w:rPr>
                <w:rFonts w:ascii="Times New Roman" w:hAnsi="Times New Roman" w:cs="Times New Roman"/>
                <w:sz w:val="18"/>
                <w:szCs w:val="18"/>
              </w:rPr>
              <w:t>ncia circulatória extracorporal</w:t>
            </w: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 xml:space="preserve"> não-implantável </w:t>
            </w:r>
          </w:p>
        </w:tc>
      </w:tr>
      <w:tr w:rsidR="00681ACD" w:rsidRPr="00E605CD" w14:paraId="7B6CC9D5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D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D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37.63</w:t>
            </w:r>
          </w:p>
        </w:tc>
        <w:tc>
          <w:tcPr>
            <w:tcW w:w="3582" w:type="pct"/>
            <w:vAlign w:val="center"/>
          </w:tcPr>
          <w:p w14:paraId="7B6CC9D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Reparação de sistema de assistência cardíaca</w:t>
            </w:r>
          </w:p>
        </w:tc>
      </w:tr>
      <w:tr w:rsidR="00681ACD" w:rsidRPr="00E605CD" w14:paraId="7B6CC9D9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D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D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37.64</w:t>
            </w:r>
          </w:p>
        </w:tc>
        <w:tc>
          <w:tcPr>
            <w:tcW w:w="3582" w:type="pct"/>
            <w:vAlign w:val="center"/>
          </w:tcPr>
          <w:p w14:paraId="7B6CC9D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Remoção de sistema ou dispositivo cardíaco externo</w:t>
            </w:r>
          </w:p>
        </w:tc>
      </w:tr>
      <w:tr w:rsidR="00681ACD" w:rsidRPr="00E605CD" w14:paraId="7B6CC9DD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D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D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37.65</w:t>
            </w:r>
          </w:p>
        </w:tc>
        <w:tc>
          <w:tcPr>
            <w:tcW w:w="3582" w:type="pct"/>
            <w:vAlign w:val="center"/>
          </w:tcPr>
          <w:p w14:paraId="7B6CC9DC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de sistema de assistência cardíaca externa ventricular único (extracorporal)</w:t>
            </w:r>
          </w:p>
        </w:tc>
      </w:tr>
      <w:tr w:rsidR="00681ACD" w:rsidRPr="00E605CD" w14:paraId="7B6CC9E1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DE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D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37.66</w:t>
            </w:r>
          </w:p>
        </w:tc>
        <w:tc>
          <w:tcPr>
            <w:tcW w:w="3582" w:type="pct"/>
            <w:vAlign w:val="center"/>
          </w:tcPr>
          <w:p w14:paraId="7B6CC9E0" w14:textId="77777777" w:rsidR="00681ACD" w:rsidRPr="00E605CD" w:rsidRDefault="00681ACD" w:rsidP="007D31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de sistema de assistência cardíaca implantável</w:t>
            </w:r>
          </w:p>
        </w:tc>
      </w:tr>
      <w:tr w:rsidR="00681ACD" w:rsidRPr="00E605CD" w14:paraId="7B6CC9E5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E2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E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37.67</w:t>
            </w:r>
          </w:p>
        </w:tc>
        <w:tc>
          <w:tcPr>
            <w:tcW w:w="3582" w:type="pct"/>
            <w:vAlign w:val="center"/>
          </w:tcPr>
          <w:p w14:paraId="7B6CC9E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de sistema cardiomioestimulatório</w:t>
            </w:r>
          </w:p>
        </w:tc>
      </w:tr>
      <w:tr w:rsidR="00681ACD" w:rsidRPr="00E605CD" w14:paraId="7B6CC9E9" w14:textId="77777777" w:rsidTr="007D3158">
        <w:trPr>
          <w:trHeight w:val="340"/>
        </w:trPr>
        <w:tc>
          <w:tcPr>
            <w:tcW w:w="842" w:type="pct"/>
            <w:vMerge/>
            <w:vAlign w:val="center"/>
          </w:tcPr>
          <w:p w14:paraId="7B6CC9E6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E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37.68</w:t>
            </w:r>
          </w:p>
        </w:tc>
        <w:tc>
          <w:tcPr>
            <w:tcW w:w="3582" w:type="pct"/>
            <w:vAlign w:val="center"/>
          </w:tcPr>
          <w:p w14:paraId="7B6CC9E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Colocação de sistema de assistência cardíaca externo implantável</w:t>
            </w:r>
          </w:p>
        </w:tc>
      </w:tr>
      <w:tr w:rsidR="00681ACD" w:rsidRPr="00E605CD" w14:paraId="7B6CC9ED" w14:textId="77777777" w:rsidTr="007D3158">
        <w:trPr>
          <w:trHeight w:val="340"/>
        </w:trPr>
        <w:tc>
          <w:tcPr>
            <w:tcW w:w="842" w:type="pct"/>
            <w:vMerge w:val="restart"/>
            <w:vAlign w:val="center"/>
          </w:tcPr>
          <w:p w14:paraId="7B6CC9EA" w14:textId="77777777" w:rsidR="00681ACD" w:rsidRPr="00E605CD" w:rsidRDefault="00681ACD" w:rsidP="007D315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Outros procedimentos cardiovasculares</w:t>
            </w:r>
          </w:p>
        </w:tc>
        <w:tc>
          <w:tcPr>
            <w:tcW w:w="576" w:type="pct"/>
          </w:tcPr>
          <w:p w14:paraId="7B6CC9E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00.50</w:t>
            </w:r>
          </w:p>
        </w:tc>
        <w:tc>
          <w:tcPr>
            <w:tcW w:w="3582" w:type="pct"/>
            <w:vAlign w:val="center"/>
          </w:tcPr>
          <w:p w14:paraId="7B6CC9EC" w14:textId="0A65EFE4" w:rsidR="00681ACD" w:rsidRPr="00E605CD" w:rsidRDefault="00681ACD" w:rsidP="00625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Implantação de </w:t>
            </w:r>
            <w:r w:rsidR="00B82DC0" w:rsidRPr="00E605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2DC0" w:rsidRPr="00625BC8">
              <w:rPr>
                <w:rFonts w:ascii="Times New Roman" w:hAnsi="Times New Roman" w:cs="Times New Roman"/>
                <w:color w:val="4472C4" w:themeColor="accent5"/>
                <w:sz w:val="18"/>
                <w:szCs w:val="18"/>
              </w:rPr>
              <w:t>CRT-</w:t>
            </w:r>
            <w:r w:rsidR="00625BC8" w:rsidRPr="00625BC8">
              <w:rPr>
                <w:rFonts w:ascii="Times New Roman" w:hAnsi="Times New Roman" w:cs="Times New Roman"/>
                <w:color w:val="4472C4" w:themeColor="accent5"/>
                <w:sz w:val="18"/>
                <w:szCs w:val="18"/>
              </w:rPr>
              <w:t>P</w:t>
            </w: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sistema total</w:t>
            </w:r>
          </w:p>
        </w:tc>
      </w:tr>
      <w:tr w:rsidR="00681ACD" w:rsidRPr="00E605CD" w14:paraId="7B6CC9F1" w14:textId="77777777" w:rsidTr="007D3158">
        <w:trPr>
          <w:trHeight w:val="340"/>
        </w:trPr>
        <w:tc>
          <w:tcPr>
            <w:tcW w:w="842" w:type="pct"/>
            <w:vMerge/>
          </w:tcPr>
          <w:p w14:paraId="7B6CC9EE" w14:textId="77777777" w:rsidR="00681ACD" w:rsidRPr="00E605CD" w:rsidRDefault="00681ACD" w:rsidP="00D13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E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00.51</w:t>
            </w:r>
          </w:p>
        </w:tc>
        <w:tc>
          <w:tcPr>
            <w:tcW w:w="3582" w:type="pct"/>
            <w:vAlign w:val="center"/>
          </w:tcPr>
          <w:p w14:paraId="7B6CC9F0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de CRT-D, sistema total</w:t>
            </w:r>
          </w:p>
        </w:tc>
      </w:tr>
      <w:tr w:rsidR="00681ACD" w:rsidRPr="00E605CD" w14:paraId="7B6CC9F5" w14:textId="77777777" w:rsidTr="007D3158">
        <w:trPr>
          <w:trHeight w:val="340"/>
        </w:trPr>
        <w:tc>
          <w:tcPr>
            <w:tcW w:w="842" w:type="pct"/>
            <w:vMerge/>
          </w:tcPr>
          <w:p w14:paraId="7B6CC9F2" w14:textId="77777777" w:rsidR="00681ACD" w:rsidRPr="00E605CD" w:rsidRDefault="00681ACD" w:rsidP="00D13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F3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00.52</w:t>
            </w:r>
          </w:p>
        </w:tc>
        <w:tc>
          <w:tcPr>
            <w:tcW w:w="3582" w:type="pct"/>
            <w:vAlign w:val="center"/>
          </w:tcPr>
          <w:p w14:paraId="7B6CC9F4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ou substituição do elétrodo</w:t>
            </w:r>
          </w:p>
        </w:tc>
      </w:tr>
      <w:tr w:rsidR="00681ACD" w:rsidRPr="00E605CD" w14:paraId="7B6CC9F9" w14:textId="77777777" w:rsidTr="007D3158">
        <w:trPr>
          <w:trHeight w:val="340"/>
        </w:trPr>
        <w:tc>
          <w:tcPr>
            <w:tcW w:w="842" w:type="pct"/>
            <w:vMerge/>
          </w:tcPr>
          <w:p w14:paraId="7B6CC9F6" w14:textId="77777777" w:rsidR="00681ACD" w:rsidRPr="00E605CD" w:rsidRDefault="00681ACD" w:rsidP="00D13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F7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00.53</w:t>
            </w:r>
          </w:p>
        </w:tc>
        <w:tc>
          <w:tcPr>
            <w:tcW w:w="3582" w:type="pct"/>
            <w:vAlign w:val="center"/>
          </w:tcPr>
          <w:p w14:paraId="7B6CC9F8" w14:textId="77777777" w:rsidR="00681ACD" w:rsidRPr="00E605CD" w:rsidRDefault="00681ACD" w:rsidP="007D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ou substituição de gerador CRT-P</w:t>
            </w:r>
          </w:p>
        </w:tc>
      </w:tr>
      <w:tr w:rsidR="00681ACD" w:rsidRPr="00E605CD" w14:paraId="7B6CC9FD" w14:textId="77777777" w:rsidTr="007D3158">
        <w:trPr>
          <w:trHeight w:val="340"/>
        </w:trPr>
        <w:tc>
          <w:tcPr>
            <w:tcW w:w="842" w:type="pct"/>
            <w:vMerge/>
          </w:tcPr>
          <w:p w14:paraId="7B6CC9FA" w14:textId="77777777" w:rsidR="00681ACD" w:rsidRPr="00E605CD" w:rsidRDefault="00681ACD" w:rsidP="00D13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FB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00.54</w:t>
            </w:r>
          </w:p>
        </w:tc>
        <w:tc>
          <w:tcPr>
            <w:tcW w:w="3582" w:type="pct"/>
            <w:vAlign w:val="center"/>
          </w:tcPr>
          <w:p w14:paraId="7B6CC9FC" w14:textId="77777777" w:rsidR="00681ACD" w:rsidRPr="00E605CD" w:rsidRDefault="00681ACD" w:rsidP="00E72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sz w:val="18"/>
                <w:szCs w:val="18"/>
              </w:rPr>
              <w:t>Implantação ou substituição de gerador CRT-D</w:t>
            </w:r>
          </w:p>
        </w:tc>
      </w:tr>
      <w:tr w:rsidR="00681ACD" w:rsidRPr="00E605CD" w14:paraId="7B6CCA01" w14:textId="77777777" w:rsidTr="007D3158">
        <w:trPr>
          <w:trHeight w:val="340"/>
        </w:trPr>
        <w:tc>
          <w:tcPr>
            <w:tcW w:w="842" w:type="pct"/>
            <w:vMerge/>
          </w:tcPr>
          <w:p w14:paraId="7B6CC9FE" w14:textId="77777777" w:rsidR="00681ACD" w:rsidRPr="00E605CD" w:rsidRDefault="00681ACD" w:rsidP="00D13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CC9FF" w14:textId="77777777" w:rsidR="00681ACD" w:rsidRPr="00E605CD" w:rsidRDefault="00681ACD" w:rsidP="00D133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00.56</w:t>
            </w:r>
          </w:p>
        </w:tc>
        <w:tc>
          <w:tcPr>
            <w:tcW w:w="3582" w:type="pct"/>
            <w:vAlign w:val="center"/>
          </w:tcPr>
          <w:p w14:paraId="7B6CCA00" w14:textId="77777777" w:rsidR="00681ACD" w:rsidRPr="00E605CD" w:rsidRDefault="00681ACD" w:rsidP="007D31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ou substituição de sensor de pressão implantável para monitorização intracardíaca</w:t>
            </w:r>
          </w:p>
        </w:tc>
      </w:tr>
    </w:tbl>
    <w:p w14:paraId="7B6CCA02" w14:textId="3D2AAE25" w:rsidR="00831C47" w:rsidRPr="00101F8F" w:rsidRDefault="00681ACD" w:rsidP="00681ACD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E033BE">
        <w:rPr>
          <w:rFonts w:ascii="Times New Roman" w:hAnsi="Times New Roman" w:cs="Times New Roman"/>
          <w:sz w:val="18"/>
        </w:rPr>
        <w:t xml:space="preserve">IC: insuficiência cardíaca; DRC: doença renal crónica; NE: não especificada. </w:t>
      </w:r>
      <w:r w:rsidR="00B82DC0" w:rsidRPr="00101F8F">
        <w:rPr>
          <w:rFonts w:ascii="Times New Roman" w:hAnsi="Times New Roman" w:cs="Times New Roman"/>
          <w:sz w:val="18"/>
          <w:szCs w:val="18"/>
          <w:lang w:val="en-US"/>
        </w:rPr>
        <w:t>CRT-D</w:t>
      </w:r>
      <w:r w:rsidR="00101F8F" w:rsidRPr="00101F8F">
        <w:rPr>
          <w:rFonts w:ascii="Times New Roman" w:hAnsi="Times New Roman" w:cs="Times New Roman"/>
          <w:sz w:val="18"/>
          <w:szCs w:val="18"/>
          <w:lang w:val="en-US"/>
        </w:rPr>
        <w:t>: Cardiac Resynchronization Therapy defibrillator CRT-P Cardiac Resynchronization Therapy pacemaker</w:t>
      </w:r>
    </w:p>
    <w:p w14:paraId="7B6CCA03" w14:textId="77777777" w:rsidR="00E605CD" w:rsidRPr="00101F8F" w:rsidRDefault="00E605CD">
      <w:pPr>
        <w:rPr>
          <w:rFonts w:ascii="Times New Roman" w:eastAsiaTheme="majorEastAsia" w:hAnsi="Times New Roman" w:cs="Times New Roman"/>
          <w:b/>
          <w:sz w:val="24"/>
          <w:szCs w:val="26"/>
          <w:lang w:val="en-US"/>
        </w:rPr>
      </w:pPr>
      <w:r w:rsidRPr="00101F8F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7B6CCA04" w14:textId="77777777" w:rsidR="00BB3915" w:rsidRPr="009901DD" w:rsidRDefault="009901DD" w:rsidP="00195F3D">
      <w:pPr>
        <w:pStyle w:val="Ttulo2"/>
        <w:rPr>
          <w:rFonts w:ascii="Times New Roman" w:hAnsi="Times New Roman" w:cs="Times New Roman"/>
          <w:color w:val="auto"/>
          <w:sz w:val="24"/>
        </w:rPr>
      </w:pPr>
      <w:r w:rsidRPr="009901DD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Quadro Suplementar S2: </w:t>
      </w:r>
      <w:r w:rsidR="00BB3915" w:rsidRPr="009901DD">
        <w:rPr>
          <w:rFonts w:ascii="Times New Roman" w:hAnsi="Times New Roman" w:cs="Times New Roman"/>
          <w:b/>
          <w:color w:val="auto"/>
          <w:sz w:val="24"/>
        </w:rPr>
        <w:t>Estimativa dos custos por Insuficiência cardíaca das Equipas de Cuidados Continuados Integrados (ECCI)</w:t>
      </w:r>
      <w:r w:rsidRPr="009901DD">
        <w:rPr>
          <w:rFonts w:ascii="Times New Roman" w:hAnsi="Times New Roman" w:cs="Times New Roman"/>
          <w:b/>
          <w:color w:val="auto"/>
          <w:sz w:val="24"/>
        </w:rPr>
        <w:t xml:space="preserve"> e Rede Nacional de Cuidados Continuados Integrados (RNCCI)</w:t>
      </w:r>
      <w:r w:rsidR="00912B59">
        <w:rPr>
          <w:rFonts w:ascii="Times New Roman" w:hAnsi="Times New Roman" w:cs="Times New Roman"/>
          <w:b/>
          <w:color w:val="auto"/>
          <w:sz w:val="24"/>
        </w:rPr>
        <w:t>.</w:t>
      </w:r>
    </w:p>
    <w:p w14:paraId="7B6CCA05" w14:textId="77777777" w:rsidR="003E63DD" w:rsidRDefault="003E63DD" w:rsidP="003E63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537"/>
      </w:tblGrid>
      <w:tr w:rsidR="009901DD" w:rsidRPr="000C08DE" w14:paraId="7B6CCA07" w14:textId="77777777" w:rsidTr="009901DD">
        <w:trPr>
          <w:trHeight w:val="6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B6CCA06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b/>
                <w:sz w:val="18"/>
                <w:szCs w:val="18"/>
              </w:rPr>
              <w:t>Estimativa dos custos do seguimento no contexto das Equipas de Cuidados Continuados Integrados (ECCI) (domicílio)</w:t>
            </w:r>
          </w:p>
        </w:tc>
      </w:tr>
      <w:tr w:rsidR="009901DD" w:rsidRPr="000C08DE" w14:paraId="7B6CCA0C" w14:textId="77777777" w:rsidTr="009901DD">
        <w:trPr>
          <w:trHeight w:val="600"/>
        </w:trPr>
        <w:tc>
          <w:tcPr>
            <w:tcW w:w="832" w:type="pct"/>
            <w:shd w:val="clear" w:color="auto" w:fill="auto"/>
            <w:vAlign w:val="center"/>
          </w:tcPr>
          <w:p w14:paraId="7B6CCA08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Identificador</w:t>
            </w:r>
          </w:p>
        </w:tc>
        <w:tc>
          <w:tcPr>
            <w:tcW w:w="1335" w:type="pct"/>
            <w:shd w:val="clear" w:color="auto" w:fill="auto"/>
            <w:noWrap/>
            <w:vAlign w:val="center"/>
          </w:tcPr>
          <w:p w14:paraId="7B6CCA09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Variável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 w14:paraId="7B6CCA0A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Valor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7B6CCA0B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Fonte</w:t>
            </w:r>
          </w:p>
        </w:tc>
      </w:tr>
      <w:tr w:rsidR="009901DD" w:rsidRPr="000C08DE" w14:paraId="7B6CCA11" w14:textId="77777777" w:rsidTr="009901DD">
        <w:trPr>
          <w:trHeight w:val="600"/>
        </w:trPr>
        <w:tc>
          <w:tcPr>
            <w:tcW w:w="832" w:type="pct"/>
            <w:shd w:val="clear" w:color="auto" w:fill="auto"/>
            <w:vAlign w:val="center"/>
          </w:tcPr>
          <w:p w14:paraId="7B6CCA0D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1A</w:t>
            </w:r>
          </w:p>
        </w:tc>
        <w:tc>
          <w:tcPr>
            <w:tcW w:w="1335" w:type="pct"/>
            <w:shd w:val="clear" w:color="auto" w:fill="auto"/>
            <w:noWrap/>
            <w:vAlign w:val="center"/>
          </w:tcPr>
          <w:p w14:paraId="7B6CCA0E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Peso ARS LVT nos ECCI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 w14:paraId="7B6CCA0F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30,19%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7B6CCA10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Relatório anual sobre o acesso a cuidados de saúde nos estabelecimentos do SNS e entidade convencionadas (2015)</w:t>
            </w:r>
          </w:p>
        </w:tc>
      </w:tr>
      <w:tr w:rsidR="009901DD" w:rsidRPr="000C08DE" w14:paraId="7B6CCA16" w14:textId="77777777" w:rsidTr="009901DD">
        <w:trPr>
          <w:trHeight w:val="300"/>
        </w:trPr>
        <w:tc>
          <w:tcPr>
            <w:tcW w:w="832" w:type="pct"/>
            <w:shd w:val="clear" w:color="auto" w:fill="auto"/>
            <w:vAlign w:val="center"/>
          </w:tcPr>
          <w:p w14:paraId="7B6CCA12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2A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14:paraId="7B6CCA13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Número de episódios em LVT com diagnóstico principal "Insuficiência Cardíaca"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14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54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15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ARS LVT (2013), Administração Central do Sistema de Saúde, IP, 2015*</w:t>
            </w:r>
          </w:p>
        </w:tc>
      </w:tr>
      <w:tr w:rsidR="009901DD" w:rsidRPr="000C08DE" w14:paraId="7B6CCA1B" w14:textId="77777777" w:rsidTr="009901DD">
        <w:trPr>
          <w:trHeight w:val="300"/>
        </w:trPr>
        <w:tc>
          <w:tcPr>
            <w:tcW w:w="832" w:type="pct"/>
            <w:shd w:val="clear" w:color="auto" w:fill="auto"/>
            <w:vAlign w:val="center"/>
          </w:tcPr>
          <w:p w14:paraId="7B6CCA17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3A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14:paraId="7B6CCA18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Demora média de seguimento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19" w14:textId="50B94EB0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57,55</w:t>
            </w:r>
            <w:r w:rsidR="00952E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dias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1A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ARS LVT (2013), Administração Central do Sistema de Saúde, IP, 2015*</w:t>
            </w:r>
          </w:p>
        </w:tc>
      </w:tr>
      <w:tr w:rsidR="009901DD" w:rsidRPr="000C08DE" w14:paraId="7B6CCA20" w14:textId="77777777" w:rsidTr="009901DD">
        <w:trPr>
          <w:trHeight w:val="300"/>
        </w:trPr>
        <w:tc>
          <w:tcPr>
            <w:tcW w:w="832" w:type="pct"/>
            <w:shd w:val="clear" w:color="auto" w:fill="auto"/>
            <w:vAlign w:val="center"/>
          </w:tcPr>
          <w:p w14:paraId="7B6CCA1C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4A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1D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Preço unitário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1E" w14:textId="3B502217" w:rsidR="009901DD" w:rsidRPr="000C08DE" w:rsidRDefault="00B82DC0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€</w:t>
            </w:r>
            <w:r w:rsidR="009901DD"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9,98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1F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Estimativa dos autores baseada numa amostra de conveniência com microdados sobre a atividade das equipas de Cuidados Continuados e Integrados provenientes da área da ARS LVT.</w:t>
            </w:r>
          </w:p>
        </w:tc>
      </w:tr>
      <w:tr w:rsidR="009901DD" w:rsidRPr="000C08DE" w14:paraId="7B6CCA25" w14:textId="77777777" w:rsidTr="009901DD">
        <w:trPr>
          <w:trHeight w:val="315"/>
        </w:trPr>
        <w:tc>
          <w:tcPr>
            <w:tcW w:w="832" w:type="pct"/>
            <w:shd w:val="clear" w:color="auto" w:fill="auto"/>
            <w:vAlign w:val="center"/>
          </w:tcPr>
          <w:p w14:paraId="7B6CCA21" w14:textId="77A3B9F5" w:rsidR="009901DD" w:rsidRPr="000C08DE" w:rsidRDefault="009901DD" w:rsidP="00B8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5A=1</w:t>
            </w:r>
            <w:r w:rsidR="00B82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A/</w:t>
            </w: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2Ax3Ax4A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22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Total custo dos doentes em ECCI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23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€102.747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24" w14:textId="4D3F37ED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C</w:t>
            </w:r>
            <w:r w:rsidR="00952E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á</w:t>
            </w: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lculo dos autores</w:t>
            </w:r>
          </w:p>
        </w:tc>
      </w:tr>
      <w:tr w:rsidR="009901DD" w:rsidRPr="000C08DE" w14:paraId="7B6CCA27" w14:textId="77777777" w:rsidTr="009901DD">
        <w:trPr>
          <w:trHeight w:val="6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B6CCA26" w14:textId="77777777" w:rsidR="009901DD" w:rsidRPr="000C08DE" w:rsidRDefault="009901DD" w:rsidP="009901D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8DE">
              <w:rPr>
                <w:rFonts w:ascii="Times New Roman" w:hAnsi="Times New Roman" w:cs="Times New Roman"/>
                <w:b/>
                <w:sz w:val="18"/>
                <w:szCs w:val="18"/>
              </w:rPr>
              <w:t>A estimativa dos custos de seguimento no contexto da Rede Nacional de Cuidados Continuados Integrados (RNCCI) (internamento)</w:t>
            </w:r>
          </w:p>
        </w:tc>
      </w:tr>
      <w:tr w:rsidR="009901DD" w:rsidRPr="000C08DE" w14:paraId="7B6CCA2C" w14:textId="77777777" w:rsidTr="009901DD">
        <w:trPr>
          <w:trHeight w:val="600"/>
        </w:trPr>
        <w:tc>
          <w:tcPr>
            <w:tcW w:w="832" w:type="pct"/>
            <w:shd w:val="clear" w:color="auto" w:fill="auto"/>
            <w:vAlign w:val="center"/>
          </w:tcPr>
          <w:p w14:paraId="7B6CCA28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Identificador</w:t>
            </w:r>
          </w:p>
        </w:tc>
        <w:tc>
          <w:tcPr>
            <w:tcW w:w="1335" w:type="pct"/>
            <w:shd w:val="clear" w:color="auto" w:fill="auto"/>
            <w:noWrap/>
            <w:vAlign w:val="center"/>
          </w:tcPr>
          <w:p w14:paraId="7B6CCA29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Variável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 w14:paraId="7B6CCA2A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Valor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7B6CCA2B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Fonte</w:t>
            </w:r>
          </w:p>
        </w:tc>
      </w:tr>
      <w:tr w:rsidR="009901DD" w:rsidRPr="000C08DE" w14:paraId="7B6CCA31" w14:textId="77777777" w:rsidTr="009901DD">
        <w:trPr>
          <w:trHeight w:val="600"/>
        </w:trPr>
        <w:tc>
          <w:tcPr>
            <w:tcW w:w="832" w:type="pct"/>
            <w:shd w:val="clear" w:color="auto" w:fill="auto"/>
            <w:vAlign w:val="center"/>
          </w:tcPr>
          <w:p w14:paraId="7B6CCA2D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1B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2E" w14:textId="0D514EC0" w:rsidR="009901DD" w:rsidRPr="000C08DE" w:rsidRDefault="009901DD" w:rsidP="00357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Número total de Cuidados continuados em internamento 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2F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7.160</w:t>
            </w:r>
          </w:p>
        </w:tc>
        <w:tc>
          <w:tcPr>
            <w:tcW w:w="2082" w:type="pct"/>
            <w:shd w:val="clear" w:color="auto" w:fill="auto"/>
            <w:vAlign w:val="center"/>
            <w:hideMark/>
          </w:tcPr>
          <w:p w14:paraId="7B6CCA30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Relatório “Monitorização da RNCCI 2014” (Administração Central do Sistema de Saúde, IP, 2015)</w:t>
            </w:r>
          </w:p>
        </w:tc>
      </w:tr>
      <w:tr w:rsidR="009901DD" w:rsidRPr="000C08DE" w14:paraId="7B6CCA36" w14:textId="77777777" w:rsidTr="009901DD">
        <w:trPr>
          <w:trHeight w:val="300"/>
        </w:trPr>
        <w:tc>
          <w:tcPr>
            <w:tcW w:w="832" w:type="pct"/>
            <w:shd w:val="clear" w:color="auto" w:fill="auto"/>
            <w:vAlign w:val="center"/>
          </w:tcPr>
          <w:p w14:paraId="7B6CCA32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2B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33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Proporção de IC nos ECCI, assumida igual na RNCCI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34" w14:textId="5F21E563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</w:t>
            </w:r>
            <w:r w:rsidR="00B82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,2</w:t>
            </w: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2082" w:type="pct"/>
            <w:shd w:val="clear" w:color="auto" w:fill="auto"/>
            <w:vAlign w:val="center"/>
            <w:hideMark/>
          </w:tcPr>
          <w:p w14:paraId="7B6CCA35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ARS LVT (2013), Administração Central do Sistema de Saúde, IP, 2015*</w:t>
            </w:r>
          </w:p>
        </w:tc>
      </w:tr>
      <w:tr w:rsidR="009901DD" w:rsidRPr="000C08DE" w14:paraId="7B6CCA3B" w14:textId="77777777" w:rsidTr="009901DD">
        <w:trPr>
          <w:trHeight w:val="600"/>
        </w:trPr>
        <w:tc>
          <w:tcPr>
            <w:tcW w:w="832" w:type="pct"/>
            <w:shd w:val="clear" w:color="auto" w:fill="auto"/>
            <w:vAlign w:val="center"/>
          </w:tcPr>
          <w:p w14:paraId="7B6CCA37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3B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14:paraId="7B6CCA38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Demora média de seguimento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39" w14:textId="5B3C35D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82,8</w:t>
            </w:r>
            <w:r w:rsidR="00E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dias</w:t>
            </w:r>
          </w:p>
        </w:tc>
        <w:tc>
          <w:tcPr>
            <w:tcW w:w="2082" w:type="pct"/>
            <w:shd w:val="clear" w:color="auto" w:fill="auto"/>
            <w:vAlign w:val="center"/>
            <w:hideMark/>
          </w:tcPr>
          <w:p w14:paraId="7B6CCA3A" w14:textId="4517A9E9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67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Demora média ponderada pela distri</w:t>
            </w:r>
            <w:r w:rsidR="009D63E3" w:rsidRPr="00867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buição das referenciações por doença</w:t>
            </w:r>
            <w:r w:rsidRPr="00867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CV</w:t>
            </w:r>
            <w:r w:rsidR="00867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, </w:t>
            </w:r>
            <w:r w:rsidR="00867024" w:rsidRPr="000C08DE">
              <w:rPr>
                <w:rFonts w:ascii="Times New Roman" w:hAnsi="Times New Roman" w:cs="Times New Roman"/>
                <w:sz w:val="18"/>
                <w:szCs w:val="18"/>
              </w:rPr>
              <w:t>por tipologia de internamento, de acordo com os dados incluídos no documento "Monitorização da Rede Nacional de Cuidado</w:t>
            </w:r>
            <w:r w:rsidR="00867024">
              <w:rPr>
                <w:rFonts w:ascii="Times New Roman" w:hAnsi="Times New Roman" w:cs="Times New Roman"/>
                <w:sz w:val="18"/>
                <w:szCs w:val="18"/>
              </w:rPr>
              <w:t xml:space="preserve">s Continuados Integrados (RNCCI 2014, </w:t>
            </w:r>
            <w:r w:rsidR="00867024" w:rsidRPr="000C08DE">
              <w:rPr>
                <w:rFonts w:ascii="Times New Roman" w:hAnsi="Times New Roman" w:cs="Times New Roman"/>
                <w:sz w:val="18"/>
                <w:szCs w:val="18"/>
              </w:rPr>
              <w:t>p. 23). ACSS. Departamento de Gestão da Rede de Serviços e Re</w:t>
            </w:r>
            <w:r w:rsidR="00867024">
              <w:rPr>
                <w:rFonts w:ascii="Times New Roman" w:hAnsi="Times New Roman" w:cs="Times New Roman"/>
                <w:sz w:val="18"/>
                <w:szCs w:val="18"/>
              </w:rPr>
              <w:t>cursos em Saúde</w:t>
            </w:r>
            <w:r w:rsidR="00867024" w:rsidRPr="000C08DE">
              <w:rPr>
                <w:rFonts w:ascii="Times New Roman" w:hAnsi="Times New Roman" w:cs="Times New Roman"/>
                <w:sz w:val="18"/>
                <w:szCs w:val="18"/>
              </w:rPr>
              <w:t>. Núcleo Funcional da Rede Nacional de Cuidados Continuados Integrados, março 2015</w:t>
            </w:r>
            <w:r w:rsidR="008670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1DD" w:rsidRPr="000C08DE" w14:paraId="7B6CCA40" w14:textId="77777777" w:rsidTr="009901DD">
        <w:trPr>
          <w:trHeight w:val="300"/>
        </w:trPr>
        <w:tc>
          <w:tcPr>
            <w:tcW w:w="832" w:type="pct"/>
            <w:shd w:val="clear" w:color="auto" w:fill="auto"/>
            <w:vAlign w:val="center"/>
          </w:tcPr>
          <w:p w14:paraId="7B6CCA3C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4B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3D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Preço unitário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3E" w14:textId="1B198C25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€87,56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3F" w14:textId="023C0592" w:rsidR="009901DD" w:rsidRPr="000C08DE" w:rsidRDefault="009901DD" w:rsidP="009D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Média ponderada Unidade de convalescença (105,46€), Unidade de cuidados paliativos (105,46€), Unidade de média duração e reabilitação (87,56€) e Unidade de longa duração e manutenção (60,19€); Portaria nº 262/20152. </w:t>
            </w: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Ponderado pela distribuição das referenciações por doença cardiovascular por tipologia de internamento, de acordo com os dados incluídos no documento "Monitorização da Rede Nacional de Cuidado</w:t>
            </w:r>
            <w:r w:rsidR="009D63E3">
              <w:rPr>
                <w:rFonts w:ascii="Times New Roman" w:hAnsi="Times New Roman" w:cs="Times New Roman"/>
                <w:sz w:val="18"/>
                <w:szCs w:val="18"/>
              </w:rPr>
              <w:t xml:space="preserve">s Continuados Integrados (RNCCI 2014, </w:t>
            </w: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p. 23). ACSS. Departamento de Gestão da Rede de Serviços e Re</w:t>
            </w:r>
            <w:r w:rsidR="009D63E3">
              <w:rPr>
                <w:rFonts w:ascii="Times New Roman" w:hAnsi="Times New Roman" w:cs="Times New Roman"/>
                <w:sz w:val="18"/>
                <w:szCs w:val="18"/>
              </w:rPr>
              <w:t>cursos em Saúde</w:t>
            </w: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. Núcleo Funcional da Rede Nacional de Cuidados Continuados Integrados, março 2015.</w:t>
            </w:r>
          </w:p>
        </w:tc>
      </w:tr>
      <w:tr w:rsidR="009901DD" w:rsidRPr="000C08DE" w14:paraId="7B6CCA45" w14:textId="77777777" w:rsidTr="009901DD">
        <w:trPr>
          <w:trHeight w:val="315"/>
        </w:trPr>
        <w:tc>
          <w:tcPr>
            <w:tcW w:w="832" w:type="pct"/>
            <w:shd w:val="clear" w:color="auto" w:fill="auto"/>
            <w:vAlign w:val="center"/>
          </w:tcPr>
          <w:p w14:paraId="7B6CCA41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lastRenderedPageBreak/>
              <w:t>5B=1Bx2Bx3Bx4B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</w:tcPr>
          <w:p w14:paraId="7B6CCA42" w14:textId="77777777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hAnsi="Times New Roman" w:cs="Times New Roman"/>
                <w:sz w:val="18"/>
                <w:szCs w:val="18"/>
              </w:rPr>
              <w:t>Total custo dos doentes internados em unidades da RNCCI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14:paraId="7B6CCA43" w14:textId="77777777" w:rsidR="009901DD" w:rsidRPr="000C08DE" w:rsidRDefault="009901DD" w:rsidP="009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PT"/>
              </w:rPr>
              <w:t>€1.684.039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14:paraId="7B6CCA44" w14:textId="5A744A5F" w:rsidR="009901DD" w:rsidRPr="000C08DE" w:rsidRDefault="009901DD" w:rsidP="009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C</w:t>
            </w:r>
            <w:r w:rsidR="00EB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á</w:t>
            </w:r>
            <w:r w:rsidRPr="000C0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lculo dos autores</w:t>
            </w:r>
          </w:p>
        </w:tc>
      </w:tr>
    </w:tbl>
    <w:p w14:paraId="7B6CCA46" w14:textId="77777777" w:rsidR="003E63DD" w:rsidRPr="00AC5FBE" w:rsidRDefault="003E63DD" w:rsidP="003E63DD">
      <w:pPr>
        <w:rPr>
          <w:rFonts w:ascii="Times New Roman" w:hAnsi="Times New Roman" w:cs="Times New Roman"/>
          <w:sz w:val="18"/>
        </w:rPr>
      </w:pPr>
      <w:r w:rsidRPr="00AC5FBE">
        <w:rPr>
          <w:rFonts w:ascii="Times New Roman" w:hAnsi="Times New Roman" w:cs="Times New Roman"/>
          <w:sz w:val="18"/>
        </w:rPr>
        <w:t>*ARS LVT (2013), Administração Central do Sistema de Saúde, IP, 2015. Estes dados foram utilizados no estudo “O custo e a carga da fibrilhação auricular em Portugal” previamente realizado pelos autores do presente trabalho.</w:t>
      </w:r>
    </w:p>
    <w:p w14:paraId="7B6CCA47" w14:textId="05900750" w:rsidR="003E63DD" w:rsidRPr="00AC5FBE" w:rsidRDefault="003E63DD" w:rsidP="003E63DD">
      <w:pPr>
        <w:rPr>
          <w:rFonts w:ascii="Times New Roman" w:hAnsi="Times New Roman" w:cs="Times New Roman"/>
          <w:sz w:val="18"/>
        </w:rPr>
      </w:pPr>
      <w:r w:rsidRPr="009D63E3">
        <w:rPr>
          <w:rFonts w:ascii="Times New Roman" w:hAnsi="Times New Roman" w:cs="Times New Roman"/>
          <w:sz w:val="18"/>
        </w:rPr>
        <w:t>ECCI: Equipas de Cuidados Continuados Integrados; RNCCI: Rede Nacional de</w:t>
      </w:r>
      <w:r w:rsidR="00AC5FBE" w:rsidRPr="009D63E3">
        <w:rPr>
          <w:rFonts w:ascii="Times New Roman" w:hAnsi="Times New Roman" w:cs="Times New Roman"/>
          <w:sz w:val="18"/>
        </w:rPr>
        <w:t xml:space="preserve"> Cuidados Continuados Integrad</w:t>
      </w:r>
      <w:r w:rsidR="009D63E3" w:rsidRPr="009D63E3">
        <w:rPr>
          <w:rFonts w:ascii="Times New Roman" w:hAnsi="Times New Roman" w:cs="Times New Roman"/>
          <w:sz w:val="18"/>
        </w:rPr>
        <w:t xml:space="preserve">os; </w:t>
      </w:r>
      <w:r w:rsidR="00357636" w:rsidRPr="009D63E3">
        <w:rPr>
          <w:rFonts w:ascii="Times New Roman" w:hAnsi="Times New Roman" w:cs="Times New Roman"/>
          <w:sz w:val="18"/>
        </w:rPr>
        <w:t>ARS LVT</w:t>
      </w:r>
      <w:r w:rsidR="009D63E3" w:rsidRPr="009D63E3">
        <w:rPr>
          <w:rFonts w:ascii="Times New Roman" w:hAnsi="Times New Roman" w:cs="Times New Roman"/>
          <w:sz w:val="18"/>
        </w:rPr>
        <w:t>: Administração Regional de saúde.</w:t>
      </w:r>
      <w:r w:rsidR="00357636" w:rsidRPr="009D63E3">
        <w:rPr>
          <w:rFonts w:ascii="Times New Roman" w:hAnsi="Times New Roman" w:cs="Times New Roman"/>
          <w:sz w:val="18"/>
        </w:rPr>
        <w:t xml:space="preserve"> CV</w:t>
      </w:r>
      <w:r w:rsidR="009D63E3" w:rsidRPr="009D63E3">
        <w:rPr>
          <w:rFonts w:ascii="Times New Roman" w:hAnsi="Times New Roman" w:cs="Times New Roman"/>
          <w:sz w:val="18"/>
        </w:rPr>
        <w:t>: Cardiovascular.</w:t>
      </w:r>
    </w:p>
    <w:p w14:paraId="7B6CCA48" w14:textId="77777777" w:rsidR="00195F3D" w:rsidRPr="00E033BE" w:rsidRDefault="00195F3D">
      <w:pPr>
        <w:rPr>
          <w:rFonts w:ascii="Times New Roman" w:hAnsi="Times New Roman" w:cs="Times New Roman"/>
          <w:sz w:val="18"/>
        </w:rPr>
      </w:pPr>
    </w:p>
    <w:p w14:paraId="5F82FBE2" w14:textId="77777777" w:rsidR="00867024" w:rsidRDefault="00867024">
      <w:pPr>
        <w:rPr>
          <w:rFonts w:ascii="Times New Roman" w:eastAsiaTheme="majorEastAsia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B6CCA49" w14:textId="37DE201E" w:rsidR="00E033BE" w:rsidRPr="00E033BE" w:rsidRDefault="00E033BE" w:rsidP="00E033BE">
      <w:pPr>
        <w:pStyle w:val="Ttulo2"/>
        <w:rPr>
          <w:rFonts w:ascii="Times New Roman" w:hAnsi="Times New Roman" w:cs="Times New Roman"/>
          <w:b/>
          <w:color w:val="auto"/>
          <w:sz w:val="24"/>
        </w:rPr>
      </w:pPr>
      <w:r w:rsidRPr="00AC5FBE">
        <w:rPr>
          <w:rFonts w:ascii="Times New Roman" w:hAnsi="Times New Roman" w:cs="Times New Roman"/>
          <w:b/>
          <w:color w:val="auto"/>
          <w:sz w:val="24"/>
        </w:rPr>
        <w:t>Quadro Suplementar S</w:t>
      </w:r>
      <w:r w:rsidR="00AC5FBE" w:rsidRPr="00AC5FBE">
        <w:rPr>
          <w:rFonts w:ascii="Times New Roman" w:hAnsi="Times New Roman" w:cs="Times New Roman"/>
          <w:b/>
          <w:color w:val="auto"/>
          <w:sz w:val="24"/>
        </w:rPr>
        <w:t>3</w:t>
      </w:r>
      <w:r w:rsidRPr="00AC5FBE">
        <w:rPr>
          <w:rFonts w:ascii="Times New Roman" w:hAnsi="Times New Roman" w:cs="Times New Roman"/>
          <w:b/>
          <w:color w:val="auto"/>
          <w:sz w:val="24"/>
        </w:rPr>
        <w:t>: Estimativas dos custos unitários por deslocação.</w:t>
      </w:r>
    </w:p>
    <w:p w14:paraId="7B6CCA4A" w14:textId="77777777" w:rsidR="00E033BE" w:rsidRDefault="00E033BE" w:rsidP="00E033BE">
      <w:pPr>
        <w:pStyle w:val="Descripcin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474"/>
        <w:gridCol w:w="1085"/>
        <w:gridCol w:w="1261"/>
        <w:gridCol w:w="3593"/>
      </w:tblGrid>
      <w:tr w:rsidR="005B67C0" w:rsidRPr="00AC5FBE" w14:paraId="7B6CCA4E" w14:textId="77777777" w:rsidTr="00B82DC0">
        <w:trPr>
          <w:trHeight w:val="537"/>
        </w:trPr>
        <w:tc>
          <w:tcPr>
            <w:tcW w:w="636" w:type="pct"/>
            <w:vMerge w:val="restart"/>
            <w:shd w:val="clear" w:color="auto" w:fill="auto"/>
            <w:vAlign w:val="center"/>
            <w:hideMark/>
          </w:tcPr>
          <w:p w14:paraId="7B6CCA4B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Meio de transporte</w:t>
            </w:r>
          </w:p>
        </w:tc>
        <w:tc>
          <w:tcPr>
            <w:tcW w:w="1507" w:type="pct"/>
            <w:gridSpan w:val="2"/>
            <w:shd w:val="clear" w:color="auto" w:fill="auto"/>
            <w:vAlign w:val="center"/>
            <w:hideMark/>
          </w:tcPr>
          <w:p w14:paraId="7B6CCA4C" w14:textId="77777777" w:rsidR="005B67C0" w:rsidRPr="005B67C0" w:rsidRDefault="00912B59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Proporção</w:t>
            </w:r>
          </w:p>
        </w:tc>
        <w:tc>
          <w:tcPr>
            <w:tcW w:w="2857" w:type="pct"/>
            <w:gridSpan w:val="2"/>
            <w:vAlign w:val="center"/>
          </w:tcPr>
          <w:p w14:paraId="7B6CCA4D" w14:textId="77777777" w:rsidR="005B67C0" w:rsidRPr="00912B59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Preço</w:t>
            </w:r>
          </w:p>
        </w:tc>
      </w:tr>
      <w:tr w:rsidR="00AC5FBE" w:rsidRPr="00AC5FBE" w14:paraId="7B6CCA54" w14:textId="77777777" w:rsidTr="00B82DC0">
        <w:trPr>
          <w:trHeight w:val="537"/>
        </w:trPr>
        <w:tc>
          <w:tcPr>
            <w:tcW w:w="636" w:type="pct"/>
            <w:vMerge/>
            <w:shd w:val="clear" w:color="auto" w:fill="auto"/>
            <w:vAlign w:val="center"/>
            <w:hideMark/>
          </w:tcPr>
          <w:p w14:paraId="7B6CCA4F" w14:textId="77777777" w:rsidR="005B67C0" w:rsidRPr="005B67C0" w:rsidRDefault="005B67C0" w:rsidP="005B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50" w14:textId="77777777" w:rsidR="005B67C0" w:rsidRPr="005B67C0" w:rsidRDefault="00AC5FBE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Transporte não urgente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51" w14:textId="77777777" w:rsidR="005B67C0" w:rsidRPr="00912B59" w:rsidRDefault="00AC5FBE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Transporte urgente</w:t>
            </w:r>
          </w:p>
        </w:tc>
        <w:tc>
          <w:tcPr>
            <w:tcW w:w="742" w:type="pct"/>
            <w:vAlign w:val="center"/>
          </w:tcPr>
          <w:p w14:paraId="7B6CCA52" w14:textId="77777777" w:rsidR="005B67C0" w:rsidRPr="00912B59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Valor Unitário (€)</w:t>
            </w:r>
          </w:p>
        </w:tc>
        <w:tc>
          <w:tcPr>
            <w:tcW w:w="2114" w:type="pct"/>
            <w:vAlign w:val="center"/>
          </w:tcPr>
          <w:p w14:paraId="7B6CCA53" w14:textId="77777777" w:rsidR="005B67C0" w:rsidRPr="00912B59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Fonte</w:t>
            </w:r>
          </w:p>
        </w:tc>
      </w:tr>
      <w:tr w:rsidR="00AC5FBE" w:rsidRPr="00AC5FBE" w14:paraId="7B6CCA5A" w14:textId="77777777" w:rsidTr="00B82DC0">
        <w:trPr>
          <w:trHeight w:val="537"/>
        </w:trPr>
        <w:tc>
          <w:tcPr>
            <w:tcW w:w="636" w:type="pct"/>
            <w:shd w:val="clear" w:color="auto" w:fill="auto"/>
            <w:vAlign w:val="center"/>
            <w:hideMark/>
          </w:tcPr>
          <w:p w14:paraId="7B6CCA55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Transporte p</w:t>
            </w: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ú</w:t>
            </w:r>
            <w:r w:rsidRPr="005B67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blico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56" w14:textId="21716420" w:rsidR="005B67C0" w:rsidRPr="005B67C0" w:rsidRDefault="005B67C0" w:rsidP="0035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46</w:t>
            </w:r>
            <w:r w:rsidR="00357636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,5</w:t>
            </w: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%</w:t>
            </w:r>
            <w:r w:rsidR="00B82D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*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57" w14:textId="46F8B0C3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</w:t>
            </w:r>
            <w:r w:rsidR="00357636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,0</w:t>
            </w: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742" w:type="pct"/>
            <w:vAlign w:val="center"/>
          </w:tcPr>
          <w:p w14:paraId="7B6CCA58" w14:textId="77777777" w:rsidR="005B67C0" w:rsidRPr="00AC5FBE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1,31</w:t>
            </w:r>
          </w:p>
        </w:tc>
        <w:tc>
          <w:tcPr>
            <w:tcW w:w="2114" w:type="pct"/>
            <w:vAlign w:val="center"/>
          </w:tcPr>
          <w:p w14:paraId="7B6CCA59" w14:textId="77777777" w:rsidR="005B67C0" w:rsidRPr="00AC5FBE" w:rsidRDefault="005B67C0" w:rsidP="00AC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Média simples do preço de bilhete em Coimbra, Lisboa e Porto.</w:t>
            </w:r>
          </w:p>
        </w:tc>
      </w:tr>
      <w:tr w:rsidR="00AC5FBE" w:rsidRPr="00AC5FBE" w14:paraId="7B6CCA60" w14:textId="77777777" w:rsidTr="00B82DC0">
        <w:trPr>
          <w:trHeight w:val="537"/>
        </w:trPr>
        <w:tc>
          <w:tcPr>
            <w:tcW w:w="636" w:type="pct"/>
            <w:shd w:val="clear" w:color="auto" w:fill="auto"/>
            <w:vAlign w:val="center"/>
            <w:hideMark/>
          </w:tcPr>
          <w:p w14:paraId="7B6CCA5B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Carro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5C" w14:textId="28ABD4F6" w:rsidR="005B67C0" w:rsidRPr="005B67C0" w:rsidRDefault="005B67C0" w:rsidP="0035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</w:t>
            </w:r>
            <w:r w:rsidR="00357636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3,5</w:t>
            </w: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5D" w14:textId="77777777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62,5%</w:t>
            </w:r>
          </w:p>
        </w:tc>
        <w:tc>
          <w:tcPr>
            <w:tcW w:w="742" w:type="pct"/>
            <w:vAlign w:val="center"/>
          </w:tcPr>
          <w:p w14:paraId="7B6CCA5E" w14:textId="77777777" w:rsidR="005B67C0" w:rsidRPr="00AC5FBE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3,60</w:t>
            </w:r>
          </w:p>
        </w:tc>
        <w:tc>
          <w:tcPr>
            <w:tcW w:w="2114" w:type="pct"/>
            <w:vAlign w:val="center"/>
          </w:tcPr>
          <w:p w14:paraId="7B6CCA5F" w14:textId="77777777" w:rsidR="005B67C0" w:rsidRPr="00AC5FBE" w:rsidRDefault="00AC5FBE" w:rsidP="00AC5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AC5FBE">
              <w:rPr>
                <w:rFonts w:ascii="Times New Roman" w:hAnsi="Times New Roman" w:cs="Times New Roman"/>
                <w:sz w:val="18"/>
                <w:szCs w:val="18"/>
              </w:rPr>
              <w:t>O custo por Km em transporte próprio baseou-se no preço por Km (0,36€/Km) definido na Lei n.º 66-B/2012, de 31 de dezembro de 2012, que estabelece as normas relativas ao abono de ajudas de custo e de transporte pelas deslocações em serviço público. De acordo com o estudo do acesso aos cuidados de saúde primários do SNS da Entidade Reguladora da Saúde, a quase totalidade do território continental está a menos de 30 minutos de um centro de saúde ou extensão. A população residente nas áreas não cobertas não chega a representar 0,1% da população de Portugal continental (ERS, 2009). Assumiu-se que a distância média correspondente a este intervalo de tempo era de 10 Km.</w:t>
            </w:r>
          </w:p>
        </w:tc>
      </w:tr>
      <w:tr w:rsidR="00AC5FBE" w:rsidRPr="00AC5FBE" w14:paraId="7B6CCA66" w14:textId="77777777" w:rsidTr="00B82DC0">
        <w:trPr>
          <w:trHeight w:val="537"/>
        </w:trPr>
        <w:tc>
          <w:tcPr>
            <w:tcW w:w="636" w:type="pct"/>
            <w:shd w:val="clear" w:color="auto" w:fill="auto"/>
            <w:vAlign w:val="center"/>
            <w:hideMark/>
          </w:tcPr>
          <w:p w14:paraId="7B6CCA61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A pé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62" w14:textId="77777777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0%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63" w14:textId="77777777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0%</w:t>
            </w:r>
          </w:p>
        </w:tc>
        <w:tc>
          <w:tcPr>
            <w:tcW w:w="742" w:type="pct"/>
            <w:vAlign w:val="center"/>
          </w:tcPr>
          <w:p w14:paraId="7B6CCA64" w14:textId="77777777" w:rsidR="005B67C0" w:rsidRPr="00AC5FBE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2114" w:type="pct"/>
            <w:vAlign w:val="center"/>
          </w:tcPr>
          <w:p w14:paraId="7B6CCA65" w14:textId="77777777" w:rsidR="005B67C0" w:rsidRPr="00AC5FBE" w:rsidRDefault="00AC5FBE" w:rsidP="00AC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Pressuposto</w:t>
            </w:r>
          </w:p>
        </w:tc>
      </w:tr>
      <w:tr w:rsidR="00AC5FBE" w:rsidRPr="00AC5FBE" w14:paraId="7B6CCA6C" w14:textId="77777777" w:rsidTr="00B82DC0">
        <w:trPr>
          <w:trHeight w:val="537"/>
        </w:trPr>
        <w:tc>
          <w:tcPr>
            <w:tcW w:w="636" w:type="pct"/>
            <w:shd w:val="clear" w:color="auto" w:fill="auto"/>
            <w:vAlign w:val="center"/>
            <w:hideMark/>
          </w:tcPr>
          <w:p w14:paraId="7B6CCA67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912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Ambulância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68" w14:textId="77777777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0%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69" w14:textId="161AEE14" w:rsidR="005B67C0" w:rsidRPr="005B67C0" w:rsidRDefault="005B67C0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37,5%</w:t>
            </w:r>
            <w:r w:rsidR="00B82D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*</w:t>
            </w:r>
          </w:p>
        </w:tc>
        <w:tc>
          <w:tcPr>
            <w:tcW w:w="742" w:type="pct"/>
            <w:vAlign w:val="center"/>
          </w:tcPr>
          <w:p w14:paraId="7B6CCA6A" w14:textId="1ADC9CF3" w:rsidR="005B67C0" w:rsidRPr="00AC5FBE" w:rsidRDefault="005B67C0" w:rsidP="009D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35,0</w:t>
            </w:r>
            <w:r w:rsidR="009D63E3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2114" w:type="pct"/>
            <w:vAlign w:val="center"/>
          </w:tcPr>
          <w:p w14:paraId="7B6CCA6B" w14:textId="77777777" w:rsidR="005B67C0" w:rsidRPr="00AC5FBE" w:rsidRDefault="00AC5FBE" w:rsidP="00AC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C5FBE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Contabilidade Analítica INEM 2012</w:t>
            </w:r>
          </w:p>
        </w:tc>
      </w:tr>
      <w:tr w:rsidR="00AC5FBE" w:rsidRPr="00AC5FBE" w14:paraId="7B6CCA72" w14:textId="77777777" w:rsidTr="00B82DC0">
        <w:trPr>
          <w:trHeight w:val="537"/>
        </w:trPr>
        <w:tc>
          <w:tcPr>
            <w:tcW w:w="636" w:type="pct"/>
            <w:shd w:val="clear" w:color="auto" w:fill="auto"/>
            <w:vAlign w:val="center"/>
            <w:hideMark/>
          </w:tcPr>
          <w:p w14:paraId="7B6CCA6D" w14:textId="77777777" w:rsidR="005B67C0" w:rsidRPr="005B67C0" w:rsidRDefault="005B67C0" w:rsidP="0091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5B67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Preço médio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B6CCA6E" w14:textId="61CBB3A2" w:rsidR="005B67C0" w:rsidRPr="005B67C0" w:rsidRDefault="00B82DC0" w:rsidP="00B8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bookmarkStart w:id="2" w:name="RANGE!E9"/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€</w:t>
            </w:r>
            <w:r w:rsidR="005B67C0"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5,07 </w:t>
            </w:r>
            <w:bookmarkEnd w:id="2"/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B6CCA6F" w14:textId="606C286C" w:rsidR="005B67C0" w:rsidRPr="005B67C0" w:rsidRDefault="00B82DC0" w:rsidP="00B8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bookmarkStart w:id="3" w:name="RANGE!F9"/>
            <w:r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€</w:t>
            </w:r>
            <w:r w:rsidR="005B67C0" w:rsidRPr="005B67C0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30,79 </w:t>
            </w:r>
            <w:bookmarkEnd w:id="3"/>
          </w:p>
        </w:tc>
        <w:tc>
          <w:tcPr>
            <w:tcW w:w="742" w:type="pct"/>
            <w:vAlign w:val="center"/>
          </w:tcPr>
          <w:p w14:paraId="7B6CCA70" w14:textId="7C7CB191" w:rsidR="005B67C0" w:rsidRPr="00AC5FBE" w:rsidRDefault="007D297F" w:rsidP="00AC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-</w:t>
            </w:r>
          </w:p>
        </w:tc>
        <w:tc>
          <w:tcPr>
            <w:tcW w:w="2114" w:type="pct"/>
            <w:vAlign w:val="center"/>
          </w:tcPr>
          <w:p w14:paraId="7B6CCA71" w14:textId="31E76224" w:rsidR="005B67C0" w:rsidRPr="00AC5FBE" w:rsidRDefault="00AC5FBE" w:rsidP="00AC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Calculado</w:t>
            </w:r>
            <w:r w:rsidR="00B0097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(considerando ida e volta)</w:t>
            </w:r>
          </w:p>
        </w:tc>
      </w:tr>
    </w:tbl>
    <w:p w14:paraId="7B6CCA73" w14:textId="6B2D6BCC" w:rsidR="00E033BE" w:rsidRPr="00E033BE" w:rsidRDefault="00B82DC0" w:rsidP="00B82DC0">
      <w:pPr>
        <w:jc w:val="both"/>
        <w:rPr>
          <w:rFonts w:ascii="Times New Roman" w:eastAsiaTheme="majorEastAsia" w:hAnsi="Times New Roman" w:cs="Times New Roman"/>
          <w:b/>
          <w:sz w:val="24"/>
          <w:szCs w:val="26"/>
        </w:rPr>
      </w:pPr>
      <w:r w:rsidRPr="00867024">
        <w:rPr>
          <w:rFonts w:ascii="Times New Roman" w:hAnsi="Times New Roman" w:cs="Times New Roman"/>
          <w:sz w:val="18"/>
        </w:rPr>
        <w:t>*Média de um painel de</w:t>
      </w:r>
      <w:r w:rsidR="00867024" w:rsidRPr="00867024">
        <w:rPr>
          <w:rFonts w:ascii="Times New Roman" w:hAnsi="Times New Roman" w:cs="Times New Roman"/>
          <w:sz w:val="18"/>
        </w:rPr>
        <w:t xml:space="preserve"> peritos constituídos</w:t>
      </w:r>
      <w:r w:rsidRPr="00867024">
        <w:rPr>
          <w:rFonts w:ascii="Times New Roman" w:hAnsi="Times New Roman" w:cs="Times New Roman"/>
          <w:sz w:val="18"/>
        </w:rPr>
        <w:t xml:space="preserve"> </w:t>
      </w:r>
      <w:r w:rsidR="00867024" w:rsidRPr="00867024">
        <w:rPr>
          <w:rFonts w:ascii="Times New Roman" w:hAnsi="Times New Roman" w:cs="Times New Roman"/>
          <w:sz w:val="18"/>
        </w:rPr>
        <w:t>por se</w:t>
      </w:r>
      <w:r w:rsidR="009D63E3" w:rsidRPr="00867024">
        <w:rPr>
          <w:rFonts w:ascii="Times New Roman" w:hAnsi="Times New Roman" w:cs="Times New Roman"/>
          <w:sz w:val="18"/>
        </w:rPr>
        <w:t xml:space="preserve">te </w:t>
      </w:r>
      <w:r w:rsidR="00867024" w:rsidRPr="00867024">
        <w:rPr>
          <w:rFonts w:ascii="Times New Roman" w:hAnsi="Times New Roman" w:cs="Times New Roman"/>
          <w:sz w:val="18"/>
        </w:rPr>
        <w:t>médicos de c</w:t>
      </w:r>
      <w:r w:rsidRPr="00867024">
        <w:rPr>
          <w:rFonts w:ascii="Times New Roman" w:hAnsi="Times New Roman" w:cs="Times New Roman"/>
          <w:sz w:val="18"/>
        </w:rPr>
        <w:t>uidados de saúde primários.</w:t>
      </w:r>
      <w:r>
        <w:t xml:space="preserve"> </w:t>
      </w:r>
      <w:r w:rsidRPr="00E033BE">
        <w:rPr>
          <w:rFonts w:ascii="Times New Roman" w:hAnsi="Times New Roman" w:cs="Times New Roman"/>
          <w:b/>
          <w:sz w:val="24"/>
        </w:rPr>
        <w:t xml:space="preserve"> </w:t>
      </w:r>
      <w:r w:rsidR="00E033BE" w:rsidRPr="00E033BE">
        <w:rPr>
          <w:rFonts w:ascii="Times New Roman" w:hAnsi="Times New Roman" w:cs="Times New Roman"/>
          <w:b/>
          <w:sz w:val="24"/>
        </w:rPr>
        <w:br w:type="page"/>
      </w:r>
    </w:p>
    <w:p w14:paraId="7B6CCA74" w14:textId="63E2E60D" w:rsidR="00AC5D5D" w:rsidRPr="00E033BE" w:rsidRDefault="00AC5D5D" w:rsidP="00AC5D5D">
      <w:pPr>
        <w:pStyle w:val="Ttulo2"/>
        <w:rPr>
          <w:rFonts w:ascii="Times New Roman" w:hAnsi="Times New Roman" w:cs="Times New Roman"/>
          <w:b/>
          <w:color w:val="auto"/>
          <w:sz w:val="24"/>
        </w:rPr>
      </w:pPr>
      <w:r w:rsidRPr="00E033BE">
        <w:rPr>
          <w:rFonts w:ascii="Times New Roman" w:hAnsi="Times New Roman" w:cs="Times New Roman"/>
          <w:b/>
          <w:color w:val="auto"/>
          <w:sz w:val="24"/>
        </w:rPr>
        <w:t>Quadro Suplementar S</w:t>
      </w:r>
      <w:bookmarkStart w:id="4" w:name="_Toc426046432"/>
      <w:bookmarkStart w:id="5" w:name="_Toc457226267"/>
      <w:bookmarkStart w:id="6" w:name="_Toc487648411"/>
      <w:r w:rsidR="00AC5FBE">
        <w:rPr>
          <w:rFonts w:ascii="Times New Roman" w:hAnsi="Times New Roman" w:cs="Times New Roman"/>
          <w:b/>
          <w:color w:val="auto"/>
          <w:sz w:val="24"/>
        </w:rPr>
        <w:t>4</w:t>
      </w:r>
      <w:r w:rsidRPr="00E033BE">
        <w:rPr>
          <w:rFonts w:ascii="Times New Roman" w:hAnsi="Times New Roman" w:cs="Times New Roman"/>
          <w:b/>
          <w:color w:val="auto"/>
          <w:sz w:val="24"/>
        </w:rPr>
        <w:t>:</w:t>
      </w:r>
      <w:r w:rsidR="0035781C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E033BE">
        <w:rPr>
          <w:rFonts w:ascii="Times New Roman" w:hAnsi="Times New Roman" w:cs="Times New Roman"/>
          <w:b/>
          <w:color w:val="auto"/>
          <w:sz w:val="24"/>
        </w:rPr>
        <w:t xml:space="preserve">Taxa de emprego e custo diário médio associados à perda de produtividade dos doentes com </w:t>
      </w:r>
      <w:bookmarkEnd w:id="4"/>
      <w:r w:rsidRPr="00E033BE">
        <w:rPr>
          <w:rFonts w:ascii="Times New Roman" w:hAnsi="Times New Roman" w:cs="Times New Roman"/>
          <w:b/>
          <w:color w:val="auto"/>
          <w:sz w:val="24"/>
        </w:rPr>
        <w:t>insuficiência cardíaca</w:t>
      </w:r>
      <w:r w:rsidR="001868EE" w:rsidRPr="001868EE">
        <w:t xml:space="preserve"> </w:t>
      </w:r>
      <w:r w:rsidR="001868EE" w:rsidRPr="001868EE">
        <w:rPr>
          <w:rFonts w:ascii="Times New Roman" w:hAnsi="Times New Roman" w:cs="Times New Roman"/>
          <w:b/>
          <w:color w:val="auto"/>
          <w:sz w:val="24"/>
        </w:rPr>
        <w:t>em Por</w:t>
      </w:r>
      <w:r w:rsidR="001868EE">
        <w:rPr>
          <w:rFonts w:ascii="Times New Roman" w:hAnsi="Times New Roman" w:cs="Times New Roman"/>
          <w:b/>
          <w:color w:val="auto"/>
          <w:sz w:val="24"/>
        </w:rPr>
        <w:t>tugal Continental (ano de 2014)</w:t>
      </w:r>
      <w:r w:rsidRPr="00E033BE">
        <w:rPr>
          <w:rFonts w:ascii="Times New Roman" w:hAnsi="Times New Roman" w:cs="Times New Roman"/>
          <w:b/>
          <w:color w:val="auto"/>
          <w:sz w:val="24"/>
        </w:rPr>
        <w:t>.</w:t>
      </w:r>
      <w:bookmarkEnd w:id="5"/>
      <w:bookmarkEnd w:id="6"/>
      <w:r w:rsidRPr="00E033BE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7B6CCA75" w14:textId="77777777" w:rsidR="00AC5D5D" w:rsidRPr="00E033BE" w:rsidRDefault="00AC5D5D" w:rsidP="00AC5D5D">
      <w:pPr>
        <w:rPr>
          <w:rFonts w:ascii="Times New Roman" w:hAnsi="Times New Roman" w:cs="Times New Roman"/>
        </w:rPr>
      </w:pPr>
    </w:p>
    <w:tbl>
      <w:tblPr>
        <w:tblStyle w:val="Tablaconcuadrcula"/>
        <w:tblW w:w="5174" w:type="pct"/>
        <w:tblLayout w:type="fixed"/>
        <w:tblLook w:val="04A0" w:firstRow="1" w:lastRow="0" w:firstColumn="1" w:lastColumn="0" w:noHBand="0" w:noVBand="1"/>
      </w:tblPr>
      <w:tblGrid>
        <w:gridCol w:w="3371"/>
        <w:gridCol w:w="1173"/>
        <w:gridCol w:w="1173"/>
        <w:gridCol w:w="3073"/>
      </w:tblGrid>
      <w:tr w:rsidR="00912B59" w:rsidRPr="00AC5FBE" w14:paraId="7B6CCA77" w14:textId="77777777" w:rsidTr="00B16C6A">
        <w:trPr>
          <w:trHeight w:val="300"/>
        </w:trPr>
        <w:tc>
          <w:tcPr>
            <w:tcW w:w="5000" w:type="pct"/>
            <w:gridSpan w:val="4"/>
            <w:noWrap/>
            <w:vAlign w:val="center"/>
          </w:tcPr>
          <w:p w14:paraId="7B6CCA76" w14:textId="77777777" w:rsidR="00912B59" w:rsidRPr="00AC5FBE" w:rsidRDefault="00912B59" w:rsidP="00B16C6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sz w:val="18"/>
                <w:szCs w:val="18"/>
              </w:rPr>
              <w:t>Taxa de emprego (25-64 anos)</w:t>
            </w:r>
          </w:p>
        </w:tc>
      </w:tr>
      <w:tr w:rsidR="00AC5D5D" w:rsidRPr="00AC5FBE" w14:paraId="7B6CCA7C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78" w14:textId="77777777" w:rsidR="00AC5D5D" w:rsidRPr="00AC5FBE" w:rsidRDefault="00AC5D5D" w:rsidP="00B16C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pct"/>
            <w:noWrap/>
            <w:vAlign w:val="center"/>
          </w:tcPr>
          <w:p w14:paraId="7B6CCA79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Homens</w:t>
            </w:r>
          </w:p>
        </w:tc>
        <w:tc>
          <w:tcPr>
            <w:tcW w:w="667" w:type="pct"/>
            <w:vAlign w:val="center"/>
          </w:tcPr>
          <w:p w14:paraId="7B6CCA7A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Mulheres</w:t>
            </w:r>
          </w:p>
        </w:tc>
        <w:tc>
          <w:tcPr>
            <w:tcW w:w="1748" w:type="pct"/>
            <w:vAlign w:val="center"/>
          </w:tcPr>
          <w:p w14:paraId="7B6CCA7B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Pressupostos</w:t>
            </w:r>
          </w:p>
        </w:tc>
      </w:tr>
      <w:tr w:rsidR="00AC5D5D" w:rsidRPr="00AC5FBE" w14:paraId="7B6CCA81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7D" w14:textId="77777777" w:rsidR="00AC5D5D" w:rsidRPr="00E605CD" w:rsidRDefault="001868EE" w:rsidP="00B16C6A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NYHA</w:t>
            </w:r>
            <w:r w:rsidR="00AC5D5D"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667" w:type="pct"/>
            <w:noWrap/>
            <w:vAlign w:val="center"/>
          </w:tcPr>
          <w:p w14:paraId="7B6CCA7E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73,5%</w:t>
            </w:r>
          </w:p>
        </w:tc>
        <w:tc>
          <w:tcPr>
            <w:tcW w:w="667" w:type="pct"/>
            <w:vAlign w:val="center"/>
          </w:tcPr>
          <w:p w14:paraId="7B6CCA7F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64,5%</w:t>
            </w:r>
          </w:p>
        </w:tc>
        <w:tc>
          <w:tcPr>
            <w:tcW w:w="1748" w:type="pct"/>
            <w:vAlign w:val="center"/>
          </w:tcPr>
          <w:p w14:paraId="7B6CCA80" w14:textId="15308957" w:rsidR="00AC5D5D" w:rsidRPr="00AC5FBE" w:rsidRDefault="00AC5D5D" w:rsidP="009877B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Assume-se igual à taxa de emprego da população geral</w:t>
            </w:r>
            <w:r w:rsidR="0064090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9877B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AC5D5D" w:rsidRPr="00AC5FBE" w14:paraId="7B6CCA86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82" w14:textId="77777777" w:rsidR="00AC5D5D" w:rsidRPr="00E605CD" w:rsidRDefault="001868EE" w:rsidP="00B16C6A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NYHA</w:t>
            </w:r>
            <w:r w:rsidR="00AC5D5D"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667" w:type="pct"/>
            <w:noWrap/>
            <w:vAlign w:val="center"/>
          </w:tcPr>
          <w:p w14:paraId="7B6CCA83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39,2%</w:t>
            </w:r>
          </w:p>
        </w:tc>
        <w:tc>
          <w:tcPr>
            <w:tcW w:w="667" w:type="pct"/>
            <w:vAlign w:val="center"/>
          </w:tcPr>
          <w:p w14:paraId="7B6CCA84" w14:textId="77777777" w:rsidR="00AC5D5D" w:rsidRPr="00AC5FBE" w:rsidRDefault="00AC5D5D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1748" w:type="pct"/>
            <w:vAlign w:val="center"/>
          </w:tcPr>
          <w:p w14:paraId="7B6CCA85" w14:textId="33D6917B" w:rsidR="00AC5D5D" w:rsidRPr="00AC5FBE" w:rsidRDefault="00AC5D5D" w:rsidP="008C06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Assume-se igual à taxa de emprego dos doentes com EAM</w:t>
            </w:r>
            <w:r w:rsidR="009877B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8C062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="00136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C5FBE" w:rsidRPr="00AC5FBE" w14:paraId="7B6CCA88" w14:textId="77777777" w:rsidTr="00B16C6A">
        <w:trPr>
          <w:trHeight w:val="300"/>
        </w:trPr>
        <w:tc>
          <w:tcPr>
            <w:tcW w:w="5000" w:type="pct"/>
            <w:gridSpan w:val="4"/>
            <w:noWrap/>
            <w:vAlign w:val="center"/>
          </w:tcPr>
          <w:p w14:paraId="7B6CCA87" w14:textId="77777777" w:rsidR="00AC5FBE" w:rsidRPr="00E605CD" w:rsidRDefault="00AC5FBE" w:rsidP="00B16C6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Custo diário médio por trabalhador (25-64 anos)</w:t>
            </w:r>
          </w:p>
        </w:tc>
      </w:tr>
      <w:tr w:rsidR="00912B59" w:rsidRPr="00AC5FBE" w14:paraId="7B6CCA8D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89" w14:textId="77777777" w:rsidR="00912B59" w:rsidRPr="00E605CD" w:rsidRDefault="00912B59" w:rsidP="00B16C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pct"/>
            <w:noWrap/>
            <w:vAlign w:val="center"/>
          </w:tcPr>
          <w:p w14:paraId="7B6CCA8A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Homens</w:t>
            </w:r>
          </w:p>
        </w:tc>
        <w:tc>
          <w:tcPr>
            <w:tcW w:w="667" w:type="pct"/>
            <w:vAlign w:val="center"/>
          </w:tcPr>
          <w:p w14:paraId="7B6CCA8B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Mulheres</w:t>
            </w:r>
          </w:p>
        </w:tc>
        <w:tc>
          <w:tcPr>
            <w:tcW w:w="1748" w:type="pct"/>
            <w:vAlign w:val="center"/>
          </w:tcPr>
          <w:p w14:paraId="7B6CCA8C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Pressupostos</w:t>
            </w:r>
          </w:p>
        </w:tc>
      </w:tr>
      <w:tr w:rsidR="00912B59" w:rsidRPr="00AC5FBE" w14:paraId="7B6CCA92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8E" w14:textId="77777777" w:rsidR="00912B59" w:rsidRPr="00E605CD" w:rsidRDefault="00912B59" w:rsidP="00B16C6A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Absenteísmo por consultas, MCDT e urgências*</w:t>
            </w:r>
          </w:p>
        </w:tc>
        <w:tc>
          <w:tcPr>
            <w:tcW w:w="667" w:type="pct"/>
            <w:noWrap/>
            <w:vAlign w:val="center"/>
          </w:tcPr>
          <w:p w14:paraId="7B6CCA8F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€ 93,87</w:t>
            </w:r>
          </w:p>
        </w:tc>
        <w:tc>
          <w:tcPr>
            <w:tcW w:w="667" w:type="pct"/>
            <w:vAlign w:val="center"/>
          </w:tcPr>
          <w:p w14:paraId="7B6CCA90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€ 73,64</w:t>
            </w:r>
          </w:p>
        </w:tc>
        <w:tc>
          <w:tcPr>
            <w:tcW w:w="1748" w:type="pct"/>
            <w:vAlign w:val="center"/>
          </w:tcPr>
          <w:p w14:paraId="7B6CCA91" w14:textId="77777777" w:rsidR="00912B59" w:rsidRPr="00AC5FBE" w:rsidRDefault="00912B59" w:rsidP="00B16C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sz w:val="18"/>
                <w:szCs w:val="18"/>
              </w:rPr>
              <w:t xml:space="preserve">Estima-se que 50% das urgências são em período laboral. </w:t>
            </w:r>
          </w:p>
        </w:tc>
      </w:tr>
      <w:tr w:rsidR="00912B59" w:rsidRPr="00AC5FBE" w14:paraId="7B6CCA97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93" w14:textId="77777777" w:rsidR="00912B59" w:rsidRPr="00E605CD" w:rsidRDefault="00912B59" w:rsidP="00B16C6A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>Absenteísmo por internamento/convalescença*</w:t>
            </w:r>
          </w:p>
        </w:tc>
        <w:tc>
          <w:tcPr>
            <w:tcW w:w="667" w:type="pct"/>
            <w:noWrap/>
            <w:vAlign w:val="center"/>
          </w:tcPr>
          <w:p w14:paraId="7B6CCA94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€ 59,11</w:t>
            </w:r>
          </w:p>
        </w:tc>
        <w:tc>
          <w:tcPr>
            <w:tcW w:w="667" w:type="pct"/>
            <w:vAlign w:val="center"/>
          </w:tcPr>
          <w:p w14:paraId="7B6CCA95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€ 46,37</w:t>
            </w:r>
          </w:p>
        </w:tc>
        <w:tc>
          <w:tcPr>
            <w:tcW w:w="1748" w:type="pct"/>
            <w:vAlign w:val="center"/>
          </w:tcPr>
          <w:p w14:paraId="7B6CCA96" w14:textId="625DBF05" w:rsidR="00912B59" w:rsidRPr="00AC5FBE" w:rsidRDefault="00912B59" w:rsidP="009877B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convalescença t</w:t>
            </w:r>
            <w:r w:rsidR="00652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 a mesma duração que o internamento</w:t>
            </w:r>
            <w:r w:rsidR="0064090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="009877B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136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912B59" w:rsidRPr="00AC5FBE" w14:paraId="7B6CCA9C" w14:textId="77777777" w:rsidTr="00B16C6A">
        <w:trPr>
          <w:trHeight w:val="300"/>
        </w:trPr>
        <w:tc>
          <w:tcPr>
            <w:tcW w:w="1918" w:type="pct"/>
            <w:noWrap/>
            <w:vAlign w:val="center"/>
          </w:tcPr>
          <w:p w14:paraId="7B6CCA98" w14:textId="3EBAF75C" w:rsidR="00912B59" w:rsidRPr="00E605CD" w:rsidRDefault="00912B59" w:rsidP="00652838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Não participação </w:t>
            </w:r>
            <w:r w:rsidR="00136227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 </w:t>
            </w:r>
            <w:r w:rsidR="00652838">
              <w:rPr>
                <w:rFonts w:ascii="Times New Roman" w:hAnsi="Times New Roman" w:cs="Times New Roman"/>
                <w:b/>
                <w:sz w:val="18"/>
                <w:szCs w:val="18"/>
              </w:rPr>
              <w:t>mercado de</w:t>
            </w:r>
            <w:r w:rsidRPr="00E605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trabalho</w:t>
            </w:r>
          </w:p>
        </w:tc>
        <w:tc>
          <w:tcPr>
            <w:tcW w:w="667" w:type="pct"/>
            <w:noWrap/>
            <w:vAlign w:val="center"/>
          </w:tcPr>
          <w:p w14:paraId="7B6CCA99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€ 59,11</w:t>
            </w:r>
          </w:p>
        </w:tc>
        <w:tc>
          <w:tcPr>
            <w:tcW w:w="667" w:type="pct"/>
            <w:vAlign w:val="center"/>
          </w:tcPr>
          <w:p w14:paraId="7B6CCA9A" w14:textId="77777777" w:rsidR="00912B59" w:rsidRPr="00AC5FBE" w:rsidRDefault="00912B59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5F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€ 46,37</w:t>
            </w:r>
          </w:p>
        </w:tc>
        <w:tc>
          <w:tcPr>
            <w:tcW w:w="1748" w:type="pct"/>
            <w:vAlign w:val="center"/>
          </w:tcPr>
          <w:p w14:paraId="7B6CCA9B" w14:textId="478FD848" w:rsidR="00912B59" w:rsidRPr="00AC5FBE" w:rsidRDefault="00B16C6A" w:rsidP="009877B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Apenas em doentes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NYHA III 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 &lt;65 anos. A participação no mercado de trabalho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dos doentes com IC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assume-se igual à dos doentes com história de </w:t>
            </w:r>
            <w:r w:rsidR="00652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EAM</w:t>
            </w:r>
            <w:r w:rsidR="0064090A" w:rsidRPr="0064090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9877B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A não participação </w:t>
            </w:r>
            <w:r w:rsidR="00652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mercado d</w:t>
            </w:r>
            <w:r w:rsidR="00652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trabalho é estimada com base na 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diferença entre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taxa de emprego da população com EAM e sem EAM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 a mesma distribuição por sexo e grupo etário</w:t>
            </w:r>
            <w:r w:rsidR="0064090A" w:rsidRPr="0064090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9877B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B1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7B6CCA9D" w14:textId="77777777" w:rsidR="00AC5D5D" w:rsidRDefault="00AC5D5D" w:rsidP="00AC5D5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C5FBE">
        <w:rPr>
          <w:rFonts w:ascii="Times New Roman" w:hAnsi="Times New Roman" w:cs="Times New Roman"/>
          <w:sz w:val="18"/>
          <w:szCs w:val="18"/>
        </w:rPr>
        <w:t>* No caso do absenteísmo relacionado com o internamento/convalescença consultas ou urgência, o salário médio anual divide-se por 365</w:t>
      </w:r>
      <w:r w:rsidR="003943AA" w:rsidRPr="00AC5FBE">
        <w:rPr>
          <w:rFonts w:ascii="Times New Roman" w:hAnsi="Times New Roman" w:cs="Times New Roman"/>
          <w:sz w:val="18"/>
          <w:szCs w:val="18"/>
        </w:rPr>
        <w:t xml:space="preserve"> dado que e</w:t>
      </w:r>
      <w:r w:rsidRPr="00AC5FBE">
        <w:rPr>
          <w:rFonts w:ascii="Times New Roman" w:hAnsi="Times New Roman" w:cs="Times New Roman"/>
          <w:sz w:val="18"/>
          <w:szCs w:val="18"/>
        </w:rPr>
        <w:t>stes eventos podem ocorrer em qualquer dia da semana</w:t>
      </w:r>
      <w:r w:rsidR="00F92576" w:rsidRPr="00AC5FBE">
        <w:rPr>
          <w:rFonts w:ascii="Times New Roman" w:hAnsi="Times New Roman" w:cs="Times New Roman"/>
          <w:sz w:val="18"/>
          <w:szCs w:val="18"/>
        </w:rPr>
        <w:t>. Nos outros casos consideram-se 230 dias úteis por ano.</w:t>
      </w:r>
    </w:p>
    <w:p w14:paraId="6315B3B6" w14:textId="60977532" w:rsidR="00357636" w:rsidRPr="00E71C13" w:rsidRDefault="00357636" w:rsidP="00AC5D5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71C13">
        <w:rPr>
          <w:rFonts w:ascii="Times New Roman" w:hAnsi="Times New Roman" w:cs="Times New Roman"/>
          <w:sz w:val="18"/>
          <w:szCs w:val="18"/>
        </w:rPr>
        <w:t>NYHA:</w:t>
      </w:r>
      <w:r w:rsidR="00E71C13" w:rsidRPr="00E71C13">
        <w:rPr>
          <w:rFonts w:ascii="Times New Roman" w:hAnsi="Times New Roman" w:cs="Times New Roman"/>
          <w:sz w:val="18"/>
          <w:szCs w:val="18"/>
        </w:rPr>
        <w:t xml:space="preserve"> </w:t>
      </w:r>
      <w:r w:rsidR="00E71C13" w:rsidRPr="00E71C13">
        <w:rPr>
          <w:rFonts w:ascii="Times New Roman" w:hAnsi="Times New Roman" w:cs="Times New Roman"/>
          <w:i/>
          <w:sz w:val="18"/>
          <w:szCs w:val="18"/>
        </w:rPr>
        <w:t xml:space="preserve">New York Heart Association; </w:t>
      </w:r>
      <w:r w:rsidRPr="00E71C13">
        <w:rPr>
          <w:rFonts w:ascii="Times New Roman" w:hAnsi="Times New Roman" w:cs="Times New Roman"/>
          <w:sz w:val="18"/>
          <w:szCs w:val="18"/>
        </w:rPr>
        <w:t>MCDT</w:t>
      </w:r>
      <w:r w:rsidR="00E71C13" w:rsidRPr="00E71C13">
        <w:rPr>
          <w:rFonts w:ascii="Times New Roman" w:hAnsi="Times New Roman" w:cs="Times New Roman"/>
          <w:sz w:val="18"/>
          <w:szCs w:val="18"/>
        </w:rPr>
        <w:t xml:space="preserve">: Meios Complementares de Diagnóstico e Terapêutica; </w:t>
      </w:r>
      <w:r w:rsidRPr="00E71C13">
        <w:rPr>
          <w:rFonts w:ascii="Times New Roman" w:hAnsi="Times New Roman" w:cs="Times New Roman"/>
          <w:sz w:val="18"/>
          <w:szCs w:val="18"/>
        </w:rPr>
        <w:t>EAM</w:t>
      </w:r>
      <w:r w:rsidR="00E71C13" w:rsidRPr="00E71C13">
        <w:rPr>
          <w:rFonts w:ascii="Times New Roman" w:hAnsi="Times New Roman" w:cs="Times New Roman"/>
          <w:sz w:val="18"/>
          <w:szCs w:val="18"/>
        </w:rPr>
        <w:t>: Enfarte Agudo do Miocardio;</w:t>
      </w:r>
      <w:r w:rsidRPr="00E71C13">
        <w:rPr>
          <w:rFonts w:ascii="Times New Roman" w:hAnsi="Times New Roman" w:cs="Times New Roman"/>
          <w:sz w:val="18"/>
          <w:szCs w:val="18"/>
        </w:rPr>
        <w:t xml:space="preserve"> INS</w:t>
      </w:r>
      <w:r w:rsidR="00E71C13" w:rsidRPr="00E71C13">
        <w:rPr>
          <w:rFonts w:ascii="Times New Roman" w:hAnsi="Times New Roman" w:cs="Times New Roman"/>
          <w:sz w:val="18"/>
          <w:szCs w:val="18"/>
        </w:rPr>
        <w:t>: Inquérito National de Saúde</w:t>
      </w:r>
    </w:p>
    <w:p w14:paraId="7B6CCA9E" w14:textId="07FAB6C1" w:rsidR="00AC5D5D" w:rsidRPr="00AC5FBE" w:rsidRDefault="00AC5D5D" w:rsidP="00AC5D5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C5FBE">
        <w:rPr>
          <w:rFonts w:ascii="Times New Roman" w:hAnsi="Times New Roman" w:cs="Times New Roman"/>
          <w:sz w:val="18"/>
          <w:szCs w:val="18"/>
        </w:rPr>
        <w:t>Fonte: estimativa dos autores com base no INS 2014</w:t>
      </w:r>
      <w:r w:rsidR="00A9278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9877B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C5FBE">
        <w:rPr>
          <w:rFonts w:ascii="Times New Roman" w:hAnsi="Times New Roman" w:cs="Times New Roman"/>
          <w:sz w:val="18"/>
          <w:szCs w:val="18"/>
        </w:rPr>
        <w:t xml:space="preserve"> e no Boletim Estatístico de agosto de 2015, Gabinete de Estratégia e Planeamento do Ministério do Trabalho, Solid</w:t>
      </w:r>
      <w:r w:rsidR="001868EE" w:rsidRPr="00AC5FBE">
        <w:rPr>
          <w:rFonts w:ascii="Times New Roman" w:hAnsi="Times New Roman" w:cs="Times New Roman"/>
          <w:sz w:val="18"/>
          <w:szCs w:val="18"/>
        </w:rPr>
        <w:t>ariedade e da Segurança Social</w:t>
      </w:r>
      <w:r w:rsidR="00A9278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9877B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1868EE" w:rsidRPr="00AC5FBE">
        <w:rPr>
          <w:rFonts w:ascii="Times New Roman" w:hAnsi="Times New Roman" w:cs="Times New Roman"/>
          <w:sz w:val="18"/>
          <w:szCs w:val="18"/>
        </w:rPr>
        <w:t>.</w:t>
      </w:r>
    </w:p>
    <w:p w14:paraId="7B6CCA9F" w14:textId="77777777" w:rsidR="00AC5D5D" w:rsidRPr="00E033BE" w:rsidRDefault="00AC5D5D" w:rsidP="00AC5D5D">
      <w:pPr>
        <w:tabs>
          <w:tab w:val="left" w:pos="142"/>
        </w:tabs>
        <w:rPr>
          <w:rFonts w:ascii="Times New Roman" w:hAnsi="Times New Roman" w:cs="Times New Roman"/>
        </w:rPr>
      </w:pPr>
    </w:p>
    <w:p w14:paraId="7B6CCAA0" w14:textId="77777777" w:rsidR="00AC5D5D" w:rsidRPr="00E033BE" w:rsidRDefault="00AC5D5D" w:rsidP="00AC5D5D">
      <w:pPr>
        <w:rPr>
          <w:rFonts w:ascii="Times New Roman" w:hAnsi="Times New Roman" w:cs="Times New Roman"/>
          <w:lang w:eastAsia="fr-FR"/>
        </w:rPr>
      </w:pPr>
    </w:p>
    <w:p w14:paraId="7B6CCAA1" w14:textId="77777777" w:rsidR="00AC5D5D" w:rsidRPr="00E033BE" w:rsidRDefault="00AC5D5D">
      <w:pPr>
        <w:rPr>
          <w:rFonts w:ascii="Times New Roman" w:hAnsi="Times New Roman" w:cs="Times New Roman"/>
          <w:b/>
        </w:rPr>
      </w:pPr>
      <w:r w:rsidRPr="00E033BE">
        <w:rPr>
          <w:rFonts w:ascii="Times New Roman" w:hAnsi="Times New Roman" w:cs="Times New Roman"/>
          <w:b/>
        </w:rPr>
        <w:br w:type="page"/>
      </w:r>
    </w:p>
    <w:p w14:paraId="7B6CCAA2" w14:textId="23569FDA" w:rsidR="00FC497E" w:rsidRDefault="00FC497E" w:rsidP="00FC497E">
      <w:pPr>
        <w:pStyle w:val="Ttulo2"/>
        <w:rPr>
          <w:rFonts w:ascii="Times New Roman" w:hAnsi="Times New Roman" w:cs="Times New Roman"/>
          <w:b/>
          <w:color w:val="auto"/>
        </w:rPr>
      </w:pPr>
      <w:r w:rsidRPr="00E033BE">
        <w:rPr>
          <w:rFonts w:ascii="Times New Roman" w:hAnsi="Times New Roman" w:cs="Times New Roman"/>
          <w:b/>
          <w:color w:val="auto"/>
        </w:rPr>
        <w:t>Quadro Suplementar S</w:t>
      </w:r>
      <w:r w:rsidR="00A9278A">
        <w:rPr>
          <w:rFonts w:ascii="Times New Roman" w:hAnsi="Times New Roman" w:cs="Times New Roman"/>
          <w:b/>
          <w:color w:val="auto"/>
        </w:rPr>
        <w:t>5</w:t>
      </w:r>
      <w:r w:rsidR="005D4166">
        <w:rPr>
          <w:rFonts w:ascii="Times New Roman" w:hAnsi="Times New Roman" w:cs="Times New Roman"/>
          <w:b/>
          <w:color w:val="auto"/>
        </w:rPr>
        <w:t>:</w:t>
      </w:r>
      <w:r w:rsidRPr="00E033BE">
        <w:rPr>
          <w:rFonts w:ascii="Times New Roman" w:hAnsi="Times New Roman" w:cs="Times New Roman"/>
          <w:b/>
          <w:color w:val="auto"/>
        </w:rPr>
        <w:t xml:space="preserve"> </w:t>
      </w:r>
      <w:r w:rsidRPr="001868EE">
        <w:rPr>
          <w:rFonts w:ascii="Times New Roman" w:hAnsi="Times New Roman" w:cs="Times New Roman"/>
          <w:b/>
          <w:color w:val="auto"/>
        </w:rPr>
        <w:t xml:space="preserve">Distribuição da prevalência de </w:t>
      </w:r>
      <w:r w:rsidR="00C5463B" w:rsidRPr="001868EE">
        <w:rPr>
          <w:rFonts w:ascii="Times New Roman" w:hAnsi="Times New Roman" w:cs="Times New Roman"/>
          <w:b/>
          <w:color w:val="auto"/>
        </w:rPr>
        <w:t>i</w:t>
      </w:r>
      <w:r w:rsidRPr="001868EE">
        <w:rPr>
          <w:rFonts w:ascii="Times New Roman" w:hAnsi="Times New Roman" w:cs="Times New Roman"/>
          <w:b/>
          <w:color w:val="auto"/>
        </w:rPr>
        <w:t xml:space="preserve">nsuficiência cardíaca por sexo, grupo etário em Portugal Continental </w:t>
      </w:r>
      <w:r w:rsidR="001868EE" w:rsidRPr="001868EE">
        <w:rPr>
          <w:rFonts w:ascii="Times New Roman" w:hAnsi="Times New Roman" w:cs="Times New Roman"/>
          <w:b/>
          <w:color w:val="auto"/>
        </w:rPr>
        <w:t xml:space="preserve">(ano de </w:t>
      </w:r>
      <w:r w:rsidRPr="001868EE">
        <w:rPr>
          <w:rFonts w:ascii="Times New Roman" w:hAnsi="Times New Roman" w:cs="Times New Roman"/>
          <w:b/>
          <w:color w:val="auto"/>
        </w:rPr>
        <w:t>2014</w:t>
      </w:r>
      <w:r w:rsidR="001868EE" w:rsidRPr="001868EE">
        <w:rPr>
          <w:rFonts w:ascii="Times New Roman" w:hAnsi="Times New Roman" w:cs="Times New Roman"/>
          <w:b/>
          <w:color w:val="auto"/>
        </w:rPr>
        <w:t>)</w:t>
      </w:r>
      <w:r w:rsidRPr="001868EE">
        <w:rPr>
          <w:rFonts w:ascii="Times New Roman" w:hAnsi="Times New Roman" w:cs="Times New Roman"/>
          <w:b/>
          <w:color w:val="auto"/>
        </w:rPr>
        <w:t xml:space="preserve">. </w:t>
      </w:r>
    </w:p>
    <w:p w14:paraId="7B6CCAA3" w14:textId="77777777" w:rsidR="001868EE" w:rsidRPr="001868EE" w:rsidRDefault="001868EE" w:rsidP="001868EE">
      <w:pPr>
        <w:rPr>
          <w:rFonts w:ascii="Times New Roman" w:eastAsiaTheme="majorEastAsia" w:hAnsi="Times New Roman" w:cs="Times New Roman"/>
          <w:b/>
          <w:sz w:val="26"/>
          <w:szCs w:val="2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9"/>
        <w:gridCol w:w="1107"/>
        <w:gridCol w:w="1108"/>
        <w:gridCol w:w="1113"/>
        <w:gridCol w:w="1111"/>
        <w:gridCol w:w="1108"/>
        <w:gridCol w:w="1108"/>
      </w:tblGrid>
      <w:tr w:rsidR="00FC497E" w:rsidRPr="00E605CD" w14:paraId="7B6CCAA8" w14:textId="77777777" w:rsidTr="00B16C6A">
        <w:trPr>
          <w:trHeight w:val="300"/>
        </w:trPr>
        <w:tc>
          <w:tcPr>
            <w:tcW w:w="1083" w:type="pct"/>
            <w:vMerge w:val="restart"/>
            <w:noWrap/>
            <w:vAlign w:val="center"/>
            <w:hideMark/>
          </w:tcPr>
          <w:p w14:paraId="7B6CCAA4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Grupo etário (anos)</w:t>
            </w:r>
          </w:p>
        </w:tc>
        <w:tc>
          <w:tcPr>
            <w:tcW w:w="1304" w:type="pct"/>
            <w:gridSpan w:val="2"/>
            <w:vAlign w:val="center"/>
          </w:tcPr>
          <w:p w14:paraId="7B6CCAA5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Homens</w:t>
            </w:r>
          </w:p>
        </w:tc>
        <w:tc>
          <w:tcPr>
            <w:tcW w:w="1309" w:type="pct"/>
            <w:gridSpan w:val="2"/>
            <w:noWrap/>
            <w:vAlign w:val="center"/>
            <w:hideMark/>
          </w:tcPr>
          <w:p w14:paraId="7B6CCAA6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Mulheres</w:t>
            </w:r>
          </w:p>
        </w:tc>
        <w:tc>
          <w:tcPr>
            <w:tcW w:w="1304" w:type="pct"/>
            <w:gridSpan w:val="2"/>
            <w:vAlign w:val="center"/>
          </w:tcPr>
          <w:p w14:paraId="7B6CCAA7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FC497E" w:rsidRPr="00E605CD" w14:paraId="7B6CCAB0" w14:textId="77777777" w:rsidTr="00B16C6A">
        <w:trPr>
          <w:trHeight w:val="300"/>
        </w:trPr>
        <w:tc>
          <w:tcPr>
            <w:tcW w:w="1083" w:type="pct"/>
            <w:vMerge/>
            <w:noWrap/>
            <w:vAlign w:val="center"/>
          </w:tcPr>
          <w:p w14:paraId="7B6CCAA9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vAlign w:val="center"/>
          </w:tcPr>
          <w:p w14:paraId="7B6CCAAA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52" w:type="pct"/>
            <w:noWrap/>
            <w:vAlign w:val="center"/>
          </w:tcPr>
          <w:p w14:paraId="7B6CCAAB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Taxa</w:t>
            </w:r>
          </w:p>
        </w:tc>
        <w:tc>
          <w:tcPr>
            <w:tcW w:w="655" w:type="pct"/>
            <w:noWrap/>
            <w:vAlign w:val="center"/>
          </w:tcPr>
          <w:p w14:paraId="7B6CCAAC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54" w:type="pct"/>
            <w:vAlign w:val="center"/>
          </w:tcPr>
          <w:p w14:paraId="7B6CCAAD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Taxa</w:t>
            </w:r>
          </w:p>
        </w:tc>
        <w:tc>
          <w:tcPr>
            <w:tcW w:w="652" w:type="pct"/>
            <w:vAlign w:val="center"/>
          </w:tcPr>
          <w:p w14:paraId="7B6CCAAE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52" w:type="pct"/>
            <w:vAlign w:val="center"/>
          </w:tcPr>
          <w:p w14:paraId="7B6CCAAF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Taxa</w:t>
            </w:r>
          </w:p>
        </w:tc>
      </w:tr>
      <w:tr w:rsidR="00FC497E" w:rsidRPr="00E605CD" w14:paraId="7B6CCAB8" w14:textId="77777777" w:rsidTr="00B16C6A">
        <w:trPr>
          <w:trHeight w:val="300"/>
        </w:trPr>
        <w:tc>
          <w:tcPr>
            <w:tcW w:w="1083" w:type="pct"/>
            <w:noWrap/>
            <w:vAlign w:val="center"/>
            <w:hideMark/>
          </w:tcPr>
          <w:p w14:paraId="7B6CCAB1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652" w:type="pct"/>
            <w:vAlign w:val="center"/>
          </w:tcPr>
          <w:p w14:paraId="7B6CCAB2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29.254</w:t>
            </w:r>
          </w:p>
        </w:tc>
        <w:tc>
          <w:tcPr>
            <w:tcW w:w="652" w:type="pct"/>
            <w:noWrap/>
            <w:vAlign w:val="center"/>
          </w:tcPr>
          <w:p w14:paraId="7B6CCAB3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655" w:type="pct"/>
            <w:noWrap/>
            <w:vAlign w:val="center"/>
          </w:tcPr>
          <w:p w14:paraId="7B6CCAB4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16.889</w:t>
            </w:r>
          </w:p>
        </w:tc>
        <w:tc>
          <w:tcPr>
            <w:tcW w:w="654" w:type="pct"/>
            <w:vAlign w:val="center"/>
          </w:tcPr>
          <w:p w14:paraId="7B6CCAB5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652" w:type="pct"/>
            <w:vAlign w:val="center"/>
          </w:tcPr>
          <w:p w14:paraId="7B6CCAB6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46.143</w:t>
            </w:r>
          </w:p>
        </w:tc>
        <w:tc>
          <w:tcPr>
            <w:tcW w:w="652" w:type="pct"/>
            <w:vAlign w:val="center"/>
          </w:tcPr>
          <w:p w14:paraId="7B6CCAB7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1,4%</w:t>
            </w:r>
          </w:p>
        </w:tc>
      </w:tr>
      <w:tr w:rsidR="00FC497E" w:rsidRPr="00E605CD" w14:paraId="7B6CCAC0" w14:textId="77777777" w:rsidTr="00B16C6A">
        <w:trPr>
          <w:trHeight w:val="300"/>
        </w:trPr>
        <w:tc>
          <w:tcPr>
            <w:tcW w:w="1083" w:type="pct"/>
            <w:noWrap/>
            <w:vAlign w:val="center"/>
            <w:hideMark/>
          </w:tcPr>
          <w:p w14:paraId="7B6CCAB9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652" w:type="pct"/>
            <w:vAlign w:val="center"/>
          </w:tcPr>
          <w:p w14:paraId="7B6CCABA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14.473</w:t>
            </w:r>
          </w:p>
        </w:tc>
        <w:tc>
          <w:tcPr>
            <w:tcW w:w="652" w:type="pct"/>
            <w:noWrap/>
            <w:vAlign w:val="center"/>
          </w:tcPr>
          <w:p w14:paraId="7B6CCABB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655" w:type="pct"/>
            <w:noWrap/>
            <w:vAlign w:val="center"/>
          </w:tcPr>
          <w:p w14:paraId="7B6CCABC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25.954</w:t>
            </w:r>
          </w:p>
        </w:tc>
        <w:tc>
          <w:tcPr>
            <w:tcW w:w="654" w:type="pct"/>
            <w:vAlign w:val="center"/>
          </w:tcPr>
          <w:p w14:paraId="7B6CCABD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652" w:type="pct"/>
            <w:vAlign w:val="center"/>
          </w:tcPr>
          <w:p w14:paraId="7B6CCABE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40.427</w:t>
            </w:r>
          </w:p>
        </w:tc>
        <w:tc>
          <w:tcPr>
            <w:tcW w:w="652" w:type="pct"/>
            <w:vAlign w:val="center"/>
          </w:tcPr>
          <w:p w14:paraId="7B6CCABF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</w:tr>
      <w:tr w:rsidR="00FC497E" w:rsidRPr="00E605CD" w14:paraId="7B6CCAC8" w14:textId="77777777" w:rsidTr="00B16C6A">
        <w:trPr>
          <w:trHeight w:val="300"/>
        </w:trPr>
        <w:tc>
          <w:tcPr>
            <w:tcW w:w="1083" w:type="pct"/>
            <w:noWrap/>
            <w:vAlign w:val="center"/>
            <w:hideMark/>
          </w:tcPr>
          <w:p w14:paraId="7B6CCAC1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52" w:type="pct"/>
            <w:vAlign w:val="center"/>
          </w:tcPr>
          <w:p w14:paraId="7B6CCAC2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44.522</w:t>
            </w:r>
          </w:p>
        </w:tc>
        <w:tc>
          <w:tcPr>
            <w:tcW w:w="652" w:type="pct"/>
            <w:noWrap/>
            <w:vAlign w:val="center"/>
          </w:tcPr>
          <w:p w14:paraId="7B6CCAC3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8,1%</w:t>
            </w:r>
          </w:p>
        </w:tc>
        <w:tc>
          <w:tcPr>
            <w:tcW w:w="655" w:type="pct"/>
            <w:noWrap/>
            <w:vAlign w:val="center"/>
          </w:tcPr>
          <w:p w14:paraId="7B6CCAC4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45.945</w:t>
            </w:r>
          </w:p>
        </w:tc>
        <w:tc>
          <w:tcPr>
            <w:tcW w:w="654" w:type="pct"/>
            <w:vAlign w:val="center"/>
          </w:tcPr>
          <w:p w14:paraId="7B6CCAC5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652" w:type="pct"/>
            <w:vAlign w:val="center"/>
          </w:tcPr>
          <w:p w14:paraId="7B6CCAC6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90.468</w:t>
            </w:r>
          </w:p>
        </w:tc>
        <w:tc>
          <w:tcPr>
            <w:tcW w:w="652" w:type="pct"/>
            <w:vAlign w:val="center"/>
          </w:tcPr>
          <w:p w14:paraId="7B6CCAC7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7,6%</w:t>
            </w:r>
          </w:p>
        </w:tc>
      </w:tr>
      <w:tr w:rsidR="00FC497E" w:rsidRPr="00E605CD" w14:paraId="7B6CCAD0" w14:textId="77777777" w:rsidTr="00B16C6A">
        <w:trPr>
          <w:trHeight w:val="300"/>
        </w:trPr>
        <w:tc>
          <w:tcPr>
            <w:tcW w:w="1083" w:type="pct"/>
            <w:noWrap/>
            <w:vAlign w:val="center"/>
            <w:hideMark/>
          </w:tcPr>
          <w:p w14:paraId="7B6CCAC9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70-79</w:t>
            </w:r>
          </w:p>
        </w:tc>
        <w:tc>
          <w:tcPr>
            <w:tcW w:w="652" w:type="pct"/>
            <w:vAlign w:val="center"/>
          </w:tcPr>
          <w:p w14:paraId="7B6CCACA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55.008</w:t>
            </w:r>
          </w:p>
        </w:tc>
        <w:tc>
          <w:tcPr>
            <w:tcW w:w="652" w:type="pct"/>
            <w:noWrap/>
            <w:vAlign w:val="center"/>
          </w:tcPr>
          <w:p w14:paraId="7B6CCACB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655" w:type="pct"/>
            <w:noWrap/>
            <w:vAlign w:val="center"/>
          </w:tcPr>
          <w:p w14:paraId="7B6CCACC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58.118</w:t>
            </w:r>
          </w:p>
        </w:tc>
        <w:tc>
          <w:tcPr>
            <w:tcW w:w="654" w:type="pct"/>
            <w:vAlign w:val="center"/>
          </w:tcPr>
          <w:p w14:paraId="7B6CCACD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652" w:type="pct"/>
            <w:vAlign w:val="center"/>
          </w:tcPr>
          <w:p w14:paraId="7B6CCACE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113.126</w:t>
            </w:r>
          </w:p>
        </w:tc>
        <w:tc>
          <w:tcPr>
            <w:tcW w:w="652" w:type="pct"/>
            <w:vAlign w:val="center"/>
          </w:tcPr>
          <w:p w14:paraId="7B6CCACF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12,7%</w:t>
            </w:r>
          </w:p>
        </w:tc>
      </w:tr>
      <w:tr w:rsidR="00FC497E" w:rsidRPr="00E605CD" w14:paraId="7B6CCAD8" w14:textId="77777777" w:rsidTr="00B16C6A">
        <w:trPr>
          <w:trHeight w:val="300"/>
        </w:trPr>
        <w:tc>
          <w:tcPr>
            <w:tcW w:w="1083" w:type="pct"/>
            <w:noWrap/>
            <w:vAlign w:val="center"/>
            <w:hideMark/>
          </w:tcPr>
          <w:p w14:paraId="7B6CCAD1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80+</w:t>
            </w:r>
          </w:p>
        </w:tc>
        <w:tc>
          <w:tcPr>
            <w:tcW w:w="652" w:type="pct"/>
            <w:vAlign w:val="center"/>
          </w:tcPr>
          <w:p w14:paraId="7B6CCAD2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29.552</w:t>
            </w:r>
          </w:p>
        </w:tc>
        <w:tc>
          <w:tcPr>
            <w:tcW w:w="652" w:type="pct"/>
            <w:noWrap/>
            <w:vAlign w:val="center"/>
          </w:tcPr>
          <w:p w14:paraId="7B6CCAD3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655" w:type="pct"/>
            <w:noWrap/>
            <w:vAlign w:val="center"/>
          </w:tcPr>
          <w:p w14:paraId="7B6CCAD4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63.328</w:t>
            </w:r>
          </w:p>
        </w:tc>
        <w:tc>
          <w:tcPr>
            <w:tcW w:w="654" w:type="pct"/>
            <w:vAlign w:val="center"/>
          </w:tcPr>
          <w:p w14:paraId="7B6CCAD5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652" w:type="pct"/>
            <w:vAlign w:val="center"/>
          </w:tcPr>
          <w:p w14:paraId="7B6CCAD6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92.880</w:t>
            </w:r>
          </w:p>
        </w:tc>
        <w:tc>
          <w:tcPr>
            <w:tcW w:w="652" w:type="pct"/>
            <w:vAlign w:val="center"/>
          </w:tcPr>
          <w:p w14:paraId="7B6CCAD7" w14:textId="0111E0F5" w:rsidR="00FC497E" w:rsidRPr="00E605CD" w:rsidRDefault="00FC497E" w:rsidP="00D25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57B1">
              <w:rPr>
                <w:rFonts w:ascii="Times New Roman" w:hAnsi="Times New Roman" w:cs="Times New Roman"/>
                <w:color w:val="4472C4" w:themeColor="accent5"/>
                <w:sz w:val="18"/>
                <w:szCs w:val="18"/>
              </w:rPr>
              <w:t>16</w:t>
            </w:r>
            <w:r w:rsidR="00D257B1" w:rsidRPr="00D257B1">
              <w:rPr>
                <w:rFonts w:ascii="Times New Roman" w:hAnsi="Times New Roman" w:cs="Times New Roman"/>
                <w:color w:val="4472C4" w:themeColor="accent5"/>
                <w:sz w:val="18"/>
                <w:szCs w:val="18"/>
              </w:rPr>
              <w:t>,1</w:t>
            </w:r>
            <w:r w:rsidRPr="00D257B1">
              <w:rPr>
                <w:rFonts w:ascii="Times New Roman" w:hAnsi="Times New Roman" w:cs="Times New Roman"/>
                <w:color w:val="4472C4" w:themeColor="accent5"/>
                <w:sz w:val="18"/>
                <w:szCs w:val="18"/>
              </w:rPr>
              <w:t>%</w:t>
            </w:r>
          </w:p>
        </w:tc>
      </w:tr>
      <w:tr w:rsidR="00FC497E" w:rsidRPr="00E605CD" w14:paraId="7B6CCAE0" w14:textId="77777777" w:rsidTr="00B16C6A">
        <w:trPr>
          <w:trHeight w:val="300"/>
        </w:trPr>
        <w:tc>
          <w:tcPr>
            <w:tcW w:w="1083" w:type="pct"/>
            <w:noWrap/>
            <w:vAlign w:val="center"/>
          </w:tcPr>
          <w:p w14:paraId="7B6CCAD9" w14:textId="77777777" w:rsidR="00FC497E" w:rsidRPr="00B16C6A" w:rsidRDefault="00FC497E" w:rsidP="00B16C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Total (25+)</w:t>
            </w:r>
          </w:p>
        </w:tc>
        <w:tc>
          <w:tcPr>
            <w:tcW w:w="652" w:type="pct"/>
            <w:vAlign w:val="center"/>
          </w:tcPr>
          <w:p w14:paraId="7B6CCADA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172.809</w:t>
            </w:r>
          </w:p>
        </w:tc>
        <w:tc>
          <w:tcPr>
            <w:tcW w:w="652" w:type="pct"/>
            <w:noWrap/>
            <w:vAlign w:val="center"/>
          </w:tcPr>
          <w:p w14:paraId="7B6CCADB" w14:textId="1C1CAA21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655" w:type="pct"/>
            <w:noWrap/>
            <w:vAlign w:val="center"/>
          </w:tcPr>
          <w:p w14:paraId="7B6CCADC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210.235</w:t>
            </w:r>
          </w:p>
        </w:tc>
        <w:tc>
          <w:tcPr>
            <w:tcW w:w="654" w:type="pct"/>
            <w:vAlign w:val="center"/>
          </w:tcPr>
          <w:p w14:paraId="7B6CCADD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652" w:type="pct"/>
            <w:vAlign w:val="center"/>
          </w:tcPr>
          <w:p w14:paraId="7B6CCADE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383.043</w:t>
            </w:r>
          </w:p>
        </w:tc>
        <w:tc>
          <w:tcPr>
            <w:tcW w:w="652" w:type="pct"/>
            <w:vAlign w:val="center"/>
          </w:tcPr>
          <w:p w14:paraId="7B6CCADF" w14:textId="77777777" w:rsidR="00FC497E" w:rsidRPr="00E605CD" w:rsidRDefault="00FC497E" w:rsidP="00B16C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</w:tr>
    </w:tbl>
    <w:p w14:paraId="7B6CCAE1" w14:textId="617990E8" w:rsidR="00FC497E" w:rsidRPr="00F0605A" w:rsidRDefault="00FC497E" w:rsidP="00FC497E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F0605A">
        <w:rPr>
          <w:rFonts w:ascii="Times New Roman" w:hAnsi="Times New Roman" w:cs="Times New Roman"/>
          <w:sz w:val="18"/>
          <w:szCs w:val="20"/>
        </w:rPr>
        <w:t>Fonte: estimativa dos autores com base nos microdados do estudo EPICA</w:t>
      </w:r>
      <w:r w:rsidR="001868EE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="009877BB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F0605A">
        <w:rPr>
          <w:rFonts w:ascii="Times New Roman" w:hAnsi="Times New Roman" w:cs="Times New Roman"/>
          <w:sz w:val="18"/>
          <w:szCs w:val="20"/>
        </w:rPr>
        <w:t xml:space="preserve"> e população residente em Portugal em 2014</w:t>
      </w:r>
      <w:r w:rsidR="001868EE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="009877BB">
        <w:rPr>
          <w:rFonts w:ascii="Times New Roman" w:hAnsi="Times New Roman" w:cs="Times New Roman"/>
          <w:sz w:val="18"/>
          <w:szCs w:val="20"/>
          <w:vertAlign w:val="superscript"/>
        </w:rPr>
        <w:t>4</w:t>
      </w:r>
      <w:r w:rsidR="001868EE">
        <w:rPr>
          <w:rFonts w:ascii="Times New Roman" w:hAnsi="Times New Roman" w:cs="Times New Roman"/>
          <w:sz w:val="18"/>
          <w:szCs w:val="20"/>
        </w:rPr>
        <w:t>.</w:t>
      </w:r>
      <w:r w:rsidRPr="00F0605A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7B6CCAE2" w14:textId="77777777" w:rsidR="00FC497E" w:rsidRDefault="00FC497E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br w:type="page"/>
      </w:r>
    </w:p>
    <w:p w14:paraId="7B6CCAE3" w14:textId="12B77721" w:rsidR="00195F3D" w:rsidRPr="00E033BE" w:rsidRDefault="00195F3D" w:rsidP="00AC5D5D">
      <w:pPr>
        <w:pStyle w:val="Ttulo2"/>
        <w:rPr>
          <w:rFonts w:ascii="Times New Roman" w:hAnsi="Times New Roman" w:cs="Times New Roman"/>
          <w:b/>
          <w:color w:val="auto"/>
        </w:rPr>
      </w:pPr>
      <w:r w:rsidRPr="00E033BE">
        <w:rPr>
          <w:rFonts w:ascii="Times New Roman" w:hAnsi="Times New Roman" w:cs="Times New Roman"/>
          <w:b/>
          <w:color w:val="auto"/>
        </w:rPr>
        <w:t xml:space="preserve">Quadro </w:t>
      </w:r>
      <w:r w:rsidR="00AC5D5D" w:rsidRPr="00E033BE">
        <w:rPr>
          <w:rFonts w:ascii="Times New Roman" w:hAnsi="Times New Roman" w:cs="Times New Roman"/>
          <w:b/>
          <w:color w:val="auto"/>
        </w:rPr>
        <w:t xml:space="preserve">Suplementar </w:t>
      </w:r>
      <w:r w:rsidRPr="00E033BE">
        <w:rPr>
          <w:rFonts w:ascii="Times New Roman" w:hAnsi="Times New Roman" w:cs="Times New Roman"/>
          <w:b/>
          <w:color w:val="auto"/>
        </w:rPr>
        <w:t>S</w:t>
      </w:r>
      <w:r w:rsidR="00A9278A">
        <w:rPr>
          <w:rFonts w:ascii="Times New Roman" w:hAnsi="Times New Roman" w:cs="Times New Roman"/>
          <w:b/>
          <w:color w:val="auto"/>
        </w:rPr>
        <w:t>6</w:t>
      </w:r>
      <w:r w:rsidR="005D4166">
        <w:rPr>
          <w:rFonts w:ascii="Times New Roman" w:hAnsi="Times New Roman" w:cs="Times New Roman"/>
          <w:b/>
          <w:color w:val="auto"/>
        </w:rPr>
        <w:t>:</w:t>
      </w:r>
      <w:r w:rsidRPr="00E033BE">
        <w:rPr>
          <w:rFonts w:ascii="Times New Roman" w:hAnsi="Times New Roman" w:cs="Times New Roman"/>
          <w:b/>
          <w:color w:val="auto"/>
        </w:rPr>
        <w:t xml:space="preserve"> Distribuição da prevalência de </w:t>
      </w:r>
      <w:r w:rsidR="00C5463B">
        <w:rPr>
          <w:rFonts w:ascii="Times New Roman" w:hAnsi="Times New Roman" w:cs="Times New Roman"/>
          <w:b/>
          <w:color w:val="auto"/>
        </w:rPr>
        <w:t>i</w:t>
      </w:r>
      <w:r w:rsidRPr="00E033BE">
        <w:rPr>
          <w:rFonts w:ascii="Times New Roman" w:hAnsi="Times New Roman" w:cs="Times New Roman"/>
          <w:b/>
          <w:color w:val="auto"/>
        </w:rPr>
        <w:t>nsuficiência cardíaca por se</w:t>
      </w:r>
      <w:r w:rsidR="001868EE">
        <w:rPr>
          <w:rFonts w:ascii="Times New Roman" w:hAnsi="Times New Roman" w:cs="Times New Roman"/>
          <w:b/>
          <w:color w:val="auto"/>
        </w:rPr>
        <w:t xml:space="preserve">xo, grupo etário e classe NYHA </w:t>
      </w:r>
      <w:r w:rsidR="001868EE" w:rsidRPr="001868EE">
        <w:rPr>
          <w:rFonts w:ascii="Times New Roman" w:hAnsi="Times New Roman" w:cs="Times New Roman"/>
          <w:b/>
          <w:color w:val="auto"/>
        </w:rPr>
        <w:t>em Portugal Continental (ano de 2014).</w:t>
      </w:r>
    </w:p>
    <w:p w14:paraId="7B6CCAE4" w14:textId="77777777" w:rsidR="00195F3D" w:rsidRPr="00E033BE" w:rsidRDefault="00195F3D" w:rsidP="00681ACD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Tablaconcuadrcula"/>
        <w:tblW w:w="7481" w:type="dxa"/>
        <w:tblLayout w:type="fixed"/>
        <w:tblLook w:val="04A0" w:firstRow="1" w:lastRow="0" w:firstColumn="1" w:lastColumn="0" w:noHBand="0" w:noVBand="1"/>
      </w:tblPr>
      <w:tblGrid>
        <w:gridCol w:w="2127"/>
        <w:gridCol w:w="1338"/>
        <w:gridCol w:w="1339"/>
        <w:gridCol w:w="1338"/>
        <w:gridCol w:w="1339"/>
      </w:tblGrid>
      <w:tr w:rsidR="00195F3D" w:rsidRPr="00E605CD" w14:paraId="7B6CCAE7" w14:textId="77777777" w:rsidTr="00B16C6A">
        <w:trPr>
          <w:trHeight w:val="300"/>
        </w:trPr>
        <w:tc>
          <w:tcPr>
            <w:tcW w:w="2127" w:type="dxa"/>
            <w:noWrap/>
            <w:vAlign w:val="center"/>
          </w:tcPr>
          <w:p w14:paraId="7B6CCAE5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354" w:type="dxa"/>
            <w:gridSpan w:val="4"/>
            <w:noWrap/>
            <w:vAlign w:val="center"/>
          </w:tcPr>
          <w:p w14:paraId="7B6CCAE6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Classe NYHA</w:t>
            </w:r>
            <w:r w:rsidR="00E72F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*</w:t>
            </w:r>
          </w:p>
        </w:tc>
      </w:tr>
      <w:tr w:rsidR="00195F3D" w:rsidRPr="00E605CD" w14:paraId="7B6CCAED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AE8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Grupo etário (Anos)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E9" w14:textId="77777777" w:rsidR="00195F3D" w:rsidRPr="00E605CD" w:rsidRDefault="00A9278A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EA" w14:textId="77777777" w:rsidR="00195F3D" w:rsidRPr="00E605CD" w:rsidRDefault="00A9278A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II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EB" w14:textId="77777777" w:rsidR="00195F3D" w:rsidRPr="00E605CD" w:rsidRDefault="00A9278A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III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EC" w14:textId="77777777" w:rsidR="00195F3D" w:rsidRPr="00E605CD" w:rsidRDefault="00A9278A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IV</w:t>
            </w:r>
          </w:p>
        </w:tc>
      </w:tr>
      <w:tr w:rsidR="00195F3D" w:rsidRPr="00E605CD" w14:paraId="7B6CCAF3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AEE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25-49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EF" w14:textId="2361D6E0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38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0" w14:textId="7B7D1774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35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F1" w14:textId="08F9B34E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26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2" w14:textId="6E607C0B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0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0%</w:t>
            </w:r>
          </w:p>
        </w:tc>
      </w:tr>
      <w:tr w:rsidR="00195F3D" w:rsidRPr="00E605CD" w14:paraId="7B6CCAF9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AF4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50-59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F5" w14:textId="0683A17E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38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6" w14:textId="02D71D0B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35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F7" w14:textId="1181E04D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26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8" w14:textId="3E86B162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0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0%</w:t>
            </w:r>
          </w:p>
        </w:tc>
      </w:tr>
      <w:tr w:rsidR="00195F3D" w:rsidRPr="00E605CD" w14:paraId="7B6CCAFF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AFA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60-69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FB" w14:textId="504FCB0D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50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0%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C" w14:textId="202D9262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28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AFD" w14:textId="0F557938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17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8%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AFE" w14:textId="5D1814FC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8%</w:t>
            </w:r>
          </w:p>
        </w:tc>
      </w:tr>
      <w:tr w:rsidR="00195F3D" w:rsidRPr="00E605CD" w14:paraId="7B6CCB05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B00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70-79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1" w14:textId="7FE9F7DC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35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4%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02" w14:textId="4DD6BDD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29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4%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3" w14:textId="423DB1F4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25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8%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04" w14:textId="53E0B71B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9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</w:tr>
      <w:tr w:rsidR="00195F3D" w:rsidRPr="00E605CD" w14:paraId="7B6CCB0B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B06" w14:textId="77777777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80+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7" w14:textId="6EDD5C00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21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6%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08" w14:textId="3D1F59FF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36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9%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9" w14:textId="76CC57FC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31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0A" w14:textId="18586246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9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9%</w:t>
            </w:r>
          </w:p>
        </w:tc>
      </w:tr>
      <w:tr w:rsidR="00195F3D" w:rsidRPr="00E605CD" w14:paraId="7B6CCB11" w14:textId="77777777" w:rsidTr="00B16C6A">
        <w:trPr>
          <w:trHeight w:val="300"/>
        </w:trPr>
        <w:tc>
          <w:tcPr>
            <w:tcW w:w="2127" w:type="dxa"/>
            <w:noWrap/>
            <w:vAlign w:val="center"/>
            <w:hideMark/>
          </w:tcPr>
          <w:p w14:paraId="7B6CCB0C" w14:textId="77777777" w:rsidR="00195F3D" w:rsidRPr="00E605CD" w:rsidRDefault="00FF7920" w:rsidP="00B16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D" w14:textId="11BED77F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36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0E" w14:textId="615DE23A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32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3%</w:t>
            </w:r>
          </w:p>
        </w:tc>
        <w:tc>
          <w:tcPr>
            <w:tcW w:w="1338" w:type="dxa"/>
            <w:noWrap/>
            <w:vAlign w:val="center"/>
            <w:hideMark/>
          </w:tcPr>
          <w:p w14:paraId="7B6CCB0F" w14:textId="69BCA2A9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25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5%</w:t>
            </w:r>
          </w:p>
        </w:tc>
        <w:tc>
          <w:tcPr>
            <w:tcW w:w="1339" w:type="dxa"/>
            <w:noWrap/>
            <w:vAlign w:val="center"/>
            <w:hideMark/>
          </w:tcPr>
          <w:p w14:paraId="7B6CCB10" w14:textId="04B91433" w:rsidR="00195F3D" w:rsidRPr="00E605CD" w:rsidRDefault="00195F3D" w:rsidP="00B1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6</w:t>
            </w:r>
            <w:r w:rsidR="007E0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,</w:t>
            </w:r>
            <w:r w:rsidRPr="00E6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1%</w:t>
            </w:r>
          </w:p>
        </w:tc>
      </w:tr>
    </w:tbl>
    <w:p w14:paraId="7B6CCB12" w14:textId="77777777" w:rsidR="00E72F6C" w:rsidRPr="00E72F6C" w:rsidRDefault="00E72F6C" w:rsidP="00E72F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E72F6C">
        <w:rPr>
          <w:rFonts w:ascii="Times New Roman" w:hAnsi="Times New Roman" w:cs="Times New Roman"/>
          <w:sz w:val="18"/>
          <w:szCs w:val="18"/>
        </w:rPr>
        <w:t>Não se tendo verificado diferenças significativas na distribuição por estadio NYHA entre o sexo masculino e feminino, e dado o reduzido número de observações em algumas das células demográficas, optou-se pela análise conjunta de todos os indivíduos (sexo feminino e masculino) por grupo etário. Os casos sem classe NYHA inicialmente atribuída (nos microdados do estudo EPICA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Pr="00E72F6C">
        <w:rPr>
          <w:rFonts w:ascii="Times New Roman" w:hAnsi="Times New Roman" w:cs="Times New Roman"/>
          <w:sz w:val="18"/>
          <w:szCs w:val="18"/>
        </w:rPr>
        <w:t>) foram redistribuídos mantendo-se a proporção entre as classes.</w:t>
      </w:r>
    </w:p>
    <w:p w14:paraId="7B6CCB13" w14:textId="77777777" w:rsidR="00195F3D" w:rsidRPr="00E72F6C" w:rsidRDefault="00195F3D" w:rsidP="00681AC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72F6C">
        <w:rPr>
          <w:rFonts w:ascii="Times New Roman" w:hAnsi="Times New Roman" w:cs="Times New Roman"/>
          <w:sz w:val="18"/>
          <w:szCs w:val="18"/>
        </w:rPr>
        <w:t>Fonte: estimativa dos autores com base nos microdados do estudo EPICA</w:t>
      </w:r>
      <w:r w:rsidR="00E72F6C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Pr="00E72F6C">
        <w:rPr>
          <w:rFonts w:ascii="Times New Roman" w:hAnsi="Times New Roman" w:cs="Times New Roman"/>
          <w:sz w:val="18"/>
          <w:szCs w:val="18"/>
        </w:rPr>
        <w:t>.</w:t>
      </w:r>
    </w:p>
    <w:p w14:paraId="7B6CCB14" w14:textId="77777777" w:rsidR="00195F3D" w:rsidRPr="00E033BE" w:rsidRDefault="00195F3D" w:rsidP="00195F3D">
      <w:pPr>
        <w:rPr>
          <w:rFonts w:ascii="Times New Roman" w:hAnsi="Times New Roman" w:cs="Times New Roman"/>
        </w:rPr>
      </w:pPr>
    </w:p>
    <w:p w14:paraId="7B6CCB15" w14:textId="77777777" w:rsidR="007D3158" w:rsidRPr="00E033BE" w:rsidRDefault="007D3158">
      <w:pPr>
        <w:rPr>
          <w:rFonts w:ascii="Times New Roman" w:hAnsi="Times New Roman" w:cs="Times New Roman"/>
        </w:rPr>
      </w:pPr>
      <w:r w:rsidRPr="00E033BE">
        <w:rPr>
          <w:rFonts w:ascii="Times New Roman" w:hAnsi="Times New Roman" w:cs="Times New Roman"/>
        </w:rPr>
        <w:br w:type="page"/>
      </w:r>
    </w:p>
    <w:p w14:paraId="7B6CCB16" w14:textId="4B48A418" w:rsidR="007D3158" w:rsidRPr="00E033BE" w:rsidRDefault="007D3158" w:rsidP="007D3158">
      <w:pPr>
        <w:pStyle w:val="Ttulo2"/>
        <w:rPr>
          <w:rFonts w:ascii="Times New Roman" w:hAnsi="Times New Roman" w:cs="Times New Roman"/>
          <w:b/>
          <w:color w:val="auto"/>
        </w:rPr>
      </w:pPr>
      <w:r w:rsidRPr="00E033BE">
        <w:rPr>
          <w:rFonts w:ascii="Times New Roman" w:hAnsi="Times New Roman" w:cs="Times New Roman"/>
          <w:b/>
          <w:color w:val="auto"/>
        </w:rPr>
        <w:t>Quadro Suplementar S</w:t>
      </w:r>
      <w:r w:rsidR="00A9278A">
        <w:rPr>
          <w:rFonts w:ascii="Times New Roman" w:hAnsi="Times New Roman" w:cs="Times New Roman"/>
          <w:b/>
          <w:color w:val="auto"/>
        </w:rPr>
        <w:t>7</w:t>
      </w:r>
      <w:r w:rsidR="005D4166">
        <w:rPr>
          <w:rFonts w:ascii="Times New Roman" w:hAnsi="Times New Roman" w:cs="Times New Roman"/>
          <w:b/>
          <w:color w:val="auto"/>
        </w:rPr>
        <w:t>:</w:t>
      </w:r>
      <w:r w:rsidRPr="00E033BE">
        <w:rPr>
          <w:rFonts w:ascii="Times New Roman" w:hAnsi="Times New Roman" w:cs="Times New Roman"/>
          <w:b/>
          <w:color w:val="auto"/>
        </w:rPr>
        <w:t xml:space="preserve"> Custos ind</w:t>
      </w:r>
      <w:r w:rsidR="00E72F6C">
        <w:rPr>
          <w:rFonts w:ascii="Times New Roman" w:hAnsi="Times New Roman" w:cs="Times New Roman"/>
          <w:b/>
          <w:color w:val="auto"/>
        </w:rPr>
        <w:t>iretos por absenteísmo devido a c</w:t>
      </w:r>
      <w:r w:rsidRPr="00E033BE">
        <w:rPr>
          <w:rFonts w:ascii="Times New Roman" w:hAnsi="Times New Roman" w:cs="Times New Roman"/>
          <w:b/>
          <w:color w:val="auto"/>
        </w:rPr>
        <w:t>onsultas, meios complementares de diagnóstico e terapêutica, episódios de urgência sem internamento e internamento hospitalar/convalescença.</w:t>
      </w:r>
    </w:p>
    <w:p w14:paraId="7B6CCB17" w14:textId="77777777" w:rsidR="007D3158" w:rsidRPr="00E033BE" w:rsidRDefault="007D3158" w:rsidP="007D3158">
      <w:pPr>
        <w:pStyle w:val="Descripcin"/>
        <w:rPr>
          <w:rFonts w:ascii="Times New Roman" w:hAnsi="Times New Rom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D3158" w:rsidRPr="00E605CD" w14:paraId="7B6CCB1A" w14:textId="77777777" w:rsidTr="009D63E3">
        <w:trPr>
          <w:trHeight w:val="300"/>
        </w:trPr>
        <w:tc>
          <w:tcPr>
            <w:tcW w:w="1250" w:type="pct"/>
            <w:vMerge w:val="restart"/>
            <w:vAlign w:val="center"/>
          </w:tcPr>
          <w:p w14:paraId="7B6CCB18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Grupo etário (anos)</w:t>
            </w:r>
          </w:p>
        </w:tc>
        <w:tc>
          <w:tcPr>
            <w:tcW w:w="3750" w:type="pct"/>
            <w:gridSpan w:val="3"/>
            <w:vAlign w:val="center"/>
          </w:tcPr>
          <w:p w14:paraId="7B6CCB19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Custos por absenteísmo (€)</w:t>
            </w:r>
          </w:p>
        </w:tc>
      </w:tr>
      <w:tr w:rsidR="007D3158" w:rsidRPr="00E605CD" w14:paraId="7B6CCB1F" w14:textId="77777777" w:rsidTr="009D63E3">
        <w:trPr>
          <w:trHeight w:val="300"/>
        </w:trPr>
        <w:tc>
          <w:tcPr>
            <w:tcW w:w="1250" w:type="pct"/>
            <w:vMerge/>
            <w:vAlign w:val="center"/>
            <w:hideMark/>
          </w:tcPr>
          <w:p w14:paraId="7B6CCB1B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50" w:type="pct"/>
            <w:vAlign w:val="center"/>
            <w:hideMark/>
          </w:tcPr>
          <w:p w14:paraId="7B6CCB1C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Homens</w:t>
            </w:r>
          </w:p>
        </w:tc>
        <w:tc>
          <w:tcPr>
            <w:tcW w:w="1250" w:type="pct"/>
            <w:vAlign w:val="center"/>
            <w:hideMark/>
          </w:tcPr>
          <w:p w14:paraId="7B6CCB1D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Mulheres</w:t>
            </w:r>
          </w:p>
        </w:tc>
        <w:tc>
          <w:tcPr>
            <w:tcW w:w="1250" w:type="pct"/>
            <w:vAlign w:val="center"/>
            <w:hideMark/>
          </w:tcPr>
          <w:p w14:paraId="7B6CCB1E" w14:textId="77777777" w:rsidR="007D3158" w:rsidRPr="00E605CD" w:rsidRDefault="00236090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Total</w:t>
            </w:r>
          </w:p>
        </w:tc>
      </w:tr>
      <w:tr w:rsidR="007D3158" w:rsidRPr="00E605CD" w14:paraId="7B6CCB24" w14:textId="77777777" w:rsidTr="009D63E3">
        <w:trPr>
          <w:trHeight w:val="300"/>
        </w:trPr>
        <w:tc>
          <w:tcPr>
            <w:tcW w:w="1250" w:type="pct"/>
            <w:vAlign w:val="center"/>
            <w:hideMark/>
          </w:tcPr>
          <w:p w14:paraId="7B6CCB20" w14:textId="0D978176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25-44</w:t>
            </w:r>
          </w:p>
        </w:tc>
        <w:tc>
          <w:tcPr>
            <w:tcW w:w="1250" w:type="pct"/>
            <w:vAlign w:val="center"/>
          </w:tcPr>
          <w:p w14:paraId="7B6CCB21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2.627.264</w:t>
            </w:r>
          </w:p>
        </w:tc>
        <w:tc>
          <w:tcPr>
            <w:tcW w:w="1250" w:type="pct"/>
            <w:vAlign w:val="center"/>
          </w:tcPr>
          <w:p w14:paraId="7B6CCB22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597.277</w:t>
            </w:r>
          </w:p>
        </w:tc>
        <w:tc>
          <w:tcPr>
            <w:tcW w:w="1250" w:type="pct"/>
            <w:vAlign w:val="center"/>
          </w:tcPr>
          <w:p w14:paraId="7B6CCB23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3.224.541</w:t>
            </w:r>
          </w:p>
        </w:tc>
      </w:tr>
      <w:tr w:rsidR="007D3158" w:rsidRPr="00E605CD" w14:paraId="7B6CCB29" w14:textId="77777777" w:rsidTr="009D63E3">
        <w:trPr>
          <w:trHeight w:val="300"/>
        </w:trPr>
        <w:tc>
          <w:tcPr>
            <w:tcW w:w="1250" w:type="pct"/>
            <w:vAlign w:val="center"/>
            <w:hideMark/>
          </w:tcPr>
          <w:p w14:paraId="7B6CCB25" w14:textId="084E32FC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45-65</w:t>
            </w:r>
          </w:p>
        </w:tc>
        <w:tc>
          <w:tcPr>
            <w:tcW w:w="1250" w:type="pct"/>
            <w:vAlign w:val="center"/>
          </w:tcPr>
          <w:p w14:paraId="7B6CCB26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9.352.846</w:t>
            </w:r>
          </w:p>
        </w:tc>
        <w:tc>
          <w:tcPr>
            <w:tcW w:w="1250" w:type="pct"/>
            <w:vAlign w:val="center"/>
          </w:tcPr>
          <w:p w14:paraId="7B6CCB27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4.550.780</w:t>
            </w:r>
          </w:p>
        </w:tc>
        <w:tc>
          <w:tcPr>
            <w:tcW w:w="1250" w:type="pct"/>
            <w:vAlign w:val="center"/>
          </w:tcPr>
          <w:p w14:paraId="7B6CCB28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13.903.626</w:t>
            </w:r>
          </w:p>
        </w:tc>
      </w:tr>
    </w:tbl>
    <w:p w14:paraId="7B6CCB2A" w14:textId="77777777" w:rsidR="007D3158" w:rsidRPr="00E033BE" w:rsidRDefault="007D3158" w:rsidP="007D3158">
      <w:pPr>
        <w:rPr>
          <w:rFonts w:ascii="Times New Roman" w:hAnsi="Times New Roman" w:cs="Times New Roman"/>
        </w:rPr>
      </w:pPr>
    </w:p>
    <w:p w14:paraId="7B6CCB2B" w14:textId="77777777" w:rsidR="00236090" w:rsidRPr="00E033BE" w:rsidRDefault="00236090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7" w:name="_Toc487648430"/>
      <w:r w:rsidRPr="00E033BE">
        <w:rPr>
          <w:rFonts w:ascii="Times New Roman" w:hAnsi="Times New Roman" w:cs="Times New Roman"/>
          <w:b/>
        </w:rPr>
        <w:br w:type="page"/>
      </w:r>
    </w:p>
    <w:p w14:paraId="7B6CCB2C" w14:textId="3CCC1612" w:rsidR="007D3158" w:rsidRPr="00E033BE" w:rsidRDefault="007D3158" w:rsidP="007D3158">
      <w:pPr>
        <w:pStyle w:val="Ttulo2"/>
        <w:rPr>
          <w:rFonts w:ascii="Times New Roman" w:hAnsi="Times New Roman" w:cs="Times New Roman"/>
          <w:b/>
          <w:color w:val="auto"/>
        </w:rPr>
      </w:pPr>
      <w:r w:rsidRPr="00E033BE">
        <w:rPr>
          <w:rFonts w:ascii="Times New Roman" w:hAnsi="Times New Roman" w:cs="Times New Roman"/>
          <w:b/>
          <w:color w:val="auto"/>
        </w:rPr>
        <w:t>Quadro Suplementar S</w:t>
      </w:r>
      <w:r w:rsidR="00A9278A">
        <w:rPr>
          <w:rFonts w:ascii="Times New Roman" w:hAnsi="Times New Roman" w:cs="Times New Roman"/>
          <w:b/>
          <w:color w:val="auto"/>
        </w:rPr>
        <w:t>8</w:t>
      </w:r>
      <w:r w:rsidR="005D4166">
        <w:rPr>
          <w:rFonts w:ascii="Times New Roman" w:hAnsi="Times New Roman" w:cs="Times New Roman"/>
          <w:b/>
          <w:color w:val="auto"/>
        </w:rPr>
        <w:t>:</w:t>
      </w:r>
      <w:r w:rsidRPr="00E033BE">
        <w:rPr>
          <w:rFonts w:ascii="Times New Roman" w:hAnsi="Times New Roman" w:cs="Times New Roman"/>
          <w:b/>
          <w:color w:val="auto"/>
        </w:rPr>
        <w:t xml:space="preserve"> Custos indiretos devidos à “não participação” no mercado de trabalho por IC.</w:t>
      </w:r>
      <w:bookmarkEnd w:id="7"/>
      <w:r w:rsidRPr="00E033BE">
        <w:rPr>
          <w:rFonts w:ascii="Times New Roman" w:hAnsi="Times New Roman" w:cs="Times New Roman"/>
          <w:b/>
          <w:color w:val="auto"/>
        </w:rPr>
        <w:t xml:space="preserve"> </w:t>
      </w:r>
    </w:p>
    <w:p w14:paraId="7B6CCB2D" w14:textId="77777777" w:rsidR="007D3158" w:rsidRPr="00E033BE" w:rsidRDefault="007D3158" w:rsidP="007D3158">
      <w:pPr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1"/>
        <w:gridCol w:w="1616"/>
        <w:gridCol w:w="1587"/>
        <w:gridCol w:w="1587"/>
        <w:gridCol w:w="1583"/>
      </w:tblGrid>
      <w:tr w:rsidR="007D3158" w:rsidRPr="00E605CD" w14:paraId="7B6CCB31" w14:textId="77777777" w:rsidTr="009D63E3">
        <w:trPr>
          <w:trHeight w:val="330"/>
        </w:trPr>
        <w:tc>
          <w:tcPr>
            <w:tcW w:w="1249" w:type="pct"/>
            <w:vMerge w:val="restart"/>
            <w:vAlign w:val="center"/>
            <w:hideMark/>
          </w:tcPr>
          <w:p w14:paraId="7B6CCB2E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Grupo etário (anos)</w:t>
            </w:r>
          </w:p>
        </w:tc>
        <w:tc>
          <w:tcPr>
            <w:tcW w:w="1885" w:type="pct"/>
            <w:gridSpan w:val="2"/>
            <w:vAlign w:val="center"/>
            <w:hideMark/>
          </w:tcPr>
          <w:p w14:paraId="7B6CCB2F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Homens</w:t>
            </w:r>
          </w:p>
        </w:tc>
        <w:tc>
          <w:tcPr>
            <w:tcW w:w="1866" w:type="pct"/>
            <w:gridSpan w:val="2"/>
            <w:vAlign w:val="center"/>
          </w:tcPr>
          <w:p w14:paraId="7B6CCB30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Mulheres</w:t>
            </w:r>
          </w:p>
        </w:tc>
      </w:tr>
      <w:tr w:rsidR="007D3158" w:rsidRPr="00E605CD" w14:paraId="7B6CCB37" w14:textId="77777777" w:rsidTr="009D63E3">
        <w:trPr>
          <w:trHeight w:val="330"/>
        </w:trPr>
        <w:tc>
          <w:tcPr>
            <w:tcW w:w="1249" w:type="pct"/>
            <w:vMerge/>
            <w:vAlign w:val="center"/>
          </w:tcPr>
          <w:p w14:paraId="7B6CCB32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51" w:type="pct"/>
            <w:vAlign w:val="center"/>
          </w:tcPr>
          <w:p w14:paraId="7B6CCB33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Nº doentes</w:t>
            </w:r>
          </w:p>
        </w:tc>
        <w:tc>
          <w:tcPr>
            <w:tcW w:w="934" w:type="pct"/>
            <w:vAlign w:val="center"/>
          </w:tcPr>
          <w:p w14:paraId="7B6CCB34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Custo total (€)</w:t>
            </w:r>
          </w:p>
        </w:tc>
        <w:tc>
          <w:tcPr>
            <w:tcW w:w="934" w:type="pct"/>
            <w:vAlign w:val="center"/>
          </w:tcPr>
          <w:p w14:paraId="7B6CCB35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Nº doentes</w:t>
            </w:r>
          </w:p>
        </w:tc>
        <w:tc>
          <w:tcPr>
            <w:tcW w:w="932" w:type="pct"/>
            <w:vAlign w:val="center"/>
          </w:tcPr>
          <w:p w14:paraId="7B6CCB36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Custo total (€)</w:t>
            </w:r>
          </w:p>
        </w:tc>
      </w:tr>
      <w:tr w:rsidR="007D3158" w:rsidRPr="00E605CD" w14:paraId="7B6CCB3D" w14:textId="77777777" w:rsidTr="009D63E3">
        <w:trPr>
          <w:trHeight w:val="300"/>
        </w:trPr>
        <w:tc>
          <w:tcPr>
            <w:tcW w:w="1249" w:type="pct"/>
            <w:vAlign w:val="center"/>
          </w:tcPr>
          <w:p w14:paraId="7B6CCB38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t-PT"/>
              </w:rPr>
              <w:t>25-44</w:t>
            </w:r>
          </w:p>
        </w:tc>
        <w:tc>
          <w:tcPr>
            <w:tcW w:w="951" w:type="pct"/>
            <w:vAlign w:val="center"/>
          </w:tcPr>
          <w:p w14:paraId="7B6CCB39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934" w:type="pct"/>
            <w:vAlign w:val="center"/>
          </w:tcPr>
          <w:p w14:paraId="7B6CCB3A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pct"/>
            <w:vAlign w:val="center"/>
          </w:tcPr>
          <w:p w14:paraId="7B6CCB3B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932" w:type="pct"/>
            <w:vAlign w:val="center"/>
          </w:tcPr>
          <w:p w14:paraId="7B6CCB3C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D3158" w:rsidRPr="00E605CD" w14:paraId="7B6CCB43" w14:textId="77777777" w:rsidTr="009D63E3">
        <w:trPr>
          <w:trHeight w:val="300"/>
        </w:trPr>
        <w:tc>
          <w:tcPr>
            <w:tcW w:w="1249" w:type="pct"/>
            <w:vAlign w:val="center"/>
          </w:tcPr>
          <w:p w14:paraId="7B6CCB3E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45-65</w:t>
            </w:r>
          </w:p>
        </w:tc>
        <w:tc>
          <w:tcPr>
            <w:tcW w:w="951" w:type="pct"/>
            <w:vAlign w:val="center"/>
          </w:tcPr>
          <w:p w14:paraId="7B6CCB3F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1.771</w:t>
            </w:r>
          </w:p>
        </w:tc>
        <w:tc>
          <w:tcPr>
            <w:tcW w:w="934" w:type="pct"/>
            <w:vAlign w:val="center"/>
          </w:tcPr>
          <w:p w14:paraId="7B6CCB40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38.229.756</w:t>
            </w:r>
          </w:p>
        </w:tc>
        <w:tc>
          <w:tcPr>
            <w:tcW w:w="934" w:type="pct"/>
            <w:vAlign w:val="center"/>
          </w:tcPr>
          <w:p w14:paraId="7B6CCB41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PT"/>
              </w:rPr>
              <w:t>3.011</w:t>
            </w:r>
          </w:p>
        </w:tc>
        <w:tc>
          <w:tcPr>
            <w:tcW w:w="932" w:type="pct"/>
            <w:vAlign w:val="center"/>
          </w:tcPr>
          <w:p w14:paraId="7B6CCB42" w14:textId="77777777" w:rsidR="007D3158" w:rsidRPr="00E605CD" w:rsidRDefault="007D3158" w:rsidP="009D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50.989.582</w:t>
            </w:r>
          </w:p>
        </w:tc>
      </w:tr>
    </w:tbl>
    <w:p w14:paraId="7B6CCB44" w14:textId="77777777" w:rsidR="007D3158" w:rsidRPr="00E033BE" w:rsidRDefault="007D3158" w:rsidP="007D3158">
      <w:pPr>
        <w:rPr>
          <w:rFonts w:ascii="Times New Roman" w:hAnsi="Times New Roman" w:cs="Times New Roman"/>
        </w:rPr>
      </w:pPr>
    </w:p>
    <w:p w14:paraId="7B6CCB45" w14:textId="77777777" w:rsidR="007D3158" w:rsidRPr="00E033BE" w:rsidRDefault="007D3158" w:rsidP="00195F3D">
      <w:pPr>
        <w:spacing w:line="480" w:lineRule="auto"/>
        <w:rPr>
          <w:rFonts w:ascii="Times New Roman" w:hAnsi="Times New Roman" w:cs="Times New Roman"/>
        </w:rPr>
      </w:pPr>
    </w:p>
    <w:p w14:paraId="7B6CCB46" w14:textId="77777777" w:rsidR="00195F3D" w:rsidRPr="00E033BE" w:rsidRDefault="00195F3D" w:rsidP="00681ACD">
      <w:pPr>
        <w:spacing w:after="0"/>
        <w:rPr>
          <w:rFonts w:ascii="Times New Roman" w:hAnsi="Times New Roman" w:cs="Times New Roman"/>
          <w:sz w:val="18"/>
        </w:rPr>
      </w:pPr>
    </w:p>
    <w:sectPr w:rsidR="00195F3D" w:rsidRPr="00E03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5CB72" w14:textId="77777777" w:rsidR="00E7636F" w:rsidRDefault="00E7636F" w:rsidP="00BB3915">
      <w:pPr>
        <w:spacing w:after="0" w:line="240" w:lineRule="auto"/>
      </w:pPr>
      <w:r>
        <w:separator/>
      </w:r>
    </w:p>
  </w:endnote>
  <w:endnote w:type="continuationSeparator" w:id="0">
    <w:p w14:paraId="72A2078E" w14:textId="77777777" w:rsidR="00E7636F" w:rsidRDefault="00E7636F" w:rsidP="00BB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CADF" w14:textId="77777777" w:rsidR="00E7636F" w:rsidRDefault="00E7636F" w:rsidP="00BB3915">
      <w:pPr>
        <w:spacing w:after="0" w:line="240" w:lineRule="auto"/>
      </w:pPr>
      <w:r>
        <w:separator/>
      </w:r>
    </w:p>
  </w:footnote>
  <w:footnote w:type="continuationSeparator" w:id="0">
    <w:p w14:paraId="07C26235" w14:textId="77777777" w:rsidR="00E7636F" w:rsidRDefault="00E7636F" w:rsidP="00BB3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CD"/>
    <w:rsid w:val="000B0740"/>
    <w:rsid w:val="000B10BE"/>
    <w:rsid w:val="000C08DE"/>
    <w:rsid w:val="00101F8F"/>
    <w:rsid w:val="00104FB9"/>
    <w:rsid w:val="00136227"/>
    <w:rsid w:val="001472A7"/>
    <w:rsid w:val="001868EE"/>
    <w:rsid w:val="00195F3D"/>
    <w:rsid w:val="00230AD5"/>
    <w:rsid w:val="00236090"/>
    <w:rsid w:val="00322F27"/>
    <w:rsid w:val="00357636"/>
    <w:rsid w:val="0035781C"/>
    <w:rsid w:val="00357C5E"/>
    <w:rsid w:val="003707C6"/>
    <w:rsid w:val="00393799"/>
    <w:rsid w:val="003943AA"/>
    <w:rsid w:val="003C3703"/>
    <w:rsid w:val="003E63DD"/>
    <w:rsid w:val="0047527E"/>
    <w:rsid w:val="005B67C0"/>
    <w:rsid w:val="005D4166"/>
    <w:rsid w:val="00625BC8"/>
    <w:rsid w:val="0064090A"/>
    <w:rsid w:val="00652838"/>
    <w:rsid w:val="00681ACD"/>
    <w:rsid w:val="00696469"/>
    <w:rsid w:val="007306FC"/>
    <w:rsid w:val="007B3745"/>
    <w:rsid w:val="007D297F"/>
    <w:rsid w:val="007D3158"/>
    <w:rsid w:val="007E0B69"/>
    <w:rsid w:val="00801520"/>
    <w:rsid w:val="00831C47"/>
    <w:rsid w:val="00867024"/>
    <w:rsid w:val="00893360"/>
    <w:rsid w:val="008A6284"/>
    <w:rsid w:val="008C0623"/>
    <w:rsid w:val="00912B59"/>
    <w:rsid w:val="00952E10"/>
    <w:rsid w:val="009827B3"/>
    <w:rsid w:val="009877BB"/>
    <w:rsid w:val="009901DD"/>
    <w:rsid w:val="009D63E3"/>
    <w:rsid w:val="00A8643E"/>
    <w:rsid w:val="00A9278A"/>
    <w:rsid w:val="00AC5D5D"/>
    <w:rsid w:val="00AC5FBE"/>
    <w:rsid w:val="00B0097D"/>
    <w:rsid w:val="00B16C6A"/>
    <w:rsid w:val="00B82DC0"/>
    <w:rsid w:val="00B943E2"/>
    <w:rsid w:val="00BB3915"/>
    <w:rsid w:val="00C33957"/>
    <w:rsid w:val="00C5463B"/>
    <w:rsid w:val="00C74F63"/>
    <w:rsid w:val="00D257B1"/>
    <w:rsid w:val="00E033BE"/>
    <w:rsid w:val="00E0494E"/>
    <w:rsid w:val="00E5146F"/>
    <w:rsid w:val="00E605CD"/>
    <w:rsid w:val="00E71C13"/>
    <w:rsid w:val="00E72F6C"/>
    <w:rsid w:val="00E7636F"/>
    <w:rsid w:val="00EB127C"/>
    <w:rsid w:val="00EB55D1"/>
    <w:rsid w:val="00F31068"/>
    <w:rsid w:val="00F9027C"/>
    <w:rsid w:val="00F92576"/>
    <w:rsid w:val="00FC497E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C980"/>
  <w15:chartTrackingRefBased/>
  <w15:docId w15:val="{FB5EB8CA-E762-4ED0-B046-DFDAE2B7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5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Title for tables and figures,Table Caption,Bayer Caption,IB Caption,Medical Caption,Caption Char Char Char Char,Caption Char Char Char,Caption Char Char Char Char Char,Caption Char Char Char Char1 Char Char"/>
    <w:basedOn w:val="Normal"/>
    <w:next w:val="Normal"/>
    <w:link w:val="DescripcinCar"/>
    <w:autoRedefine/>
    <w:qFormat/>
    <w:rsid w:val="00BB3915"/>
    <w:pPr>
      <w:tabs>
        <w:tab w:val="left" w:pos="0"/>
        <w:tab w:val="left" w:pos="142"/>
        <w:tab w:val="left" w:pos="284"/>
      </w:tabs>
      <w:spacing w:after="60" w:line="276" w:lineRule="auto"/>
    </w:pPr>
    <w:rPr>
      <w:rFonts w:eastAsia="Times New Roman" w:cs="Times New Roman"/>
      <w:b/>
      <w:bCs/>
      <w:sz w:val="20"/>
      <w:szCs w:val="20"/>
      <w:lang w:eastAsia="fr-FR"/>
    </w:rPr>
  </w:style>
  <w:style w:type="character" w:customStyle="1" w:styleId="DescripcinCar">
    <w:name w:val="Descripción Car"/>
    <w:aliases w:val="Title for tables and figures Car,Table Caption Car,Bayer Caption Car,IB Caption Car,Medical Caption Car,Caption Char Char Char Char Car,Caption Char Char Char Car,Caption Char Char Char Char Char Car"/>
    <w:link w:val="Descripcin"/>
    <w:locked/>
    <w:rsid w:val="00BB3915"/>
    <w:rPr>
      <w:rFonts w:eastAsia="Times New Roman" w:cs="Times New Roman"/>
      <w:b/>
      <w:bCs/>
      <w:sz w:val="20"/>
      <w:szCs w:val="20"/>
      <w:lang w:eastAsia="fr-FR"/>
    </w:rPr>
  </w:style>
  <w:style w:type="table" w:customStyle="1" w:styleId="LightShading5">
    <w:name w:val="Light Shading5"/>
    <w:basedOn w:val="Tablanormal"/>
    <w:next w:val="Sombreadoclaro"/>
    <w:uiPriority w:val="60"/>
    <w:rsid w:val="00681A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">
    <w:name w:val="Light Shading"/>
    <w:basedOn w:val="Tablanormal"/>
    <w:uiPriority w:val="60"/>
    <w:semiHidden/>
    <w:unhideWhenUsed/>
    <w:rsid w:val="00681A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notaalpie">
    <w:name w:val="footnote reference"/>
    <w:uiPriority w:val="99"/>
    <w:semiHidden/>
    <w:rsid w:val="00BB3915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BB3915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3915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tulo2Car">
    <w:name w:val="Título 2 Car"/>
    <w:basedOn w:val="Fuentedeprrafopredeter"/>
    <w:link w:val="Ttulo2"/>
    <w:uiPriority w:val="9"/>
    <w:rsid w:val="00195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normal2">
    <w:name w:val="Plain Table 2"/>
    <w:basedOn w:val="Tablanormal"/>
    <w:uiPriority w:val="42"/>
    <w:rsid w:val="00195F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AC5D5D"/>
    <w:pPr>
      <w:ind w:left="720"/>
      <w:contextualSpacing/>
    </w:pPr>
  </w:style>
  <w:style w:type="table" w:styleId="Tablabsica1">
    <w:name w:val="Table Simple 1"/>
    <w:basedOn w:val="Tablanormal"/>
    <w:rsid w:val="00AC5D5D"/>
    <w:pPr>
      <w:spacing w:before="40" w:after="40" w:line="300" w:lineRule="auto"/>
    </w:pPr>
    <w:rPr>
      <w:rFonts w:ascii="Calibri" w:eastAsia="Times New Roman" w:hAnsi="Calibri" w:cs="Times New Roman"/>
      <w:sz w:val="20"/>
      <w:szCs w:val="20"/>
      <w:lang w:eastAsia="pt-PT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anormal"/>
    <w:next w:val="Tablabsica1"/>
    <w:rsid w:val="007D3158"/>
    <w:pPr>
      <w:spacing w:before="40" w:after="40" w:line="300" w:lineRule="auto"/>
    </w:pPr>
    <w:rPr>
      <w:rFonts w:ascii="Calibri" w:eastAsia="Times New Roman" w:hAnsi="Calibri" w:cs="Times New Roman"/>
      <w:sz w:val="20"/>
      <w:szCs w:val="20"/>
      <w:lang w:eastAsia="pt-PT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conmicos">
    <w:name w:val="Económicos"/>
    <w:basedOn w:val="Tablanormal"/>
    <w:uiPriority w:val="99"/>
    <w:rsid w:val="007D3158"/>
    <w:pPr>
      <w:spacing w:after="0" w:line="240" w:lineRule="auto"/>
    </w:pPr>
    <w:rPr>
      <w:rFonts w:ascii="Cambria" w:eastAsia="Calibri" w:hAnsi="Cambria" w:cs="Times New Roman"/>
      <w:sz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jc w:val="center"/>
      </w:pPr>
      <w:rPr>
        <w:rFonts w:ascii="Calibri" w:hAnsi="Calibri" w:hint="default"/>
        <w:b/>
        <w:sz w:val="20"/>
        <w:szCs w:val="20"/>
      </w:rPr>
      <w:tblPr/>
      <w:tcPr>
        <w:tcBorders>
          <w:top w:val="single" w:sz="12" w:space="0" w:color="008000"/>
          <w:left w:val="nil"/>
          <w:bottom w:val="single" w:sz="2" w:space="0" w:color="00800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</w:pPr>
      <w:rPr>
        <w:rFonts w:ascii="Calibri" w:hAnsi="Calibri" w:hint="default"/>
        <w:sz w:val="20"/>
        <w:szCs w:val="20"/>
      </w:rPr>
      <w:tblPr/>
      <w:tcPr>
        <w:vAlign w:val="center"/>
      </w:tcPr>
    </w:tblStylePr>
  </w:style>
  <w:style w:type="table" w:styleId="Tablaconcuadrculaclara">
    <w:name w:val="Grid Table Light"/>
    <w:basedOn w:val="Tablanormal"/>
    <w:uiPriority w:val="40"/>
    <w:rsid w:val="007D31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7D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7D31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Normal1">
    <w:name w:val="Table Normal1"/>
    <w:basedOn w:val="Normal"/>
    <w:uiPriority w:val="99"/>
    <w:qFormat/>
    <w:rsid w:val="00E033BE"/>
    <w:pPr>
      <w:widowControl w:val="0"/>
      <w:autoSpaceDE w:val="0"/>
      <w:autoSpaceDN w:val="0"/>
      <w:adjustRightInd w:val="0"/>
      <w:spacing w:after="0" w:line="30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Default">
    <w:name w:val="Default"/>
    <w:rsid w:val="00E03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06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310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0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10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0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1068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F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1A14-6EF4-40E4-A54D-FD628A5B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BOFILL, SILVIA (ELS-BCL)</dc:creator>
  <cp:lastModifiedBy>BOFILL, SILVIA (ELS-BCL)</cp:lastModifiedBy>
  <cp:revision>2</cp:revision>
  <dcterms:created xsi:type="dcterms:W3CDTF">2020-02-07T08:46:00Z</dcterms:created>
  <dcterms:modified xsi:type="dcterms:W3CDTF">2020-02-07T08:46:00Z</dcterms:modified>
</cp:coreProperties>
</file>