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858FB0" w14:textId="12E36457" w:rsidR="00D12E5F" w:rsidRDefault="005C0D4E" w:rsidP="00D12E5F">
      <w:pPr>
        <w:spacing w:line="480" w:lineRule="auto"/>
        <w:jc w:val="both"/>
        <w:rPr>
          <w:rFonts w:ascii="Times New Roman" w:hAnsi="Times New Roman" w:cs="Times New Roman"/>
          <w:sz w:val="24"/>
          <w:szCs w:val="24"/>
        </w:rPr>
      </w:pPr>
      <w:r>
        <w:rPr>
          <w:rFonts w:ascii="Times New Roman" w:hAnsi="Times New Roman" w:cs="Times New Roman"/>
          <w:sz w:val="24"/>
          <w:szCs w:val="24"/>
        </w:rPr>
        <w:t>Tabla. Definición de Variables</w:t>
      </w:r>
    </w:p>
    <w:tbl>
      <w:tblPr>
        <w:tblStyle w:val="Tablaconcuadrcula"/>
        <w:tblW w:w="8500" w:type="dxa"/>
        <w:tblLook w:val="04A0" w:firstRow="1" w:lastRow="0" w:firstColumn="1" w:lastColumn="0" w:noHBand="0" w:noVBand="1"/>
      </w:tblPr>
      <w:tblGrid>
        <w:gridCol w:w="1803"/>
        <w:gridCol w:w="6697"/>
      </w:tblGrid>
      <w:tr w:rsidR="00D12E5F" w14:paraId="5FA0D105" w14:textId="77777777" w:rsidTr="00E63B0C">
        <w:tc>
          <w:tcPr>
            <w:tcW w:w="1802" w:type="dxa"/>
            <w:shd w:val="clear" w:color="auto" w:fill="auto"/>
          </w:tcPr>
          <w:p w14:paraId="77E623EF" w14:textId="77777777" w:rsidR="00D12E5F" w:rsidRDefault="00D12E5F" w:rsidP="005C0D4E">
            <w:pPr>
              <w:pStyle w:val="NormalWeb"/>
              <w:spacing w:after="0" w:line="480" w:lineRule="auto"/>
              <w:rPr>
                <w:rFonts w:ascii="Times New Roman" w:hAnsi="Times New Roman"/>
                <w:b/>
                <w:sz w:val="24"/>
                <w:szCs w:val="24"/>
              </w:rPr>
            </w:pPr>
            <w:r>
              <w:rPr>
                <w:rFonts w:ascii="Times New Roman" w:hAnsi="Times New Roman"/>
                <w:b/>
                <w:sz w:val="24"/>
                <w:szCs w:val="24"/>
              </w:rPr>
              <w:t>Hipertensión arterial (HTA)</w:t>
            </w:r>
          </w:p>
        </w:tc>
        <w:tc>
          <w:tcPr>
            <w:tcW w:w="6697" w:type="dxa"/>
            <w:shd w:val="clear" w:color="auto" w:fill="auto"/>
          </w:tcPr>
          <w:p w14:paraId="52FD6F39" w14:textId="77777777" w:rsidR="00D12E5F" w:rsidRDefault="00D12E5F" w:rsidP="005C0D4E">
            <w:pPr>
              <w:pStyle w:val="NormalWeb"/>
              <w:spacing w:after="0" w:line="480" w:lineRule="auto"/>
              <w:rPr>
                <w:rFonts w:ascii="Times New Roman" w:hAnsi="Times New Roman"/>
                <w:sz w:val="24"/>
                <w:szCs w:val="24"/>
              </w:rPr>
            </w:pPr>
            <w:r>
              <w:rPr>
                <w:rFonts w:ascii="Times New Roman" w:hAnsi="Times New Roman"/>
                <w:sz w:val="24"/>
                <w:szCs w:val="24"/>
              </w:rPr>
              <w:t>Se consideró hipertenso al paciente diagnosticado como tal, o que estuviera tomando medicación antihipertensiva. La medida de la presión arterial se realizó con el paciente sentado, después de 5 minutos de reposo, mediante 2 determinaciones y obteniendo la media, según indican las recomendaciones europeas del año 2013</w:t>
            </w:r>
            <w:r>
              <w:rPr>
                <w:rStyle w:val="Ancladenotafinal"/>
                <w:rFonts w:ascii="Times New Roman" w:hAnsi="Times New Roman"/>
                <w:sz w:val="24"/>
                <w:szCs w:val="24"/>
              </w:rPr>
              <w:endnoteReference w:id="1"/>
            </w:r>
          </w:p>
        </w:tc>
      </w:tr>
      <w:tr w:rsidR="00D12E5F" w14:paraId="7D74B646" w14:textId="77777777" w:rsidTr="00E63B0C">
        <w:tc>
          <w:tcPr>
            <w:tcW w:w="1802" w:type="dxa"/>
            <w:shd w:val="clear" w:color="auto" w:fill="auto"/>
          </w:tcPr>
          <w:p w14:paraId="377F9B90" w14:textId="77777777" w:rsidR="00D12E5F" w:rsidRDefault="00D12E5F" w:rsidP="005C0D4E">
            <w:pPr>
              <w:pStyle w:val="NormalWeb"/>
              <w:spacing w:after="0" w:line="480" w:lineRule="auto"/>
              <w:rPr>
                <w:rFonts w:ascii="Times New Roman" w:hAnsi="Times New Roman"/>
                <w:b/>
                <w:sz w:val="24"/>
                <w:szCs w:val="24"/>
              </w:rPr>
            </w:pPr>
            <w:r>
              <w:rPr>
                <w:rFonts w:ascii="Times New Roman" w:hAnsi="Times New Roman"/>
                <w:b/>
                <w:sz w:val="24"/>
                <w:szCs w:val="24"/>
              </w:rPr>
              <w:t>Diabetes Mellitus (DM)</w:t>
            </w:r>
          </w:p>
        </w:tc>
        <w:tc>
          <w:tcPr>
            <w:tcW w:w="6697" w:type="dxa"/>
            <w:shd w:val="clear" w:color="auto" w:fill="auto"/>
          </w:tcPr>
          <w:p w14:paraId="357FA89F" w14:textId="77777777" w:rsidR="00D12E5F" w:rsidRDefault="00D12E5F" w:rsidP="005C0D4E">
            <w:pPr>
              <w:pStyle w:val="NormalWeb"/>
              <w:spacing w:line="480" w:lineRule="auto"/>
              <w:jc w:val="both"/>
              <w:rPr>
                <w:rFonts w:ascii="Times New Roman" w:hAnsi="Times New Roman"/>
                <w:sz w:val="24"/>
                <w:szCs w:val="24"/>
              </w:rPr>
            </w:pPr>
            <w:r>
              <w:rPr>
                <w:rFonts w:ascii="Times New Roman" w:hAnsi="Times New Roman"/>
                <w:sz w:val="24"/>
                <w:szCs w:val="24"/>
              </w:rPr>
              <w:t>Se consideró diabético al paciente diagnosticado como tal, o que estuviera tomando medicación antidiabética</w:t>
            </w:r>
            <w:r>
              <w:rPr>
                <w:rStyle w:val="Ancladenotafinal"/>
                <w:rFonts w:ascii="Times New Roman" w:hAnsi="Times New Roman"/>
                <w:sz w:val="24"/>
                <w:szCs w:val="24"/>
              </w:rPr>
              <w:endnoteReference w:id="2"/>
            </w:r>
            <w:r>
              <w:rPr>
                <w:rFonts w:ascii="Times New Roman" w:hAnsi="Times New Roman"/>
                <w:sz w:val="24"/>
                <w:szCs w:val="24"/>
              </w:rPr>
              <w:t xml:space="preserve">. </w:t>
            </w:r>
          </w:p>
        </w:tc>
      </w:tr>
      <w:tr w:rsidR="00D12E5F" w14:paraId="7AF4C94D" w14:textId="77777777" w:rsidTr="00E63B0C">
        <w:tc>
          <w:tcPr>
            <w:tcW w:w="1802" w:type="dxa"/>
            <w:shd w:val="clear" w:color="auto" w:fill="auto"/>
          </w:tcPr>
          <w:p w14:paraId="01818575" w14:textId="77777777" w:rsidR="00D12E5F" w:rsidRDefault="00D12E5F" w:rsidP="005C0D4E">
            <w:pPr>
              <w:pStyle w:val="NormalWeb"/>
              <w:spacing w:after="0" w:line="480" w:lineRule="auto"/>
              <w:rPr>
                <w:rFonts w:ascii="Times New Roman" w:hAnsi="Times New Roman"/>
                <w:b/>
                <w:sz w:val="24"/>
                <w:szCs w:val="24"/>
              </w:rPr>
            </w:pPr>
            <w:r>
              <w:rPr>
                <w:rFonts w:ascii="Times New Roman" w:hAnsi="Times New Roman"/>
                <w:b/>
                <w:sz w:val="24"/>
                <w:szCs w:val="24"/>
              </w:rPr>
              <w:t>Dislipemia</w:t>
            </w:r>
          </w:p>
        </w:tc>
        <w:tc>
          <w:tcPr>
            <w:tcW w:w="6697" w:type="dxa"/>
            <w:shd w:val="clear" w:color="auto" w:fill="auto"/>
          </w:tcPr>
          <w:p w14:paraId="60E98DE1" w14:textId="77777777" w:rsidR="00D12E5F" w:rsidRDefault="00D12E5F" w:rsidP="005C0D4E">
            <w:pPr>
              <w:pStyle w:val="NormalWeb"/>
              <w:spacing w:line="480" w:lineRule="auto"/>
              <w:jc w:val="both"/>
              <w:rPr>
                <w:rFonts w:ascii="Times New Roman" w:hAnsi="Times New Roman"/>
                <w:sz w:val="24"/>
                <w:szCs w:val="24"/>
              </w:rPr>
            </w:pPr>
            <w:r>
              <w:rPr>
                <w:rFonts w:ascii="Times New Roman" w:hAnsi="Times New Roman"/>
                <w:sz w:val="24"/>
                <w:szCs w:val="24"/>
              </w:rPr>
              <w:t>Se consideró dislipémico al paciente diagnosticado como tal, o que estuviera tomando medicación hipolipemiante o si en la analítica se detectaban concentraciones de lípidos elevadas en función del riesgo cardiovascular del paciente: colesterol total ≥200 mg/dl, LDL ≥130 mg/dl, HDL &lt;40 mg/dl en varones o &lt;50 mg/dl en mujeres o triglicéridos ≥200 mg/dl, para pacientes con Riesgo Cardiovascular normal, o colesterol total ≥175 mg/dl, LDL ≥100 mg/dl, HDL &lt;40 mg/dl en varones o &lt;46 mg/dl en mujeres o triglicéridos ≥150 mg/dl, para pacientes con Riesgo Cardiovascular elevado</w:t>
            </w:r>
            <w:r>
              <w:rPr>
                <w:rStyle w:val="Ancladenotafinal"/>
                <w:rFonts w:ascii="Times New Roman" w:hAnsi="Times New Roman"/>
                <w:sz w:val="24"/>
                <w:szCs w:val="24"/>
              </w:rPr>
              <w:endnoteReference w:id="3"/>
            </w:r>
            <w:r>
              <w:rPr>
                <w:rFonts w:ascii="Times New Roman" w:hAnsi="Times New Roman"/>
                <w:sz w:val="24"/>
                <w:szCs w:val="24"/>
              </w:rPr>
              <w:t>.</w:t>
            </w:r>
          </w:p>
        </w:tc>
      </w:tr>
      <w:tr w:rsidR="00D12E5F" w14:paraId="133E860F" w14:textId="77777777" w:rsidTr="00E63B0C">
        <w:tc>
          <w:tcPr>
            <w:tcW w:w="1802" w:type="dxa"/>
            <w:shd w:val="clear" w:color="auto" w:fill="auto"/>
          </w:tcPr>
          <w:p w14:paraId="1BDB8F1A" w14:textId="77777777" w:rsidR="00D12E5F" w:rsidRDefault="00D12E5F" w:rsidP="005C0D4E">
            <w:pPr>
              <w:pStyle w:val="NormalWeb"/>
              <w:spacing w:after="0" w:line="480" w:lineRule="auto"/>
              <w:rPr>
                <w:rFonts w:ascii="Times New Roman" w:hAnsi="Times New Roman"/>
                <w:b/>
                <w:sz w:val="24"/>
                <w:szCs w:val="24"/>
              </w:rPr>
            </w:pPr>
            <w:r>
              <w:rPr>
                <w:rFonts w:ascii="Times New Roman" w:hAnsi="Times New Roman"/>
                <w:b/>
                <w:sz w:val="24"/>
                <w:szCs w:val="24"/>
              </w:rPr>
              <w:t>Obesidad</w:t>
            </w:r>
          </w:p>
        </w:tc>
        <w:tc>
          <w:tcPr>
            <w:tcW w:w="6697" w:type="dxa"/>
            <w:shd w:val="clear" w:color="auto" w:fill="auto"/>
          </w:tcPr>
          <w:p w14:paraId="510DA34C" w14:textId="77777777" w:rsidR="00D12E5F" w:rsidRDefault="00D12E5F" w:rsidP="005C0D4E">
            <w:pPr>
              <w:pStyle w:val="NormalWeb"/>
              <w:spacing w:after="0" w:line="480" w:lineRule="auto"/>
              <w:rPr>
                <w:rFonts w:ascii="Times New Roman" w:hAnsi="Times New Roman"/>
                <w:b/>
                <w:sz w:val="24"/>
                <w:szCs w:val="24"/>
                <w:vertAlign w:val="superscript"/>
              </w:rPr>
            </w:pPr>
            <w:r>
              <w:rPr>
                <w:rFonts w:ascii="Times New Roman" w:hAnsi="Times New Roman"/>
                <w:sz w:val="24"/>
                <w:szCs w:val="24"/>
              </w:rPr>
              <w:t>Se definió la obesidad como la existencia de un índice de masa corporal (IMC) ≥ 30 kg/m</w:t>
            </w:r>
            <w:r>
              <w:rPr>
                <w:rFonts w:ascii="Times New Roman" w:hAnsi="Times New Roman"/>
                <w:sz w:val="24"/>
                <w:szCs w:val="24"/>
                <w:vertAlign w:val="superscript"/>
              </w:rPr>
              <w:t>2</w:t>
            </w:r>
            <w:r>
              <w:rPr>
                <w:rFonts w:ascii="Times New Roman" w:hAnsi="Times New Roman"/>
                <w:sz w:val="24"/>
                <w:szCs w:val="24"/>
              </w:rPr>
              <w:t xml:space="preserve">, </w:t>
            </w:r>
            <w:r>
              <w:rPr>
                <w:rFonts w:ascii="Times New Roman" w:hAnsi="Times New Roman"/>
                <w:color w:val="000000" w:themeColor="text1"/>
                <w:sz w:val="24"/>
                <w:szCs w:val="24"/>
              </w:rPr>
              <w:t>midiendo el peso y la talla en la visita de inclusión</w:t>
            </w:r>
            <w:r>
              <w:rPr>
                <w:rStyle w:val="Ancladenotafinal"/>
                <w:rFonts w:ascii="Times New Roman" w:hAnsi="Times New Roman"/>
                <w:color w:val="000000" w:themeColor="text1"/>
                <w:sz w:val="24"/>
                <w:szCs w:val="24"/>
              </w:rPr>
              <w:endnoteReference w:id="4"/>
            </w:r>
          </w:p>
        </w:tc>
      </w:tr>
      <w:tr w:rsidR="00D12E5F" w14:paraId="6735F97F" w14:textId="77777777" w:rsidTr="00E63B0C">
        <w:tc>
          <w:tcPr>
            <w:tcW w:w="1802" w:type="dxa"/>
            <w:shd w:val="clear" w:color="auto" w:fill="auto"/>
          </w:tcPr>
          <w:p w14:paraId="60A9B30E" w14:textId="77777777" w:rsidR="00D12E5F" w:rsidRDefault="00D12E5F" w:rsidP="005C0D4E">
            <w:pPr>
              <w:pStyle w:val="NormalWeb"/>
              <w:spacing w:after="0" w:line="480" w:lineRule="auto"/>
              <w:rPr>
                <w:rFonts w:ascii="Times New Roman" w:hAnsi="Times New Roman"/>
                <w:b/>
                <w:sz w:val="24"/>
                <w:szCs w:val="24"/>
              </w:rPr>
            </w:pPr>
            <w:r>
              <w:rPr>
                <w:rFonts w:ascii="Times New Roman" w:hAnsi="Times New Roman"/>
                <w:b/>
                <w:sz w:val="24"/>
                <w:szCs w:val="24"/>
              </w:rPr>
              <w:t>Obesidad abdominal</w:t>
            </w:r>
          </w:p>
        </w:tc>
        <w:tc>
          <w:tcPr>
            <w:tcW w:w="6697" w:type="dxa"/>
            <w:shd w:val="clear" w:color="auto" w:fill="auto"/>
          </w:tcPr>
          <w:p w14:paraId="69471678" w14:textId="77777777" w:rsidR="00D12E5F" w:rsidRDefault="00D12E5F" w:rsidP="005C0D4E">
            <w:pPr>
              <w:pStyle w:val="NormalWeb"/>
              <w:spacing w:after="0" w:line="480" w:lineRule="auto"/>
              <w:rPr>
                <w:rFonts w:ascii="Times New Roman" w:hAnsi="Times New Roman"/>
                <w:b/>
                <w:sz w:val="24"/>
                <w:szCs w:val="24"/>
                <w:vertAlign w:val="superscript"/>
              </w:rPr>
            </w:pPr>
            <w:r>
              <w:rPr>
                <w:rFonts w:ascii="Times New Roman" w:hAnsi="Times New Roman"/>
                <w:sz w:val="24"/>
                <w:szCs w:val="24"/>
              </w:rPr>
              <w:t>Se define como la presencia del perímetro abdominal elevado (≥ 102 cm en varón y ≥ 88 cm en mujer) medido en el punto medio entre la cresta ilíaca y el reborde costal</w:t>
            </w:r>
            <w:r>
              <w:rPr>
                <w:rFonts w:ascii="Times New Roman" w:hAnsi="Times New Roman"/>
                <w:sz w:val="24"/>
                <w:szCs w:val="24"/>
                <w:vertAlign w:val="superscript"/>
              </w:rPr>
              <w:t>22</w:t>
            </w:r>
          </w:p>
        </w:tc>
      </w:tr>
      <w:tr w:rsidR="00D12E5F" w14:paraId="6B553BC5" w14:textId="77777777" w:rsidTr="00E63B0C">
        <w:tc>
          <w:tcPr>
            <w:tcW w:w="1802" w:type="dxa"/>
            <w:shd w:val="clear" w:color="auto" w:fill="auto"/>
          </w:tcPr>
          <w:p w14:paraId="1CB1594D" w14:textId="77777777" w:rsidR="00D12E5F" w:rsidRDefault="00D12E5F" w:rsidP="005C0D4E">
            <w:pPr>
              <w:pStyle w:val="NormalWeb"/>
              <w:spacing w:after="0" w:line="480" w:lineRule="auto"/>
              <w:rPr>
                <w:rFonts w:ascii="Times New Roman" w:hAnsi="Times New Roman"/>
                <w:b/>
                <w:sz w:val="24"/>
                <w:szCs w:val="24"/>
              </w:rPr>
            </w:pPr>
            <w:r>
              <w:rPr>
                <w:rFonts w:ascii="Times New Roman" w:hAnsi="Times New Roman"/>
                <w:b/>
                <w:sz w:val="24"/>
                <w:szCs w:val="24"/>
              </w:rPr>
              <w:lastRenderedPageBreak/>
              <w:t>Síndrome metabólico (SM)</w:t>
            </w:r>
          </w:p>
        </w:tc>
        <w:tc>
          <w:tcPr>
            <w:tcW w:w="6697" w:type="dxa"/>
            <w:shd w:val="clear" w:color="auto" w:fill="auto"/>
          </w:tcPr>
          <w:p w14:paraId="5ABBA27B" w14:textId="77777777" w:rsidR="00D12E5F" w:rsidRDefault="00D12E5F" w:rsidP="005C0D4E">
            <w:pPr>
              <w:pStyle w:val="NormalWeb"/>
              <w:spacing w:after="0" w:line="480" w:lineRule="auto"/>
              <w:rPr>
                <w:rFonts w:ascii="Times New Roman" w:hAnsi="Times New Roman"/>
                <w:b/>
                <w:sz w:val="24"/>
                <w:szCs w:val="24"/>
              </w:rPr>
            </w:pPr>
            <w:r>
              <w:rPr>
                <w:rFonts w:ascii="Times New Roman" w:hAnsi="Times New Roman"/>
                <w:sz w:val="24"/>
                <w:szCs w:val="24"/>
              </w:rPr>
              <w:t xml:space="preserve">De acuerdo a la definición armonizada del consenso internacional que requiere la presencia de tres de los cinco criterios siguientes: a) elevación de glucemia en ayunas (≥100 mg/dl) o recibir tratamiento antidiabético con insulina o antidiabéticos orales; b) elevación de la presión arterial sistólica ≥130 mmHg o diastólica ≥85 mmHg o recibir tratamiento farmacológico antihipertensivo; c) valores de </w:t>
            </w:r>
            <w:proofErr w:type="spellStart"/>
            <w:r>
              <w:rPr>
                <w:rFonts w:ascii="Times New Roman" w:hAnsi="Times New Roman"/>
                <w:sz w:val="24"/>
                <w:szCs w:val="24"/>
              </w:rPr>
              <w:t>cHDL</w:t>
            </w:r>
            <w:proofErr w:type="spellEnd"/>
            <w:r>
              <w:rPr>
                <w:rFonts w:ascii="Times New Roman" w:hAnsi="Times New Roman"/>
                <w:sz w:val="24"/>
                <w:szCs w:val="24"/>
              </w:rPr>
              <w:t xml:space="preserve"> &lt; 40 mg/dl (varones) o &lt; 50 mg/dl (mujeres); d) triglicéridos ≥150 mg/dl, y </w:t>
            </w:r>
            <w:proofErr w:type="spellStart"/>
            <w:r>
              <w:rPr>
                <w:rFonts w:ascii="Times New Roman" w:hAnsi="Times New Roman"/>
                <w:sz w:val="24"/>
                <w:szCs w:val="24"/>
              </w:rPr>
              <w:t>e</w:t>
            </w:r>
            <w:proofErr w:type="spellEnd"/>
            <w:r>
              <w:rPr>
                <w:rFonts w:ascii="Times New Roman" w:hAnsi="Times New Roman"/>
                <w:sz w:val="24"/>
                <w:szCs w:val="24"/>
              </w:rPr>
              <w:t>) perímetro abdominal ≥102 cm (varones) o ≥88 cm (mujeres)</w:t>
            </w:r>
            <w:r>
              <w:rPr>
                <w:rStyle w:val="Ancladenotafinal"/>
                <w:rFonts w:ascii="Times New Roman" w:hAnsi="Times New Roman"/>
                <w:sz w:val="24"/>
                <w:szCs w:val="24"/>
              </w:rPr>
              <w:endnoteReference w:id="5"/>
            </w:r>
          </w:p>
        </w:tc>
      </w:tr>
      <w:tr w:rsidR="00D12E5F" w14:paraId="05BA0C6D" w14:textId="77777777" w:rsidTr="00E63B0C">
        <w:tc>
          <w:tcPr>
            <w:tcW w:w="1802" w:type="dxa"/>
            <w:shd w:val="clear" w:color="auto" w:fill="auto"/>
          </w:tcPr>
          <w:p w14:paraId="3FE2F4C5" w14:textId="77777777" w:rsidR="00D12E5F" w:rsidRDefault="00D12E5F" w:rsidP="005C0D4E">
            <w:pPr>
              <w:pStyle w:val="NormalWeb"/>
              <w:spacing w:after="0" w:line="480" w:lineRule="auto"/>
              <w:rPr>
                <w:rFonts w:ascii="Times New Roman" w:hAnsi="Times New Roman"/>
                <w:b/>
                <w:sz w:val="24"/>
                <w:szCs w:val="24"/>
              </w:rPr>
            </w:pPr>
            <w:r>
              <w:rPr>
                <w:rFonts w:ascii="Times New Roman" w:hAnsi="Times New Roman"/>
                <w:b/>
                <w:sz w:val="24"/>
                <w:szCs w:val="24"/>
              </w:rPr>
              <w:t>Síndrome metabólico premórbido (SMP)</w:t>
            </w:r>
          </w:p>
        </w:tc>
        <w:tc>
          <w:tcPr>
            <w:tcW w:w="6697" w:type="dxa"/>
            <w:shd w:val="clear" w:color="auto" w:fill="auto"/>
          </w:tcPr>
          <w:p w14:paraId="00D4FB51" w14:textId="77777777" w:rsidR="00D12E5F" w:rsidRDefault="00D12E5F" w:rsidP="005C0D4E">
            <w:pPr>
              <w:pStyle w:val="NormalWeb"/>
              <w:spacing w:after="0" w:line="480" w:lineRule="auto"/>
              <w:rPr>
                <w:rFonts w:ascii="Times New Roman" w:hAnsi="Times New Roman"/>
                <w:b/>
                <w:sz w:val="24"/>
                <w:szCs w:val="24"/>
              </w:rPr>
            </w:pPr>
            <w:r>
              <w:rPr>
                <w:rFonts w:ascii="Times New Roman" w:hAnsi="Times New Roman"/>
                <w:sz w:val="24"/>
                <w:szCs w:val="24"/>
              </w:rPr>
              <w:t>Se definió en aquellos pacientes con SM excluyendo aquellos participantes que padecían DM (previamente diagnosticada o que presentaran cifras de glucemia en ayunas ≥126 mg/dl) o tenían antecedentes de ECV (se aceptó como previamente diagnosticada en quienes declararon haber padecido infarto agudo de miocardio, angina o ictus)</w:t>
            </w:r>
            <w:r>
              <w:rPr>
                <w:rStyle w:val="Ancladenotafinal"/>
                <w:rFonts w:ascii="Times New Roman" w:hAnsi="Times New Roman"/>
                <w:sz w:val="24"/>
                <w:szCs w:val="24"/>
              </w:rPr>
              <w:endnoteReference w:id="6"/>
            </w:r>
          </w:p>
        </w:tc>
      </w:tr>
      <w:tr w:rsidR="00D12E5F" w14:paraId="197920EF" w14:textId="77777777" w:rsidTr="00E63B0C">
        <w:tc>
          <w:tcPr>
            <w:tcW w:w="1802" w:type="dxa"/>
            <w:shd w:val="clear" w:color="auto" w:fill="auto"/>
          </w:tcPr>
          <w:p w14:paraId="4D7B5557" w14:textId="77777777" w:rsidR="00D12E5F" w:rsidRDefault="00D12E5F" w:rsidP="005C0D4E">
            <w:pPr>
              <w:pStyle w:val="NormalWeb"/>
              <w:spacing w:after="0" w:line="480" w:lineRule="auto"/>
              <w:rPr>
                <w:rFonts w:ascii="Times New Roman" w:hAnsi="Times New Roman"/>
                <w:b/>
                <w:sz w:val="24"/>
                <w:szCs w:val="24"/>
              </w:rPr>
            </w:pPr>
            <w:r>
              <w:rPr>
                <w:rFonts w:ascii="Times New Roman" w:hAnsi="Times New Roman"/>
                <w:b/>
                <w:sz w:val="24"/>
                <w:szCs w:val="24"/>
              </w:rPr>
              <w:t>Sedentarismo</w:t>
            </w:r>
          </w:p>
        </w:tc>
        <w:tc>
          <w:tcPr>
            <w:tcW w:w="6697" w:type="dxa"/>
            <w:shd w:val="clear" w:color="auto" w:fill="auto"/>
          </w:tcPr>
          <w:p w14:paraId="0F85C23C" w14:textId="77777777" w:rsidR="00D12E5F" w:rsidRDefault="00D12E5F" w:rsidP="005C0D4E">
            <w:pPr>
              <w:pStyle w:val="NormalWeb"/>
              <w:spacing w:after="0" w:line="480" w:lineRule="auto"/>
              <w:rPr>
                <w:rFonts w:ascii="Times New Roman" w:hAnsi="Times New Roman"/>
                <w:b/>
                <w:sz w:val="24"/>
                <w:szCs w:val="24"/>
              </w:rPr>
            </w:pPr>
            <w:r>
              <w:rPr>
                <w:rFonts w:ascii="Times New Roman" w:hAnsi="Times New Roman"/>
                <w:sz w:val="24"/>
                <w:szCs w:val="24"/>
              </w:rPr>
              <w:t>Se definió sedentarismo como la realización de una actividad física inferior a 30 min de paseo diario de intensidad moderada durante al menos 4 días, según la información obtenida a través de la anamnesis</w:t>
            </w:r>
            <w:r>
              <w:rPr>
                <w:rFonts w:ascii="Times New Roman" w:hAnsi="Times New Roman"/>
                <w:sz w:val="24"/>
                <w:szCs w:val="24"/>
                <w:vertAlign w:val="superscript"/>
              </w:rPr>
              <w:t>22</w:t>
            </w:r>
          </w:p>
        </w:tc>
      </w:tr>
      <w:tr w:rsidR="00D12E5F" w14:paraId="2AE887FD" w14:textId="77777777" w:rsidTr="00E63B0C">
        <w:tc>
          <w:tcPr>
            <w:tcW w:w="1802" w:type="dxa"/>
            <w:shd w:val="clear" w:color="auto" w:fill="auto"/>
          </w:tcPr>
          <w:p w14:paraId="56F13FF3" w14:textId="77777777" w:rsidR="00D12E5F" w:rsidRDefault="00D12E5F" w:rsidP="005C0D4E">
            <w:pPr>
              <w:pStyle w:val="NormalWeb"/>
              <w:spacing w:after="0" w:line="480" w:lineRule="auto"/>
              <w:rPr>
                <w:rFonts w:ascii="Times New Roman" w:hAnsi="Times New Roman"/>
                <w:b/>
                <w:sz w:val="24"/>
                <w:szCs w:val="24"/>
              </w:rPr>
            </w:pPr>
            <w:r>
              <w:rPr>
                <w:rFonts w:ascii="Times New Roman" w:hAnsi="Times New Roman"/>
                <w:b/>
                <w:sz w:val="24"/>
                <w:szCs w:val="24"/>
              </w:rPr>
              <w:t>Tabaquismo</w:t>
            </w:r>
          </w:p>
        </w:tc>
        <w:tc>
          <w:tcPr>
            <w:tcW w:w="6697" w:type="dxa"/>
            <w:shd w:val="clear" w:color="auto" w:fill="auto"/>
          </w:tcPr>
          <w:p w14:paraId="002F1FED" w14:textId="77777777" w:rsidR="00D12E5F" w:rsidRPr="005C0D4E" w:rsidRDefault="00D12E5F" w:rsidP="005C0D4E">
            <w:pPr>
              <w:pStyle w:val="NormalWeb"/>
              <w:spacing w:after="0" w:line="480" w:lineRule="auto"/>
              <w:rPr>
                <w:rFonts w:ascii="Times New Roman" w:hAnsi="Times New Roman"/>
                <w:sz w:val="24"/>
                <w:szCs w:val="24"/>
              </w:rPr>
            </w:pPr>
            <w:r w:rsidRPr="005C0D4E">
              <w:rPr>
                <w:rFonts w:ascii="Times New Roman" w:hAnsi="Times New Roman"/>
                <w:sz w:val="24"/>
                <w:szCs w:val="24"/>
              </w:rPr>
              <w:t xml:space="preserve">Se define como fumador a aquella persona que refiere en el último mes previo a la inclusión en el protocolo consumir tabaco (cigarros, puros y pipa), al menos una unidad a lo largo del mes, y exfumador al paciente que no ha fumado en el último año. Se consideró fumador en proceso de abandono a aquel sujeto que no </w:t>
            </w:r>
            <w:r w:rsidRPr="005C0D4E">
              <w:rPr>
                <w:rFonts w:ascii="Times New Roman" w:hAnsi="Times New Roman"/>
                <w:sz w:val="24"/>
                <w:szCs w:val="24"/>
              </w:rPr>
              <w:lastRenderedPageBreak/>
              <w:t>ha fumado en el último mes, pero no ha alcanzado el año sin consumo. Se consideró no fumador al que nunca ha fumado</w:t>
            </w:r>
            <w:r w:rsidRPr="005C0D4E">
              <w:rPr>
                <w:rStyle w:val="Ancladenotafinal"/>
                <w:rFonts w:ascii="Times New Roman" w:hAnsi="Times New Roman"/>
                <w:sz w:val="24"/>
                <w:szCs w:val="24"/>
              </w:rPr>
              <w:endnoteReference w:id="7"/>
            </w:r>
            <w:r w:rsidRPr="005C0D4E">
              <w:rPr>
                <w:rFonts w:ascii="Times New Roman" w:hAnsi="Times New Roman"/>
                <w:sz w:val="24"/>
                <w:szCs w:val="24"/>
              </w:rPr>
              <w:t>.</w:t>
            </w:r>
          </w:p>
        </w:tc>
      </w:tr>
      <w:tr w:rsidR="00D12E5F" w14:paraId="082773F1" w14:textId="77777777" w:rsidTr="00E63B0C">
        <w:tc>
          <w:tcPr>
            <w:tcW w:w="1802" w:type="dxa"/>
            <w:shd w:val="clear" w:color="auto" w:fill="auto"/>
          </w:tcPr>
          <w:p w14:paraId="35B5B3ED" w14:textId="77777777" w:rsidR="00D12E5F" w:rsidRDefault="00D12E5F" w:rsidP="005C0D4E">
            <w:pPr>
              <w:pStyle w:val="NormalWeb"/>
              <w:spacing w:after="0" w:line="480" w:lineRule="auto"/>
              <w:rPr>
                <w:rFonts w:ascii="Times New Roman" w:hAnsi="Times New Roman"/>
                <w:b/>
                <w:sz w:val="24"/>
                <w:szCs w:val="24"/>
              </w:rPr>
            </w:pPr>
            <w:r>
              <w:rPr>
                <w:rFonts w:ascii="Times New Roman" w:hAnsi="Times New Roman"/>
                <w:b/>
                <w:sz w:val="24"/>
                <w:szCs w:val="24"/>
              </w:rPr>
              <w:lastRenderedPageBreak/>
              <w:t>Alcoholismo</w:t>
            </w:r>
          </w:p>
        </w:tc>
        <w:tc>
          <w:tcPr>
            <w:tcW w:w="6697" w:type="dxa"/>
            <w:shd w:val="clear" w:color="auto" w:fill="auto"/>
          </w:tcPr>
          <w:p w14:paraId="16C46A1C" w14:textId="77777777" w:rsidR="00D12E5F" w:rsidRPr="005C0D4E" w:rsidRDefault="00D12E5F" w:rsidP="005C0D4E">
            <w:pPr>
              <w:pStyle w:val="NormalWeb"/>
              <w:spacing w:after="0" w:line="480" w:lineRule="auto"/>
              <w:rPr>
                <w:rFonts w:ascii="Times New Roman" w:hAnsi="Times New Roman"/>
                <w:b/>
                <w:sz w:val="24"/>
                <w:szCs w:val="24"/>
              </w:rPr>
            </w:pPr>
            <w:r w:rsidRPr="005C0D4E">
              <w:rPr>
                <w:rFonts w:ascii="Times New Roman" w:hAnsi="Times New Roman"/>
                <w:sz w:val="24"/>
                <w:szCs w:val="24"/>
              </w:rPr>
              <w:t>Se consideró consumo de riesgo cuando en la entrevista clínica el paciente refería una ingesta por día superior a 4 unidades en los varones (40 g) y 3 unidades en las mujeres (30 g)</w:t>
            </w:r>
            <w:r w:rsidRPr="005C0D4E">
              <w:rPr>
                <w:rStyle w:val="Ancladenotafinal"/>
                <w:rFonts w:ascii="Times New Roman" w:hAnsi="Times New Roman"/>
                <w:sz w:val="24"/>
                <w:szCs w:val="24"/>
              </w:rPr>
              <w:endnoteReference w:id="8"/>
            </w:r>
          </w:p>
        </w:tc>
      </w:tr>
      <w:tr w:rsidR="00D12E5F" w14:paraId="1AA1532C" w14:textId="77777777" w:rsidTr="00E63B0C">
        <w:tc>
          <w:tcPr>
            <w:tcW w:w="1802" w:type="dxa"/>
            <w:shd w:val="clear" w:color="auto" w:fill="auto"/>
          </w:tcPr>
          <w:p w14:paraId="6C9787C4" w14:textId="77777777" w:rsidR="00D12E5F" w:rsidRDefault="00D12E5F" w:rsidP="005C0D4E">
            <w:pPr>
              <w:pStyle w:val="NormalWeb"/>
              <w:spacing w:after="0" w:line="480" w:lineRule="auto"/>
              <w:rPr>
                <w:rFonts w:ascii="Times New Roman" w:hAnsi="Times New Roman"/>
                <w:b/>
                <w:sz w:val="24"/>
                <w:szCs w:val="24"/>
              </w:rPr>
            </w:pPr>
            <w:r>
              <w:rPr>
                <w:rFonts w:ascii="Times New Roman" w:hAnsi="Times New Roman"/>
                <w:b/>
                <w:sz w:val="24"/>
                <w:szCs w:val="24"/>
              </w:rPr>
              <w:t>Antecedentes familiares de ECV precoz</w:t>
            </w:r>
          </w:p>
        </w:tc>
        <w:tc>
          <w:tcPr>
            <w:tcW w:w="6697" w:type="dxa"/>
            <w:shd w:val="clear" w:color="auto" w:fill="auto"/>
          </w:tcPr>
          <w:p w14:paraId="0C405248" w14:textId="77777777" w:rsidR="00D12E5F" w:rsidRDefault="00D12E5F" w:rsidP="005C0D4E">
            <w:pPr>
              <w:pStyle w:val="NormalWeb"/>
              <w:spacing w:after="0" w:line="480" w:lineRule="auto"/>
              <w:rPr>
                <w:rFonts w:ascii="Times New Roman" w:hAnsi="Times New Roman"/>
                <w:sz w:val="24"/>
                <w:szCs w:val="24"/>
              </w:rPr>
            </w:pPr>
            <w:r>
              <w:rPr>
                <w:rFonts w:ascii="Times New Roman" w:hAnsi="Times New Roman"/>
                <w:sz w:val="24"/>
                <w:szCs w:val="24"/>
              </w:rPr>
              <w:t xml:space="preserve">Se consideró el antecedente familiar de ECV prematura cuando algún familiar de primer grado presentó un evento CV antes de los 55 </w:t>
            </w:r>
            <w:proofErr w:type="gramStart"/>
            <w:r>
              <w:rPr>
                <w:rFonts w:ascii="Times New Roman" w:hAnsi="Times New Roman"/>
                <w:sz w:val="24"/>
                <w:szCs w:val="24"/>
              </w:rPr>
              <w:t>años de edad</w:t>
            </w:r>
            <w:proofErr w:type="gramEnd"/>
            <w:r>
              <w:rPr>
                <w:rFonts w:ascii="Times New Roman" w:hAnsi="Times New Roman"/>
                <w:sz w:val="24"/>
                <w:szCs w:val="24"/>
              </w:rPr>
              <w:t>, en caso de varón, o 60 años, en caso de mujer</w:t>
            </w:r>
            <w:r>
              <w:rPr>
                <w:rFonts w:ascii="Times New Roman" w:hAnsi="Times New Roman"/>
                <w:sz w:val="24"/>
                <w:szCs w:val="24"/>
                <w:vertAlign w:val="superscript"/>
              </w:rPr>
              <w:t>22</w:t>
            </w:r>
            <w:r>
              <w:rPr>
                <w:rFonts w:ascii="Times New Roman" w:hAnsi="Times New Roman"/>
                <w:sz w:val="24"/>
                <w:szCs w:val="24"/>
              </w:rPr>
              <w:t>.</w:t>
            </w:r>
          </w:p>
        </w:tc>
      </w:tr>
      <w:tr w:rsidR="00D12E5F" w14:paraId="296F1EBA" w14:textId="77777777" w:rsidTr="00E63B0C">
        <w:tc>
          <w:tcPr>
            <w:tcW w:w="1802" w:type="dxa"/>
            <w:shd w:val="clear" w:color="auto" w:fill="auto"/>
          </w:tcPr>
          <w:p w14:paraId="3A008F9C" w14:textId="77777777" w:rsidR="00D12E5F" w:rsidRDefault="00D12E5F" w:rsidP="005C0D4E">
            <w:pPr>
              <w:pStyle w:val="NormalWeb"/>
              <w:spacing w:after="0" w:line="480" w:lineRule="auto"/>
              <w:rPr>
                <w:rFonts w:ascii="Times New Roman" w:hAnsi="Times New Roman"/>
                <w:b/>
                <w:sz w:val="24"/>
                <w:szCs w:val="24"/>
              </w:rPr>
            </w:pPr>
            <w:r>
              <w:rPr>
                <w:rFonts w:ascii="Times New Roman" w:hAnsi="Times New Roman"/>
                <w:b/>
                <w:sz w:val="24"/>
                <w:szCs w:val="24"/>
              </w:rPr>
              <w:t>Enfermedad Cardiovascular</w:t>
            </w:r>
          </w:p>
        </w:tc>
        <w:tc>
          <w:tcPr>
            <w:tcW w:w="6697" w:type="dxa"/>
            <w:shd w:val="clear" w:color="auto" w:fill="auto"/>
          </w:tcPr>
          <w:p w14:paraId="4292183B" w14:textId="77777777" w:rsidR="00D12E5F" w:rsidRPr="005C0D4E" w:rsidRDefault="00D12E5F" w:rsidP="005C0D4E">
            <w:pPr>
              <w:pStyle w:val="NormalWeb"/>
              <w:spacing w:line="480" w:lineRule="auto"/>
              <w:jc w:val="both"/>
              <w:rPr>
                <w:rFonts w:ascii="Times New Roman" w:hAnsi="Times New Roman"/>
                <w:sz w:val="24"/>
                <w:szCs w:val="24"/>
              </w:rPr>
            </w:pPr>
            <w:r w:rsidRPr="005C0D4E">
              <w:rPr>
                <w:rFonts w:ascii="Times New Roman" w:hAnsi="Times New Roman"/>
                <w:sz w:val="24"/>
                <w:szCs w:val="24"/>
              </w:rPr>
              <w:t xml:space="preserve">Se estableció que un paciente presentaba cardiopatía isquémica cuando constase documentalmente en la historia clínica los antecedentes o diagnóstico de </w:t>
            </w:r>
            <w:proofErr w:type="spellStart"/>
            <w:r w:rsidRPr="005C0D4E">
              <w:rPr>
                <w:rFonts w:ascii="Times New Roman" w:hAnsi="Times New Roman"/>
                <w:sz w:val="24"/>
                <w:szCs w:val="24"/>
              </w:rPr>
              <w:t>angor</w:t>
            </w:r>
            <w:proofErr w:type="spellEnd"/>
            <w:r w:rsidRPr="005C0D4E">
              <w:rPr>
                <w:rFonts w:ascii="Times New Roman" w:hAnsi="Times New Roman"/>
                <w:sz w:val="24"/>
                <w:szCs w:val="24"/>
              </w:rPr>
              <w:t>, infarto agudo de miocardio o que se le hubiese realizado algún tipo de revascularización coronaria</w:t>
            </w:r>
            <w:r w:rsidRPr="005C0D4E">
              <w:rPr>
                <w:rFonts w:ascii="Times New Roman" w:hAnsi="Times New Roman"/>
                <w:sz w:val="24"/>
                <w:szCs w:val="24"/>
                <w:vertAlign w:val="superscript"/>
              </w:rPr>
              <w:t>22</w:t>
            </w:r>
            <w:r w:rsidRPr="005C0D4E">
              <w:rPr>
                <w:rFonts w:ascii="Times New Roman" w:hAnsi="Times New Roman"/>
                <w:sz w:val="24"/>
                <w:szCs w:val="24"/>
              </w:rPr>
              <w:t>.</w:t>
            </w:r>
          </w:p>
          <w:p w14:paraId="79B870FD" w14:textId="77777777" w:rsidR="00D12E5F" w:rsidRPr="005C0D4E" w:rsidRDefault="00D12E5F" w:rsidP="005C0D4E">
            <w:pPr>
              <w:pStyle w:val="NormalWeb"/>
              <w:spacing w:before="280" w:line="480" w:lineRule="auto"/>
              <w:jc w:val="both"/>
              <w:rPr>
                <w:rFonts w:ascii="Times New Roman" w:hAnsi="Times New Roman"/>
                <w:sz w:val="24"/>
                <w:szCs w:val="24"/>
              </w:rPr>
            </w:pPr>
            <w:r w:rsidRPr="005C0D4E">
              <w:rPr>
                <w:rFonts w:ascii="Times New Roman" w:hAnsi="Times New Roman"/>
                <w:sz w:val="24"/>
                <w:szCs w:val="24"/>
              </w:rPr>
              <w:t>Se consideró que un paciente padecía una insuficiencia cardíaca, cuando constase en la historia clínica este antecedente</w:t>
            </w:r>
            <w:r w:rsidRPr="005C0D4E">
              <w:rPr>
                <w:rFonts w:ascii="Times New Roman" w:hAnsi="Times New Roman"/>
                <w:sz w:val="24"/>
                <w:szCs w:val="24"/>
                <w:vertAlign w:val="superscript"/>
              </w:rPr>
              <w:t>22</w:t>
            </w:r>
            <w:r w:rsidRPr="005C0D4E">
              <w:rPr>
                <w:rFonts w:ascii="Times New Roman" w:hAnsi="Times New Roman"/>
                <w:sz w:val="24"/>
                <w:szCs w:val="24"/>
              </w:rPr>
              <w:t>.</w:t>
            </w:r>
          </w:p>
          <w:p w14:paraId="33D386C8" w14:textId="77777777" w:rsidR="00D12E5F" w:rsidRPr="005C0D4E" w:rsidRDefault="00D12E5F" w:rsidP="005C0D4E">
            <w:pPr>
              <w:pStyle w:val="NormalWeb"/>
              <w:spacing w:before="280" w:line="480" w:lineRule="auto"/>
              <w:jc w:val="both"/>
              <w:rPr>
                <w:rFonts w:ascii="Times New Roman" w:hAnsi="Times New Roman"/>
                <w:sz w:val="24"/>
                <w:szCs w:val="24"/>
              </w:rPr>
            </w:pPr>
            <w:r w:rsidRPr="005C0D4E">
              <w:rPr>
                <w:rFonts w:ascii="Times New Roman" w:hAnsi="Times New Roman"/>
                <w:sz w:val="24"/>
                <w:szCs w:val="24"/>
              </w:rPr>
              <w:t xml:space="preserve">La enfermedad </w:t>
            </w:r>
            <w:proofErr w:type="gramStart"/>
            <w:r w:rsidRPr="005C0D4E">
              <w:rPr>
                <w:rFonts w:ascii="Times New Roman" w:hAnsi="Times New Roman"/>
                <w:sz w:val="24"/>
                <w:szCs w:val="24"/>
              </w:rPr>
              <w:t>cerebro-vascular</w:t>
            </w:r>
            <w:proofErr w:type="gramEnd"/>
            <w:r w:rsidRPr="005C0D4E">
              <w:rPr>
                <w:rFonts w:ascii="Times New Roman" w:hAnsi="Times New Roman"/>
                <w:sz w:val="24"/>
                <w:szCs w:val="24"/>
              </w:rPr>
              <w:t xml:space="preserve"> se definió cuando figuraba en la historia clínica el antecedente o diagnóstico de ictus hemorrágico, ictus isquémico, ataque isquémico transitorio (AIT), estenosis carotídea o se le hubiese practicado una intervención vascular sobre la arteria carótida por aterosclerosis de la misma</w:t>
            </w:r>
            <w:r w:rsidRPr="005C0D4E">
              <w:rPr>
                <w:rFonts w:ascii="Times New Roman" w:hAnsi="Times New Roman"/>
                <w:sz w:val="24"/>
                <w:szCs w:val="24"/>
                <w:vertAlign w:val="superscript"/>
              </w:rPr>
              <w:t>22</w:t>
            </w:r>
            <w:r w:rsidRPr="005C0D4E">
              <w:rPr>
                <w:rFonts w:ascii="Times New Roman" w:hAnsi="Times New Roman"/>
                <w:sz w:val="24"/>
                <w:szCs w:val="24"/>
              </w:rPr>
              <w:t xml:space="preserve">. </w:t>
            </w:r>
          </w:p>
          <w:p w14:paraId="54E67DA6" w14:textId="77777777" w:rsidR="00D12E5F" w:rsidRPr="005C0D4E" w:rsidRDefault="00D12E5F" w:rsidP="005C0D4E">
            <w:pPr>
              <w:pStyle w:val="NormalWeb"/>
              <w:spacing w:before="280" w:line="480" w:lineRule="auto"/>
              <w:jc w:val="both"/>
              <w:rPr>
                <w:rFonts w:ascii="Times New Roman" w:hAnsi="Times New Roman"/>
                <w:sz w:val="24"/>
                <w:szCs w:val="24"/>
              </w:rPr>
            </w:pPr>
            <w:r w:rsidRPr="005C0D4E">
              <w:rPr>
                <w:rFonts w:ascii="Times New Roman" w:hAnsi="Times New Roman"/>
                <w:sz w:val="24"/>
                <w:szCs w:val="24"/>
              </w:rPr>
              <w:t xml:space="preserve">Se consideró que un paciente presentaba arteriopatía periférica o enfermedad arterial periférica (EAP) cuando el valor del índice tobillo brazo medido por el investigador era &lt;0,9 en al menos un </w:t>
            </w:r>
            <w:r w:rsidRPr="005C0D4E">
              <w:rPr>
                <w:rFonts w:ascii="Times New Roman" w:hAnsi="Times New Roman"/>
                <w:sz w:val="24"/>
                <w:szCs w:val="24"/>
              </w:rPr>
              <w:lastRenderedPageBreak/>
              <w:t>miembro, constase en la historia clínica el antecedente o hubiese sido sometido a algún tipo de revascularización en arterias de extremidades inferiores</w:t>
            </w:r>
            <w:r w:rsidRPr="005C0D4E">
              <w:rPr>
                <w:rFonts w:ascii="Times New Roman" w:hAnsi="Times New Roman"/>
                <w:sz w:val="24"/>
                <w:szCs w:val="24"/>
                <w:vertAlign w:val="superscript"/>
              </w:rPr>
              <w:t>22</w:t>
            </w:r>
            <w:r w:rsidRPr="005C0D4E">
              <w:rPr>
                <w:rFonts w:ascii="Times New Roman" w:hAnsi="Times New Roman"/>
                <w:sz w:val="24"/>
                <w:szCs w:val="24"/>
              </w:rPr>
              <w:t>.</w:t>
            </w:r>
          </w:p>
        </w:tc>
      </w:tr>
      <w:tr w:rsidR="00D12E5F" w14:paraId="20186102" w14:textId="77777777" w:rsidTr="00E63B0C">
        <w:tc>
          <w:tcPr>
            <w:tcW w:w="1802" w:type="dxa"/>
            <w:shd w:val="clear" w:color="auto" w:fill="auto"/>
          </w:tcPr>
          <w:p w14:paraId="26FA7BBF" w14:textId="77777777" w:rsidR="00D12E5F" w:rsidRDefault="00D12E5F" w:rsidP="005C0D4E">
            <w:pPr>
              <w:pStyle w:val="NormalWeb"/>
              <w:spacing w:after="0" w:line="480" w:lineRule="auto"/>
              <w:rPr>
                <w:rFonts w:ascii="Times New Roman" w:hAnsi="Times New Roman"/>
                <w:b/>
                <w:sz w:val="24"/>
                <w:szCs w:val="24"/>
              </w:rPr>
            </w:pPr>
            <w:r>
              <w:rPr>
                <w:rFonts w:ascii="Times New Roman" w:hAnsi="Times New Roman"/>
                <w:b/>
                <w:sz w:val="24"/>
                <w:szCs w:val="24"/>
              </w:rPr>
              <w:lastRenderedPageBreak/>
              <w:t>Nefropatía</w:t>
            </w:r>
          </w:p>
        </w:tc>
        <w:tc>
          <w:tcPr>
            <w:tcW w:w="6697" w:type="dxa"/>
            <w:shd w:val="clear" w:color="auto" w:fill="auto"/>
          </w:tcPr>
          <w:p w14:paraId="726A0E5F" w14:textId="77777777" w:rsidR="00D12E5F" w:rsidRPr="005C0D4E" w:rsidRDefault="00D12E5F" w:rsidP="005C0D4E">
            <w:pPr>
              <w:pStyle w:val="NormalWeb"/>
              <w:spacing w:after="0" w:line="480" w:lineRule="auto"/>
              <w:rPr>
                <w:rFonts w:ascii="Times New Roman" w:hAnsi="Times New Roman"/>
                <w:sz w:val="24"/>
                <w:szCs w:val="24"/>
              </w:rPr>
            </w:pPr>
            <w:r w:rsidRPr="005C0D4E">
              <w:rPr>
                <w:rFonts w:ascii="Times New Roman" w:hAnsi="Times New Roman"/>
                <w:sz w:val="24"/>
                <w:szCs w:val="24"/>
              </w:rPr>
              <w:t>Se definió como la eliminación urinaria de albumina entre 30-300 mg/24 horas, y proteinuria la excreción de albúmina mayor de 300 mg/24 horas</w:t>
            </w:r>
            <w:r w:rsidRPr="005C0D4E">
              <w:rPr>
                <w:rStyle w:val="Ancladenotafinal"/>
                <w:rFonts w:ascii="Times New Roman" w:hAnsi="Times New Roman"/>
                <w:sz w:val="24"/>
                <w:szCs w:val="24"/>
              </w:rPr>
              <w:endnoteReference w:id="9"/>
            </w:r>
            <w:r w:rsidRPr="005C0D4E">
              <w:rPr>
                <w:rFonts w:ascii="Times New Roman" w:hAnsi="Times New Roman"/>
                <w:sz w:val="24"/>
                <w:szCs w:val="24"/>
              </w:rPr>
              <w:t>.</w:t>
            </w:r>
          </w:p>
          <w:p w14:paraId="69B6575B" w14:textId="77777777" w:rsidR="00D12E5F" w:rsidRPr="005C0D4E" w:rsidRDefault="00D12E5F" w:rsidP="005C0D4E">
            <w:pPr>
              <w:pStyle w:val="NormalWeb"/>
              <w:spacing w:after="0" w:line="480" w:lineRule="auto"/>
              <w:rPr>
                <w:rFonts w:ascii="Times New Roman" w:hAnsi="Times New Roman"/>
                <w:sz w:val="24"/>
                <w:szCs w:val="24"/>
              </w:rPr>
            </w:pPr>
            <w:r w:rsidRPr="005C0D4E">
              <w:rPr>
                <w:rFonts w:ascii="Times New Roman" w:hAnsi="Times New Roman"/>
                <w:sz w:val="24"/>
                <w:szCs w:val="24"/>
              </w:rPr>
              <w:t>Se estimó el filtrado glomerular según la fórmula CKD-EPI</w:t>
            </w:r>
            <w:r w:rsidRPr="005C0D4E">
              <w:rPr>
                <w:rStyle w:val="Ancladenotafinal"/>
                <w:rFonts w:ascii="Times New Roman" w:hAnsi="Times New Roman"/>
                <w:sz w:val="24"/>
                <w:szCs w:val="24"/>
              </w:rPr>
              <w:endnoteReference w:id="10"/>
            </w:r>
            <w:r w:rsidRPr="005C0D4E">
              <w:rPr>
                <w:rFonts w:ascii="Times New Roman" w:hAnsi="Times New Roman"/>
                <w:sz w:val="24"/>
                <w:szCs w:val="24"/>
              </w:rPr>
              <w:t xml:space="preserve">. En base a esto, se clasificó la ERC en los siguientes </w:t>
            </w:r>
            <w:proofErr w:type="gramStart"/>
            <w:r w:rsidRPr="005C0D4E">
              <w:rPr>
                <w:rFonts w:ascii="Times New Roman" w:hAnsi="Times New Roman"/>
                <w:sz w:val="24"/>
                <w:szCs w:val="24"/>
              </w:rPr>
              <w:t>estadíos</w:t>
            </w:r>
            <w:proofErr w:type="gramEnd"/>
            <w:r w:rsidRPr="005C0D4E">
              <w:rPr>
                <w:rFonts w:ascii="Times New Roman" w:hAnsi="Times New Roman"/>
                <w:sz w:val="24"/>
                <w:szCs w:val="24"/>
              </w:rPr>
              <w:t>:</w:t>
            </w:r>
          </w:p>
          <w:p w14:paraId="13424036" w14:textId="77777777" w:rsidR="00D12E5F" w:rsidRPr="005C0D4E" w:rsidRDefault="00D12E5F" w:rsidP="005C0D4E">
            <w:pPr>
              <w:pStyle w:val="NormalWeb"/>
              <w:numPr>
                <w:ilvl w:val="0"/>
                <w:numId w:val="1"/>
              </w:numPr>
              <w:spacing w:before="280" w:after="0" w:line="480" w:lineRule="auto"/>
              <w:rPr>
                <w:rFonts w:ascii="Times New Roman" w:hAnsi="Times New Roman"/>
                <w:bCs/>
                <w:sz w:val="24"/>
                <w:szCs w:val="24"/>
              </w:rPr>
            </w:pPr>
            <w:r w:rsidRPr="005C0D4E">
              <w:rPr>
                <w:rFonts w:ascii="Times New Roman" w:hAnsi="Times New Roman"/>
                <w:bCs/>
                <w:sz w:val="24"/>
                <w:szCs w:val="24"/>
              </w:rPr>
              <w:t>Estadio 1: FGe G1 con albuminuria aumentada A2 o A3.</w:t>
            </w:r>
          </w:p>
          <w:p w14:paraId="6FA61EA6" w14:textId="77777777" w:rsidR="00D12E5F" w:rsidRPr="005C0D4E" w:rsidRDefault="00D12E5F" w:rsidP="005C0D4E">
            <w:pPr>
              <w:pStyle w:val="NormalWeb"/>
              <w:numPr>
                <w:ilvl w:val="0"/>
                <w:numId w:val="1"/>
              </w:numPr>
              <w:spacing w:before="280" w:after="0" w:line="480" w:lineRule="auto"/>
              <w:rPr>
                <w:rFonts w:ascii="Times New Roman" w:hAnsi="Times New Roman"/>
                <w:bCs/>
                <w:sz w:val="24"/>
                <w:szCs w:val="24"/>
              </w:rPr>
            </w:pPr>
            <w:r w:rsidRPr="005C0D4E">
              <w:rPr>
                <w:rFonts w:ascii="Times New Roman" w:hAnsi="Times New Roman"/>
                <w:bCs/>
                <w:sz w:val="24"/>
                <w:szCs w:val="24"/>
              </w:rPr>
              <w:t>Estadio 2: FGe G2 con albuminuria aumentada A2 o A3.</w:t>
            </w:r>
          </w:p>
          <w:p w14:paraId="52F2A7A3" w14:textId="77777777" w:rsidR="00D12E5F" w:rsidRPr="005C0D4E" w:rsidRDefault="00D12E5F" w:rsidP="005C0D4E">
            <w:pPr>
              <w:pStyle w:val="NormalWeb"/>
              <w:numPr>
                <w:ilvl w:val="0"/>
                <w:numId w:val="1"/>
              </w:numPr>
              <w:spacing w:before="280" w:after="0" w:line="480" w:lineRule="auto"/>
              <w:rPr>
                <w:rFonts w:ascii="Times New Roman" w:hAnsi="Times New Roman"/>
                <w:bCs/>
                <w:sz w:val="24"/>
                <w:szCs w:val="24"/>
              </w:rPr>
            </w:pPr>
            <w:r w:rsidRPr="005C0D4E">
              <w:rPr>
                <w:rFonts w:ascii="Times New Roman" w:hAnsi="Times New Roman"/>
                <w:bCs/>
                <w:sz w:val="24"/>
                <w:szCs w:val="24"/>
              </w:rPr>
              <w:t xml:space="preserve">Estadio 3a: FGe G3a con </w:t>
            </w:r>
            <w:proofErr w:type="spellStart"/>
            <w:r w:rsidRPr="005C0D4E">
              <w:rPr>
                <w:rFonts w:ascii="Times New Roman" w:hAnsi="Times New Roman"/>
                <w:bCs/>
                <w:sz w:val="24"/>
                <w:szCs w:val="24"/>
              </w:rPr>
              <w:t>normoalbuminuria</w:t>
            </w:r>
            <w:proofErr w:type="spellEnd"/>
            <w:r w:rsidRPr="005C0D4E">
              <w:rPr>
                <w:rFonts w:ascii="Times New Roman" w:hAnsi="Times New Roman"/>
                <w:bCs/>
                <w:sz w:val="24"/>
                <w:szCs w:val="24"/>
              </w:rPr>
              <w:t xml:space="preserve"> A1 o albuminuria aumentada A2 o A3.</w:t>
            </w:r>
          </w:p>
          <w:p w14:paraId="4215F041" w14:textId="77777777" w:rsidR="00D12E5F" w:rsidRPr="005C0D4E" w:rsidRDefault="00D12E5F" w:rsidP="005C0D4E">
            <w:pPr>
              <w:pStyle w:val="NormalWeb"/>
              <w:numPr>
                <w:ilvl w:val="0"/>
                <w:numId w:val="1"/>
              </w:numPr>
              <w:spacing w:before="280" w:after="0" w:line="480" w:lineRule="auto"/>
              <w:rPr>
                <w:rFonts w:ascii="Times New Roman" w:hAnsi="Times New Roman"/>
                <w:bCs/>
                <w:sz w:val="24"/>
                <w:szCs w:val="24"/>
              </w:rPr>
            </w:pPr>
            <w:r w:rsidRPr="005C0D4E">
              <w:rPr>
                <w:rFonts w:ascii="Times New Roman" w:hAnsi="Times New Roman"/>
                <w:bCs/>
                <w:sz w:val="24"/>
                <w:szCs w:val="24"/>
              </w:rPr>
              <w:t xml:space="preserve">Estadio 3b: FGe G3b con </w:t>
            </w:r>
            <w:proofErr w:type="spellStart"/>
            <w:r w:rsidRPr="005C0D4E">
              <w:rPr>
                <w:rFonts w:ascii="Times New Roman" w:hAnsi="Times New Roman"/>
                <w:bCs/>
                <w:sz w:val="24"/>
                <w:szCs w:val="24"/>
              </w:rPr>
              <w:t>normoalbuminuria</w:t>
            </w:r>
            <w:proofErr w:type="spellEnd"/>
            <w:r w:rsidRPr="005C0D4E">
              <w:rPr>
                <w:rFonts w:ascii="Times New Roman" w:hAnsi="Times New Roman"/>
                <w:bCs/>
                <w:sz w:val="24"/>
                <w:szCs w:val="24"/>
              </w:rPr>
              <w:t xml:space="preserve"> A1 o albuminuria aumentada A2 o A3.</w:t>
            </w:r>
          </w:p>
          <w:p w14:paraId="5EAED7DC" w14:textId="77777777" w:rsidR="00D12E5F" w:rsidRPr="005C0D4E" w:rsidRDefault="00D12E5F" w:rsidP="005C0D4E">
            <w:pPr>
              <w:pStyle w:val="NormalWeb"/>
              <w:numPr>
                <w:ilvl w:val="0"/>
                <w:numId w:val="1"/>
              </w:numPr>
              <w:spacing w:before="280" w:after="0" w:line="480" w:lineRule="auto"/>
              <w:rPr>
                <w:rFonts w:ascii="Times New Roman" w:hAnsi="Times New Roman"/>
                <w:bCs/>
                <w:sz w:val="24"/>
                <w:szCs w:val="24"/>
              </w:rPr>
            </w:pPr>
            <w:r w:rsidRPr="005C0D4E">
              <w:rPr>
                <w:rFonts w:ascii="Times New Roman" w:hAnsi="Times New Roman"/>
                <w:bCs/>
                <w:sz w:val="24"/>
                <w:szCs w:val="24"/>
              </w:rPr>
              <w:t xml:space="preserve">Estadio 4: FGe G4 con </w:t>
            </w:r>
            <w:proofErr w:type="spellStart"/>
            <w:r w:rsidRPr="005C0D4E">
              <w:rPr>
                <w:rFonts w:ascii="Times New Roman" w:hAnsi="Times New Roman"/>
                <w:bCs/>
                <w:sz w:val="24"/>
                <w:szCs w:val="24"/>
              </w:rPr>
              <w:t>normoalbuminuria</w:t>
            </w:r>
            <w:proofErr w:type="spellEnd"/>
            <w:r w:rsidRPr="005C0D4E">
              <w:rPr>
                <w:rFonts w:ascii="Times New Roman" w:hAnsi="Times New Roman"/>
                <w:bCs/>
                <w:sz w:val="24"/>
                <w:szCs w:val="24"/>
              </w:rPr>
              <w:t xml:space="preserve"> A1 o albuminuria aumentada A2 o A3.</w:t>
            </w:r>
          </w:p>
          <w:p w14:paraId="749C027D" w14:textId="77777777" w:rsidR="00D12E5F" w:rsidRPr="005C0D4E" w:rsidRDefault="00D12E5F" w:rsidP="005C0D4E">
            <w:pPr>
              <w:pStyle w:val="NormalWeb"/>
              <w:numPr>
                <w:ilvl w:val="0"/>
                <w:numId w:val="1"/>
              </w:numPr>
              <w:spacing w:before="280" w:after="0" w:line="480" w:lineRule="auto"/>
              <w:rPr>
                <w:rFonts w:ascii="Times New Roman" w:hAnsi="Times New Roman"/>
                <w:b/>
                <w:sz w:val="24"/>
                <w:szCs w:val="24"/>
              </w:rPr>
            </w:pPr>
            <w:r w:rsidRPr="005C0D4E">
              <w:rPr>
                <w:rFonts w:ascii="Times New Roman" w:hAnsi="Times New Roman"/>
                <w:bCs/>
                <w:sz w:val="24"/>
                <w:szCs w:val="24"/>
              </w:rPr>
              <w:t xml:space="preserve">Estadio 5: FGe G5 con </w:t>
            </w:r>
            <w:proofErr w:type="spellStart"/>
            <w:r w:rsidRPr="005C0D4E">
              <w:rPr>
                <w:rFonts w:ascii="Times New Roman" w:hAnsi="Times New Roman"/>
                <w:bCs/>
                <w:sz w:val="24"/>
                <w:szCs w:val="24"/>
              </w:rPr>
              <w:t>normoalbuminuria</w:t>
            </w:r>
            <w:proofErr w:type="spellEnd"/>
            <w:r w:rsidRPr="005C0D4E">
              <w:rPr>
                <w:rFonts w:ascii="Times New Roman" w:hAnsi="Times New Roman"/>
                <w:bCs/>
                <w:sz w:val="24"/>
                <w:szCs w:val="24"/>
              </w:rPr>
              <w:t xml:space="preserve"> A1 o albuminuria aumentada A2 o A3</w:t>
            </w:r>
          </w:p>
        </w:tc>
      </w:tr>
      <w:tr w:rsidR="00D12E5F" w14:paraId="53F707E8" w14:textId="77777777" w:rsidTr="00E63B0C">
        <w:tc>
          <w:tcPr>
            <w:tcW w:w="1802" w:type="dxa"/>
            <w:shd w:val="clear" w:color="auto" w:fill="auto"/>
          </w:tcPr>
          <w:p w14:paraId="624E5D45" w14:textId="77777777" w:rsidR="00D12E5F" w:rsidRDefault="00D12E5F" w:rsidP="005C0D4E">
            <w:pPr>
              <w:pStyle w:val="NormalWeb"/>
              <w:spacing w:after="0" w:line="480" w:lineRule="auto"/>
              <w:rPr>
                <w:rFonts w:ascii="Times New Roman" w:hAnsi="Times New Roman"/>
                <w:b/>
                <w:sz w:val="24"/>
                <w:szCs w:val="24"/>
              </w:rPr>
            </w:pPr>
            <w:r>
              <w:rPr>
                <w:rFonts w:ascii="Times New Roman" w:hAnsi="Times New Roman"/>
                <w:b/>
                <w:sz w:val="24"/>
                <w:szCs w:val="24"/>
              </w:rPr>
              <w:t>Lesión de Órgano Subclínica</w:t>
            </w:r>
          </w:p>
        </w:tc>
        <w:tc>
          <w:tcPr>
            <w:tcW w:w="6697" w:type="dxa"/>
            <w:shd w:val="clear" w:color="auto" w:fill="auto"/>
          </w:tcPr>
          <w:p w14:paraId="735D0E35" w14:textId="77777777" w:rsidR="00D12E5F" w:rsidRDefault="00D12E5F" w:rsidP="005C0D4E">
            <w:pPr>
              <w:pStyle w:val="NormalWeb"/>
              <w:spacing w:line="480" w:lineRule="auto"/>
              <w:jc w:val="both"/>
              <w:rPr>
                <w:rFonts w:ascii="Times New Roman" w:hAnsi="Times New Roman"/>
                <w:sz w:val="24"/>
                <w:szCs w:val="24"/>
              </w:rPr>
            </w:pPr>
            <w:r>
              <w:rPr>
                <w:rFonts w:ascii="Times New Roman" w:hAnsi="Times New Roman"/>
                <w:sz w:val="24"/>
                <w:szCs w:val="24"/>
              </w:rPr>
              <w:t xml:space="preserve">Se registraron: la hipertrofia ventricular izquierda (HVI) que se estableció en base a la información suministrada por el investigador, pudiendo establecerse el diagnóstico por electrocardiograma (índice de </w:t>
            </w:r>
            <w:proofErr w:type="spellStart"/>
            <w:r>
              <w:rPr>
                <w:rFonts w:ascii="Times New Roman" w:hAnsi="Times New Roman"/>
                <w:sz w:val="24"/>
                <w:szCs w:val="24"/>
              </w:rPr>
              <w:t>Sokolow</w:t>
            </w:r>
            <w:proofErr w:type="spellEnd"/>
            <w:r>
              <w:rPr>
                <w:rFonts w:ascii="Times New Roman" w:hAnsi="Times New Roman"/>
                <w:sz w:val="24"/>
                <w:szCs w:val="24"/>
              </w:rPr>
              <w:t xml:space="preserve">–Lyon </w:t>
            </w:r>
            <w:proofErr w:type="spellStart"/>
            <w:r>
              <w:rPr>
                <w:rFonts w:ascii="Times New Roman" w:hAnsi="Times New Roman"/>
                <w:sz w:val="24"/>
                <w:szCs w:val="24"/>
              </w:rPr>
              <w:t>index</w:t>
            </w:r>
            <w:proofErr w:type="spellEnd"/>
            <w:r>
              <w:rPr>
                <w:rFonts w:ascii="Times New Roman" w:hAnsi="Times New Roman"/>
                <w:sz w:val="24"/>
                <w:szCs w:val="24"/>
              </w:rPr>
              <w:t xml:space="preserve"> &gt;3.5 </w:t>
            </w:r>
            <w:proofErr w:type="spellStart"/>
            <w:r>
              <w:rPr>
                <w:rFonts w:ascii="Times New Roman" w:hAnsi="Times New Roman"/>
                <w:sz w:val="24"/>
                <w:szCs w:val="24"/>
              </w:rPr>
              <w:t>mV</w:t>
            </w:r>
            <w:proofErr w:type="spellEnd"/>
            <w:r>
              <w:rPr>
                <w:rFonts w:ascii="Times New Roman" w:hAnsi="Times New Roman"/>
                <w:sz w:val="24"/>
                <w:szCs w:val="24"/>
              </w:rPr>
              <w:t xml:space="preserve">; </w:t>
            </w:r>
            <w:proofErr w:type="spellStart"/>
            <w:r>
              <w:rPr>
                <w:rFonts w:ascii="Times New Roman" w:hAnsi="Times New Roman"/>
                <w:sz w:val="24"/>
                <w:szCs w:val="24"/>
              </w:rPr>
              <w:t>RaVL</w:t>
            </w:r>
            <w:proofErr w:type="spellEnd"/>
            <w:r>
              <w:rPr>
                <w:rFonts w:ascii="Times New Roman" w:hAnsi="Times New Roman"/>
                <w:sz w:val="24"/>
                <w:szCs w:val="24"/>
              </w:rPr>
              <w:t xml:space="preserve"> &gt;1.1 </w:t>
            </w:r>
            <w:proofErr w:type="spellStart"/>
            <w:r>
              <w:rPr>
                <w:rFonts w:ascii="Times New Roman" w:hAnsi="Times New Roman"/>
                <w:sz w:val="24"/>
                <w:szCs w:val="24"/>
              </w:rPr>
              <w:t>mV</w:t>
            </w:r>
            <w:proofErr w:type="spellEnd"/>
            <w:r>
              <w:rPr>
                <w:rFonts w:ascii="Times New Roman" w:hAnsi="Times New Roman"/>
                <w:sz w:val="24"/>
                <w:szCs w:val="24"/>
              </w:rPr>
              <w:t xml:space="preserve">; producto del voltaje de Cornell &gt;244 </w:t>
            </w:r>
            <w:proofErr w:type="spellStart"/>
            <w:r>
              <w:rPr>
                <w:rFonts w:ascii="Times New Roman" w:hAnsi="Times New Roman"/>
                <w:sz w:val="24"/>
                <w:szCs w:val="24"/>
              </w:rPr>
              <w:t>mV</w:t>
            </w:r>
            <w:proofErr w:type="spellEnd"/>
            <w:r>
              <w:rPr>
                <w:rFonts w:ascii="Times New Roman" w:hAnsi="Times New Roman"/>
                <w:sz w:val="24"/>
                <w:szCs w:val="24"/>
              </w:rPr>
              <w:t xml:space="preserve">*ms) y/o ecocardiograma (&gt;115 g/m2, en varones; &gt;95 g/m2, en mujeres); microalbuminuria, el ITB </w:t>
            </w:r>
            <w:r>
              <w:rPr>
                <w:rFonts w:ascii="Times New Roman" w:hAnsi="Times New Roman"/>
                <w:sz w:val="24"/>
                <w:szCs w:val="24"/>
              </w:rPr>
              <w:lastRenderedPageBreak/>
              <w:t>patológico, que se consideró con valores &lt; 0,9, la presión de pulso &gt; 60 mmHg en mayores de 65 años y el FGe 30-59 ml/min</w:t>
            </w:r>
            <w:r>
              <w:rPr>
                <w:rFonts w:ascii="Times New Roman" w:hAnsi="Times New Roman"/>
                <w:sz w:val="24"/>
                <w:szCs w:val="24"/>
                <w:vertAlign w:val="superscript"/>
              </w:rPr>
              <w:t>19</w:t>
            </w:r>
            <w:r>
              <w:rPr>
                <w:rFonts w:ascii="Times New Roman" w:hAnsi="Times New Roman"/>
                <w:sz w:val="24"/>
                <w:szCs w:val="24"/>
              </w:rPr>
              <w:t>.</w:t>
            </w:r>
          </w:p>
        </w:tc>
      </w:tr>
      <w:tr w:rsidR="00D12E5F" w14:paraId="1B5313FF" w14:textId="77777777" w:rsidTr="00E63B0C">
        <w:tc>
          <w:tcPr>
            <w:tcW w:w="1802" w:type="dxa"/>
            <w:shd w:val="clear" w:color="auto" w:fill="auto"/>
          </w:tcPr>
          <w:p w14:paraId="46F7247A" w14:textId="77777777" w:rsidR="00D12E5F" w:rsidRDefault="00D12E5F" w:rsidP="005C0D4E">
            <w:pPr>
              <w:pStyle w:val="NormalWeb"/>
              <w:spacing w:after="0" w:line="480" w:lineRule="auto"/>
              <w:rPr>
                <w:rFonts w:ascii="Times New Roman" w:hAnsi="Times New Roman"/>
                <w:b/>
                <w:sz w:val="24"/>
                <w:szCs w:val="24"/>
              </w:rPr>
            </w:pPr>
            <w:r>
              <w:rPr>
                <w:rFonts w:ascii="Times New Roman" w:hAnsi="Times New Roman"/>
                <w:b/>
                <w:sz w:val="24"/>
                <w:szCs w:val="24"/>
              </w:rPr>
              <w:lastRenderedPageBreak/>
              <w:t>Riesgo Cardiovascular</w:t>
            </w:r>
          </w:p>
        </w:tc>
        <w:tc>
          <w:tcPr>
            <w:tcW w:w="6697" w:type="dxa"/>
            <w:shd w:val="clear" w:color="auto" w:fill="auto"/>
          </w:tcPr>
          <w:p w14:paraId="123F23F4" w14:textId="77777777" w:rsidR="00D12E5F" w:rsidRDefault="00D12E5F" w:rsidP="005C0D4E">
            <w:pPr>
              <w:pStyle w:val="NormalWeb"/>
              <w:spacing w:line="480" w:lineRule="auto"/>
              <w:jc w:val="both"/>
              <w:rPr>
                <w:rFonts w:ascii="Times New Roman" w:hAnsi="Times New Roman"/>
                <w:sz w:val="24"/>
                <w:szCs w:val="24"/>
              </w:rPr>
            </w:pPr>
            <w:r>
              <w:rPr>
                <w:rFonts w:ascii="Times New Roman" w:hAnsi="Times New Roman"/>
                <w:sz w:val="24"/>
                <w:szCs w:val="24"/>
              </w:rPr>
              <w:t>La estratificación de riesgo cardiovascular de los pacientes se realizó siguiendo las tablas SCORE para los países de bajo riesgo</w:t>
            </w:r>
            <w:r>
              <w:rPr>
                <w:rStyle w:val="Ancladenotafinal"/>
                <w:rFonts w:ascii="Times New Roman" w:hAnsi="Times New Roman"/>
                <w:sz w:val="24"/>
                <w:szCs w:val="24"/>
              </w:rPr>
              <w:endnoteReference w:id="11"/>
            </w:r>
            <w:r>
              <w:rPr>
                <w:rFonts w:ascii="Times New Roman" w:hAnsi="Times New Roman"/>
                <w:sz w:val="24"/>
                <w:szCs w:val="24"/>
              </w:rPr>
              <w:t>, clasificando a los mismos en: muy alto, alto, moderado y bajo riesgo cardiovascular.</w:t>
            </w:r>
          </w:p>
        </w:tc>
      </w:tr>
    </w:tbl>
    <w:p w14:paraId="189CBBC9" w14:textId="6D2C457C" w:rsidR="0072204A" w:rsidRDefault="0072204A"/>
    <w:p w14:paraId="5672A7E6" w14:textId="2D0CDC61" w:rsidR="005C0D4E" w:rsidRDefault="005C0D4E">
      <w:r>
        <w:t>Tabla. Definición de eventos incidentes</w:t>
      </w:r>
    </w:p>
    <w:tbl>
      <w:tblPr>
        <w:tblStyle w:val="Tablaconcuadrcula"/>
        <w:tblW w:w="8880" w:type="dxa"/>
        <w:tblLook w:val="04A0" w:firstRow="1" w:lastRow="0" w:firstColumn="1" w:lastColumn="0" w:noHBand="0" w:noVBand="1"/>
      </w:tblPr>
      <w:tblGrid>
        <w:gridCol w:w="2471"/>
        <w:gridCol w:w="6409"/>
      </w:tblGrid>
      <w:tr w:rsidR="005C0D4E" w:rsidRPr="00246C4A" w14:paraId="296015E3" w14:textId="77777777" w:rsidTr="00E63B0C">
        <w:tc>
          <w:tcPr>
            <w:tcW w:w="2471" w:type="dxa"/>
          </w:tcPr>
          <w:p w14:paraId="01BBB7AC" w14:textId="77777777" w:rsidR="005C0D4E" w:rsidRPr="00246C4A" w:rsidRDefault="005C0D4E" w:rsidP="00E63B0C">
            <w:pPr>
              <w:spacing w:line="480" w:lineRule="auto"/>
              <w:jc w:val="center"/>
              <w:rPr>
                <w:rFonts w:ascii="Times New Roman" w:hAnsi="Times New Roman" w:cs="Times New Roman"/>
                <w:b/>
                <w:bCs/>
                <w:color w:val="000000" w:themeColor="text1"/>
                <w:sz w:val="24"/>
                <w:szCs w:val="24"/>
              </w:rPr>
            </w:pPr>
            <w:r w:rsidRPr="00246C4A">
              <w:rPr>
                <w:rFonts w:ascii="Times New Roman" w:hAnsi="Times New Roman" w:cs="Times New Roman"/>
                <w:b/>
                <w:bCs/>
                <w:color w:val="000000" w:themeColor="text1"/>
                <w:sz w:val="24"/>
                <w:szCs w:val="24"/>
              </w:rPr>
              <w:t>Evento</w:t>
            </w:r>
          </w:p>
        </w:tc>
        <w:tc>
          <w:tcPr>
            <w:tcW w:w="6409" w:type="dxa"/>
          </w:tcPr>
          <w:p w14:paraId="1981F350" w14:textId="77777777" w:rsidR="005C0D4E" w:rsidRPr="00246C4A" w:rsidRDefault="005C0D4E" w:rsidP="00E63B0C">
            <w:pPr>
              <w:spacing w:line="480" w:lineRule="auto"/>
              <w:jc w:val="center"/>
              <w:rPr>
                <w:rFonts w:ascii="Times New Roman" w:hAnsi="Times New Roman" w:cs="Times New Roman"/>
                <w:b/>
                <w:bCs/>
                <w:color w:val="000000" w:themeColor="text1"/>
                <w:sz w:val="24"/>
                <w:szCs w:val="24"/>
              </w:rPr>
            </w:pPr>
            <w:r w:rsidRPr="00246C4A">
              <w:rPr>
                <w:rFonts w:ascii="Times New Roman" w:hAnsi="Times New Roman" w:cs="Times New Roman"/>
                <w:b/>
                <w:bCs/>
                <w:color w:val="000000" w:themeColor="text1"/>
                <w:sz w:val="24"/>
                <w:szCs w:val="24"/>
              </w:rPr>
              <w:t>Definición</w:t>
            </w:r>
          </w:p>
        </w:tc>
      </w:tr>
      <w:tr w:rsidR="005C0D4E" w:rsidRPr="007B26D3" w14:paraId="135ABFDA" w14:textId="77777777" w:rsidTr="00E63B0C">
        <w:tc>
          <w:tcPr>
            <w:tcW w:w="2471" w:type="dxa"/>
          </w:tcPr>
          <w:p w14:paraId="66347D6E" w14:textId="77777777" w:rsidR="005C0D4E" w:rsidRPr="005C0D4E" w:rsidRDefault="005C0D4E" w:rsidP="00E63B0C">
            <w:pPr>
              <w:spacing w:line="480" w:lineRule="auto"/>
              <w:jc w:val="both"/>
              <w:rPr>
                <w:rFonts w:ascii="Times New Roman" w:hAnsi="Times New Roman" w:cs="Times New Roman"/>
                <w:sz w:val="24"/>
                <w:szCs w:val="24"/>
              </w:rPr>
            </w:pPr>
            <w:r w:rsidRPr="005C0D4E">
              <w:rPr>
                <w:rFonts w:ascii="Times New Roman" w:hAnsi="Times New Roman" w:cs="Times New Roman"/>
                <w:sz w:val="24"/>
                <w:szCs w:val="24"/>
              </w:rPr>
              <w:t>FRCV incidentes</w:t>
            </w:r>
          </w:p>
        </w:tc>
        <w:tc>
          <w:tcPr>
            <w:tcW w:w="6409" w:type="dxa"/>
          </w:tcPr>
          <w:p w14:paraId="06BCC83F" w14:textId="77777777" w:rsidR="005C0D4E" w:rsidRPr="005C0D4E" w:rsidRDefault="005C0D4E" w:rsidP="00E63B0C">
            <w:pPr>
              <w:spacing w:line="480" w:lineRule="auto"/>
              <w:jc w:val="both"/>
              <w:rPr>
                <w:rFonts w:ascii="Times New Roman" w:hAnsi="Times New Roman" w:cs="Times New Roman"/>
                <w:sz w:val="24"/>
                <w:szCs w:val="24"/>
              </w:rPr>
            </w:pPr>
            <w:r w:rsidRPr="005C0D4E">
              <w:rPr>
                <w:rFonts w:ascii="Times New Roman" w:hAnsi="Times New Roman" w:cs="Times New Roman"/>
                <w:sz w:val="24"/>
                <w:szCs w:val="24"/>
              </w:rPr>
              <w:t>Para cualquier nuevo FRCV que se identifique en el seguimiento, se utilizarán los mismos criterios diagnósticos definidos en la Tabla 2</w:t>
            </w:r>
          </w:p>
        </w:tc>
      </w:tr>
      <w:tr w:rsidR="005C0D4E" w:rsidRPr="00246C4A" w14:paraId="4C7A8F8E" w14:textId="77777777" w:rsidTr="00E63B0C">
        <w:tc>
          <w:tcPr>
            <w:tcW w:w="2471" w:type="dxa"/>
          </w:tcPr>
          <w:p w14:paraId="1B7ED30F" w14:textId="77777777" w:rsidR="005C0D4E" w:rsidRPr="005C0D4E" w:rsidRDefault="005C0D4E" w:rsidP="00E63B0C">
            <w:pPr>
              <w:spacing w:line="480" w:lineRule="auto"/>
              <w:jc w:val="both"/>
              <w:rPr>
                <w:rFonts w:ascii="Times New Roman" w:hAnsi="Times New Roman" w:cs="Times New Roman"/>
                <w:sz w:val="24"/>
                <w:szCs w:val="24"/>
              </w:rPr>
            </w:pPr>
            <w:r w:rsidRPr="005C0D4E">
              <w:rPr>
                <w:rFonts w:ascii="Times New Roman" w:hAnsi="Times New Roman" w:cs="Times New Roman"/>
                <w:sz w:val="24"/>
                <w:szCs w:val="24"/>
              </w:rPr>
              <w:t>Ictus</w:t>
            </w:r>
          </w:p>
        </w:tc>
        <w:tc>
          <w:tcPr>
            <w:tcW w:w="6409" w:type="dxa"/>
          </w:tcPr>
          <w:p w14:paraId="6B739726" w14:textId="77777777" w:rsidR="005C0D4E" w:rsidRPr="005C0D4E" w:rsidRDefault="005C0D4E" w:rsidP="00E63B0C">
            <w:pPr>
              <w:spacing w:line="480" w:lineRule="auto"/>
              <w:jc w:val="both"/>
              <w:rPr>
                <w:rFonts w:ascii="Times New Roman" w:hAnsi="Times New Roman" w:cs="Times New Roman"/>
                <w:sz w:val="24"/>
                <w:szCs w:val="24"/>
              </w:rPr>
            </w:pPr>
            <w:r w:rsidRPr="005C0D4E">
              <w:rPr>
                <w:rFonts w:ascii="Times New Roman" w:hAnsi="Times New Roman" w:cs="Times New Roman"/>
                <w:sz w:val="24"/>
                <w:szCs w:val="24"/>
              </w:rPr>
              <w:t>Ingreso hospitalario, registro documentado o fallecimiento por ictus isquémico, hemorragia cerebral o accidente isquémico transitorio</w:t>
            </w:r>
          </w:p>
        </w:tc>
      </w:tr>
      <w:tr w:rsidR="005C0D4E" w:rsidRPr="00246C4A" w14:paraId="41CA9D6D" w14:textId="77777777" w:rsidTr="00E63B0C">
        <w:tc>
          <w:tcPr>
            <w:tcW w:w="2471" w:type="dxa"/>
          </w:tcPr>
          <w:p w14:paraId="14E21314" w14:textId="77777777" w:rsidR="005C0D4E" w:rsidRPr="005C0D4E" w:rsidRDefault="005C0D4E" w:rsidP="00E63B0C">
            <w:pPr>
              <w:spacing w:line="480" w:lineRule="auto"/>
              <w:jc w:val="both"/>
              <w:rPr>
                <w:rFonts w:ascii="Times New Roman" w:hAnsi="Times New Roman" w:cs="Times New Roman"/>
                <w:sz w:val="24"/>
                <w:szCs w:val="24"/>
              </w:rPr>
            </w:pPr>
            <w:r w:rsidRPr="005C0D4E">
              <w:rPr>
                <w:rFonts w:ascii="Times New Roman" w:hAnsi="Times New Roman" w:cs="Times New Roman"/>
                <w:sz w:val="24"/>
                <w:szCs w:val="24"/>
              </w:rPr>
              <w:t>Fibrilación auricular</w:t>
            </w:r>
          </w:p>
        </w:tc>
        <w:tc>
          <w:tcPr>
            <w:tcW w:w="6409" w:type="dxa"/>
          </w:tcPr>
          <w:p w14:paraId="4002AD99" w14:textId="77777777" w:rsidR="005C0D4E" w:rsidRPr="005C0D4E" w:rsidRDefault="005C0D4E" w:rsidP="00E63B0C">
            <w:pPr>
              <w:spacing w:line="480" w:lineRule="auto"/>
              <w:jc w:val="both"/>
              <w:rPr>
                <w:rFonts w:ascii="Times New Roman" w:hAnsi="Times New Roman" w:cs="Times New Roman"/>
                <w:sz w:val="24"/>
                <w:szCs w:val="24"/>
              </w:rPr>
            </w:pPr>
            <w:r w:rsidRPr="005C0D4E">
              <w:rPr>
                <w:rFonts w:ascii="Times New Roman" w:hAnsi="Times New Roman" w:cs="Times New Roman"/>
                <w:sz w:val="24"/>
                <w:szCs w:val="24"/>
              </w:rPr>
              <w:t>Ingreso hospitalario, registro documentado o fallecimiento que incluya la fibrilación auricular, paroxística, permanente o persistente.</w:t>
            </w:r>
          </w:p>
        </w:tc>
      </w:tr>
      <w:tr w:rsidR="005C0D4E" w:rsidRPr="00246C4A" w14:paraId="318E359A" w14:textId="77777777" w:rsidTr="00E63B0C">
        <w:tc>
          <w:tcPr>
            <w:tcW w:w="2471" w:type="dxa"/>
          </w:tcPr>
          <w:p w14:paraId="15062615" w14:textId="77777777" w:rsidR="005C0D4E" w:rsidRPr="005C0D4E" w:rsidRDefault="005C0D4E" w:rsidP="00E63B0C">
            <w:pPr>
              <w:spacing w:line="480" w:lineRule="auto"/>
              <w:jc w:val="both"/>
              <w:rPr>
                <w:rFonts w:ascii="Times New Roman" w:hAnsi="Times New Roman" w:cs="Times New Roman"/>
                <w:sz w:val="24"/>
                <w:szCs w:val="24"/>
              </w:rPr>
            </w:pPr>
            <w:r w:rsidRPr="005C0D4E">
              <w:rPr>
                <w:rFonts w:ascii="Times New Roman" w:hAnsi="Times New Roman" w:cs="Times New Roman"/>
                <w:sz w:val="24"/>
                <w:szCs w:val="24"/>
              </w:rPr>
              <w:t>Insuficiencia cardíaca</w:t>
            </w:r>
          </w:p>
        </w:tc>
        <w:tc>
          <w:tcPr>
            <w:tcW w:w="6409" w:type="dxa"/>
          </w:tcPr>
          <w:p w14:paraId="27EFB20C" w14:textId="77777777" w:rsidR="005C0D4E" w:rsidRPr="005C0D4E" w:rsidRDefault="005C0D4E" w:rsidP="00E63B0C">
            <w:pPr>
              <w:spacing w:line="480" w:lineRule="auto"/>
              <w:jc w:val="both"/>
              <w:rPr>
                <w:rFonts w:ascii="Times New Roman" w:hAnsi="Times New Roman" w:cs="Times New Roman"/>
                <w:sz w:val="24"/>
                <w:szCs w:val="24"/>
              </w:rPr>
            </w:pPr>
            <w:r w:rsidRPr="005C0D4E">
              <w:rPr>
                <w:rFonts w:ascii="Times New Roman" w:hAnsi="Times New Roman" w:cs="Times New Roman"/>
                <w:sz w:val="24"/>
                <w:szCs w:val="24"/>
              </w:rPr>
              <w:t>Ingreso hospitalario, registro documentado o fallecimiento que incluya la insuficiencia cardíaca, tanto con fracción de eyección reducida como preservada</w:t>
            </w:r>
          </w:p>
        </w:tc>
      </w:tr>
      <w:tr w:rsidR="005C0D4E" w:rsidRPr="00246C4A" w14:paraId="67D26C9D" w14:textId="77777777" w:rsidTr="00E63B0C">
        <w:tc>
          <w:tcPr>
            <w:tcW w:w="2471" w:type="dxa"/>
          </w:tcPr>
          <w:p w14:paraId="37AB141C" w14:textId="77777777" w:rsidR="005C0D4E" w:rsidRPr="005C0D4E" w:rsidRDefault="005C0D4E" w:rsidP="00E63B0C">
            <w:pPr>
              <w:spacing w:line="480" w:lineRule="auto"/>
              <w:jc w:val="both"/>
              <w:rPr>
                <w:rFonts w:ascii="Times New Roman" w:hAnsi="Times New Roman" w:cs="Times New Roman"/>
                <w:sz w:val="24"/>
                <w:szCs w:val="24"/>
              </w:rPr>
            </w:pPr>
            <w:r w:rsidRPr="005C0D4E">
              <w:rPr>
                <w:rFonts w:ascii="Times New Roman" w:hAnsi="Times New Roman" w:cs="Times New Roman"/>
                <w:sz w:val="24"/>
                <w:szCs w:val="24"/>
              </w:rPr>
              <w:t>Cardiopatía isquémica</w:t>
            </w:r>
          </w:p>
        </w:tc>
        <w:tc>
          <w:tcPr>
            <w:tcW w:w="6409" w:type="dxa"/>
          </w:tcPr>
          <w:p w14:paraId="392F54BB" w14:textId="77777777" w:rsidR="005C0D4E" w:rsidRPr="005C0D4E" w:rsidRDefault="005C0D4E" w:rsidP="00E63B0C">
            <w:pPr>
              <w:spacing w:line="480" w:lineRule="auto"/>
              <w:jc w:val="both"/>
              <w:rPr>
                <w:rFonts w:ascii="Times New Roman" w:hAnsi="Times New Roman" w:cs="Times New Roman"/>
                <w:sz w:val="24"/>
                <w:szCs w:val="24"/>
              </w:rPr>
            </w:pPr>
            <w:r w:rsidRPr="005C0D4E">
              <w:rPr>
                <w:rFonts w:ascii="Times New Roman" w:hAnsi="Times New Roman" w:cs="Times New Roman"/>
                <w:sz w:val="24"/>
                <w:szCs w:val="24"/>
              </w:rPr>
              <w:t>Ingreso hospitalario, registro documentado o fallecimiento que incluya infarto agudo de miocardio, angina, revascularización coronaria por intervencionismo o cirugía coronaria</w:t>
            </w:r>
          </w:p>
        </w:tc>
      </w:tr>
      <w:tr w:rsidR="005C0D4E" w:rsidRPr="00246C4A" w14:paraId="449AD665" w14:textId="77777777" w:rsidTr="00E63B0C">
        <w:tc>
          <w:tcPr>
            <w:tcW w:w="2471" w:type="dxa"/>
          </w:tcPr>
          <w:p w14:paraId="0E9DA558" w14:textId="77777777" w:rsidR="005C0D4E" w:rsidRPr="005C0D4E" w:rsidRDefault="005C0D4E" w:rsidP="00E63B0C">
            <w:pPr>
              <w:spacing w:line="480" w:lineRule="auto"/>
              <w:jc w:val="both"/>
              <w:rPr>
                <w:rFonts w:ascii="Times New Roman" w:hAnsi="Times New Roman" w:cs="Times New Roman"/>
                <w:sz w:val="24"/>
                <w:szCs w:val="24"/>
              </w:rPr>
            </w:pPr>
            <w:r w:rsidRPr="005C0D4E">
              <w:rPr>
                <w:rFonts w:ascii="Times New Roman" w:hAnsi="Times New Roman" w:cs="Times New Roman"/>
                <w:sz w:val="24"/>
                <w:szCs w:val="24"/>
              </w:rPr>
              <w:lastRenderedPageBreak/>
              <w:t>Enfermedad vascular periférica</w:t>
            </w:r>
          </w:p>
        </w:tc>
        <w:tc>
          <w:tcPr>
            <w:tcW w:w="6409" w:type="dxa"/>
          </w:tcPr>
          <w:p w14:paraId="50DCE06F" w14:textId="77777777" w:rsidR="005C0D4E" w:rsidRPr="005C0D4E" w:rsidRDefault="005C0D4E" w:rsidP="00E63B0C">
            <w:pPr>
              <w:spacing w:line="480" w:lineRule="auto"/>
              <w:jc w:val="both"/>
              <w:rPr>
                <w:rFonts w:ascii="Times New Roman" w:hAnsi="Times New Roman" w:cs="Times New Roman"/>
                <w:sz w:val="24"/>
                <w:szCs w:val="24"/>
              </w:rPr>
            </w:pPr>
            <w:r w:rsidRPr="005C0D4E">
              <w:rPr>
                <w:rFonts w:ascii="Times New Roman" w:hAnsi="Times New Roman" w:cs="Times New Roman"/>
                <w:sz w:val="24"/>
                <w:szCs w:val="24"/>
              </w:rPr>
              <w:t>Ingreso hospitalario, registro documentado o fallecimiento con diagnóstico nuevo de enfermedad arterial periférica</w:t>
            </w:r>
          </w:p>
        </w:tc>
      </w:tr>
      <w:tr w:rsidR="005C0D4E" w:rsidRPr="00246C4A" w14:paraId="19DE38D0" w14:textId="77777777" w:rsidTr="00E63B0C">
        <w:tc>
          <w:tcPr>
            <w:tcW w:w="2471" w:type="dxa"/>
          </w:tcPr>
          <w:p w14:paraId="031FB2E4" w14:textId="77777777" w:rsidR="005C0D4E" w:rsidRPr="005C0D4E" w:rsidRDefault="005C0D4E" w:rsidP="00E63B0C">
            <w:pPr>
              <w:spacing w:line="480" w:lineRule="auto"/>
              <w:jc w:val="both"/>
              <w:rPr>
                <w:rFonts w:ascii="Times New Roman" w:hAnsi="Times New Roman" w:cs="Times New Roman"/>
                <w:sz w:val="24"/>
                <w:szCs w:val="24"/>
              </w:rPr>
            </w:pPr>
            <w:r w:rsidRPr="005C0D4E">
              <w:rPr>
                <w:rFonts w:ascii="Times New Roman" w:hAnsi="Times New Roman" w:cs="Times New Roman"/>
                <w:sz w:val="24"/>
                <w:szCs w:val="24"/>
              </w:rPr>
              <w:t>Retinopatía avanzada</w:t>
            </w:r>
          </w:p>
        </w:tc>
        <w:tc>
          <w:tcPr>
            <w:tcW w:w="6409" w:type="dxa"/>
          </w:tcPr>
          <w:p w14:paraId="721E9244" w14:textId="77777777" w:rsidR="005C0D4E" w:rsidRPr="005C0D4E" w:rsidRDefault="005C0D4E" w:rsidP="00E63B0C">
            <w:pPr>
              <w:spacing w:line="480" w:lineRule="auto"/>
              <w:jc w:val="both"/>
              <w:rPr>
                <w:rFonts w:ascii="Times New Roman" w:hAnsi="Times New Roman" w:cs="Times New Roman"/>
                <w:sz w:val="24"/>
                <w:szCs w:val="24"/>
              </w:rPr>
            </w:pPr>
            <w:r w:rsidRPr="005C0D4E">
              <w:rPr>
                <w:rFonts w:ascii="Times New Roman" w:hAnsi="Times New Roman" w:cs="Times New Roman"/>
                <w:sz w:val="24"/>
                <w:szCs w:val="24"/>
              </w:rPr>
              <w:t>Registro documentado por hemorragias o exudados de retina o presencia de papiledema.</w:t>
            </w:r>
          </w:p>
        </w:tc>
      </w:tr>
      <w:tr w:rsidR="005C0D4E" w:rsidRPr="00246C4A" w14:paraId="44D9D8E3" w14:textId="77777777" w:rsidTr="00E63B0C">
        <w:tc>
          <w:tcPr>
            <w:tcW w:w="2471" w:type="dxa"/>
          </w:tcPr>
          <w:p w14:paraId="7D364293" w14:textId="77777777" w:rsidR="005C0D4E" w:rsidRPr="005C0D4E" w:rsidRDefault="005C0D4E" w:rsidP="00E63B0C">
            <w:pPr>
              <w:spacing w:line="480" w:lineRule="auto"/>
              <w:jc w:val="both"/>
              <w:rPr>
                <w:rFonts w:ascii="Times New Roman" w:hAnsi="Times New Roman" w:cs="Times New Roman"/>
                <w:sz w:val="24"/>
                <w:szCs w:val="24"/>
              </w:rPr>
            </w:pPr>
            <w:r w:rsidRPr="005C0D4E">
              <w:rPr>
                <w:rFonts w:ascii="Times New Roman" w:hAnsi="Times New Roman" w:cs="Times New Roman"/>
                <w:sz w:val="24"/>
                <w:szCs w:val="24"/>
              </w:rPr>
              <w:t>Descompensación de cualquier FRCV</w:t>
            </w:r>
          </w:p>
        </w:tc>
        <w:tc>
          <w:tcPr>
            <w:tcW w:w="6409" w:type="dxa"/>
          </w:tcPr>
          <w:p w14:paraId="25A4F864" w14:textId="77777777" w:rsidR="005C0D4E" w:rsidRPr="005C0D4E" w:rsidRDefault="005C0D4E" w:rsidP="00E63B0C">
            <w:pPr>
              <w:spacing w:line="480" w:lineRule="auto"/>
              <w:jc w:val="both"/>
              <w:rPr>
                <w:rFonts w:ascii="Times New Roman" w:hAnsi="Times New Roman" w:cs="Times New Roman"/>
                <w:sz w:val="24"/>
                <w:szCs w:val="24"/>
              </w:rPr>
            </w:pPr>
            <w:r w:rsidRPr="005C0D4E">
              <w:rPr>
                <w:rFonts w:ascii="Times New Roman" w:hAnsi="Times New Roman" w:cs="Times New Roman"/>
                <w:sz w:val="24"/>
                <w:szCs w:val="24"/>
              </w:rPr>
              <w:t>Ingreso hospitalario o fallecimiento que hayan sido motivados por la descompensación aguda de alguno de los FRCV previamente diagnosticados.</w:t>
            </w:r>
          </w:p>
        </w:tc>
      </w:tr>
      <w:tr w:rsidR="005C0D4E" w:rsidRPr="00246C4A" w14:paraId="194880EF" w14:textId="77777777" w:rsidTr="00E63B0C">
        <w:tc>
          <w:tcPr>
            <w:tcW w:w="2471" w:type="dxa"/>
          </w:tcPr>
          <w:p w14:paraId="74625E05" w14:textId="77777777" w:rsidR="005C0D4E" w:rsidRPr="005C0D4E" w:rsidRDefault="005C0D4E" w:rsidP="00E63B0C">
            <w:pPr>
              <w:spacing w:line="480" w:lineRule="auto"/>
              <w:jc w:val="both"/>
              <w:rPr>
                <w:rFonts w:ascii="Times New Roman" w:hAnsi="Times New Roman" w:cs="Times New Roman"/>
                <w:sz w:val="24"/>
                <w:szCs w:val="24"/>
              </w:rPr>
            </w:pPr>
            <w:r w:rsidRPr="005C0D4E">
              <w:rPr>
                <w:rFonts w:ascii="Times New Roman" w:hAnsi="Times New Roman" w:cs="Times New Roman"/>
                <w:sz w:val="24"/>
                <w:szCs w:val="24"/>
              </w:rPr>
              <w:t>Deterioro de filtrado glomerular</w:t>
            </w:r>
          </w:p>
        </w:tc>
        <w:tc>
          <w:tcPr>
            <w:tcW w:w="6409" w:type="dxa"/>
          </w:tcPr>
          <w:p w14:paraId="7CBDD2AF" w14:textId="77777777" w:rsidR="005C0D4E" w:rsidRPr="005C0D4E" w:rsidRDefault="005C0D4E" w:rsidP="00E63B0C">
            <w:pPr>
              <w:spacing w:line="480" w:lineRule="auto"/>
              <w:jc w:val="both"/>
              <w:rPr>
                <w:rFonts w:ascii="Times New Roman" w:hAnsi="Times New Roman" w:cs="Times New Roman"/>
                <w:sz w:val="24"/>
                <w:szCs w:val="24"/>
              </w:rPr>
            </w:pPr>
            <w:r w:rsidRPr="005C0D4E">
              <w:rPr>
                <w:rFonts w:ascii="Times New Roman" w:hAnsi="Times New Roman" w:cs="Times New Roman"/>
                <w:sz w:val="24"/>
                <w:szCs w:val="24"/>
              </w:rPr>
              <w:t>Se considerará deterioro de la función renal cuando, a lo largo del seguimiento, el filtrado glomerular estimado muestre un descenso de 2 desviaciones estándar respecto al valor basal.</w:t>
            </w:r>
          </w:p>
        </w:tc>
      </w:tr>
      <w:tr w:rsidR="005C0D4E" w:rsidRPr="00246C4A" w14:paraId="5D82C8AC" w14:textId="77777777" w:rsidTr="00E63B0C">
        <w:tc>
          <w:tcPr>
            <w:tcW w:w="2471" w:type="dxa"/>
          </w:tcPr>
          <w:p w14:paraId="0D86FFF5" w14:textId="77777777" w:rsidR="005C0D4E" w:rsidRPr="005C0D4E" w:rsidRDefault="005C0D4E" w:rsidP="00E63B0C">
            <w:pPr>
              <w:spacing w:line="480" w:lineRule="auto"/>
              <w:jc w:val="both"/>
              <w:rPr>
                <w:rFonts w:ascii="Times New Roman" w:hAnsi="Times New Roman" w:cs="Times New Roman"/>
                <w:sz w:val="24"/>
                <w:szCs w:val="24"/>
              </w:rPr>
            </w:pPr>
            <w:r w:rsidRPr="005C0D4E">
              <w:rPr>
                <w:rFonts w:ascii="Times New Roman" w:hAnsi="Times New Roman" w:cs="Times New Roman"/>
                <w:sz w:val="24"/>
                <w:szCs w:val="24"/>
              </w:rPr>
              <w:t>Aumento de albuminuria</w:t>
            </w:r>
          </w:p>
        </w:tc>
        <w:tc>
          <w:tcPr>
            <w:tcW w:w="6409" w:type="dxa"/>
          </w:tcPr>
          <w:p w14:paraId="0F161726" w14:textId="77777777" w:rsidR="005C0D4E" w:rsidRPr="005C0D4E" w:rsidRDefault="005C0D4E" w:rsidP="00E63B0C">
            <w:pPr>
              <w:spacing w:line="480" w:lineRule="auto"/>
              <w:jc w:val="both"/>
              <w:rPr>
                <w:rFonts w:ascii="Times New Roman" w:hAnsi="Times New Roman" w:cs="Times New Roman"/>
                <w:sz w:val="24"/>
                <w:szCs w:val="24"/>
              </w:rPr>
            </w:pPr>
            <w:r w:rsidRPr="005C0D4E">
              <w:rPr>
                <w:rFonts w:ascii="Times New Roman" w:hAnsi="Times New Roman" w:cs="Times New Roman"/>
                <w:sz w:val="24"/>
                <w:szCs w:val="24"/>
              </w:rPr>
              <w:t>Se considerará incremento de albuminuria cuando, a lo largo del seguimiento, se observe un incremento de 2 desviaciones estándar respecto al valor basal.</w:t>
            </w:r>
          </w:p>
        </w:tc>
      </w:tr>
      <w:tr w:rsidR="005C0D4E" w:rsidRPr="00246C4A" w14:paraId="65F90128" w14:textId="77777777" w:rsidTr="00E63B0C">
        <w:tc>
          <w:tcPr>
            <w:tcW w:w="8880" w:type="dxa"/>
            <w:gridSpan w:val="2"/>
          </w:tcPr>
          <w:p w14:paraId="7D594D57" w14:textId="77777777" w:rsidR="005C0D4E" w:rsidRPr="005C0D4E" w:rsidRDefault="005C0D4E" w:rsidP="00E63B0C">
            <w:pPr>
              <w:spacing w:line="480" w:lineRule="auto"/>
              <w:jc w:val="both"/>
              <w:rPr>
                <w:rFonts w:ascii="Times New Roman" w:hAnsi="Times New Roman" w:cs="Times New Roman"/>
                <w:sz w:val="24"/>
                <w:szCs w:val="24"/>
              </w:rPr>
            </w:pPr>
            <w:r w:rsidRPr="005C0D4E">
              <w:rPr>
                <w:rFonts w:ascii="Times New Roman" w:hAnsi="Times New Roman" w:cs="Times New Roman"/>
                <w:sz w:val="24"/>
                <w:szCs w:val="24"/>
              </w:rPr>
              <w:t>FRCV: factor de riesgo cardiovascular</w:t>
            </w:r>
          </w:p>
        </w:tc>
      </w:tr>
    </w:tbl>
    <w:p w14:paraId="616F311B" w14:textId="77777777" w:rsidR="005C0D4E" w:rsidRDefault="005C0D4E"/>
    <w:p w14:paraId="1E664E97" w14:textId="77777777" w:rsidR="005C0D4E" w:rsidRDefault="005C0D4E"/>
    <w:sectPr w:rsidR="005C0D4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C43109" w14:textId="77777777" w:rsidR="007908B3" w:rsidRDefault="007908B3" w:rsidP="00D12E5F">
      <w:pPr>
        <w:spacing w:after="0" w:line="240" w:lineRule="auto"/>
      </w:pPr>
      <w:r>
        <w:separator/>
      </w:r>
    </w:p>
  </w:endnote>
  <w:endnote w:type="continuationSeparator" w:id="0">
    <w:p w14:paraId="3A1C8BA9" w14:textId="77777777" w:rsidR="007908B3" w:rsidRDefault="007908B3" w:rsidP="00D12E5F">
      <w:pPr>
        <w:spacing w:after="0" w:line="240" w:lineRule="auto"/>
      </w:pPr>
      <w:r>
        <w:continuationSeparator/>
      </w:r>
    </w:p>
  </w:endnote>
  <w:endnote w:id="1">
    <w:p w14:paraId="5D32D4A2" w14:textId="77777777" w:rsidR="00D12E5F" w:rsidRDefault="00D12E5F" w:rsidP="00D12E5F">
      <w:pPr>
        <w:pStyle w:val="Textonotaalfinal"/>
        <w:jc w:val="both"/>
        <w:rPr>
          <w:rFonts w:cstheme="minorHAnsi"/>
          <w:lang w:val="en-GB"/>
        </w:rPr>
      </w:pPr>
      <w:r>
        <w:rPr>
          <w:rStyle w:val="Caracteresdenotafinal"/>
        </w:rPr>
        <w:endnoteRef/>
      </w:r>
      <w:r>
        <w:rPr>
          <w:rFonts w:cstheme="minorHAnsi"/>
          <w:lang w:val="en-GB"/>
        </w:rPr>
        <w:t xml:space="preserve"> </w:t>
      </w:r>
      <w:proofErr w:type="spellStart"/>
      <w:r>
        <w:rPr>
          <w:rFonts w:cstheme="minorHAnsi"/>
          <w:lang w:val="en-GB"/>
        </w:rPr>
        <w:t>Mancia</w:t>
      </w:r>
      <w:proofErr w:type="spellEnd"/>
      <w:r>
        <w:rPr>
          <w:rFonts w:cstheme="minorHAnsi"/>
          <w:lang w:val="en-GB"/>
        </w:rPr>
        <w:t xml:space="preserve"> G, </w:t>
      </w:r>
      <w:proofErr w:type="spellStart"/>
      <w:r>
        <w:rPr>
          <w:rFonts w:cstheme="minorHAnsi"/>
          <w:lang w:val="en-GB"/>
        </w:rPr>
        <w:t>Fagard</w:t>
      </w:r>
      <w:proofErr w:type="spellEnd"/>
      <w:r>
        <w:rPr>
          <w:rFonts w:cstheme="minorHAnsi"/>
          <w:lang w:val="en-GB"/>
        </w:rPr>
        <w:t xml:space="preserve"> R, </w:t>
      </w:r>
      <w:proofErr w:type="spellStart"/>
      <w:r>
        <w:rPr>
          <w:rFonts w:cstheme="minorHAnsi"/>
          <w:lang w:val="en-GB"/>
        </w:rPr>
        <w:t>Narkiewicz</w:t>
      </w:r>
      <w:proofErr w:type="spellEnd"/>
      <w:r>
        <w:rPr>
          <w:rFonts w:cstheme="minorHAnsi"/>
          <w:lang w:val="en-GB"/>
        </w:rPr>
        <w:t xml:space="preserve"> K, Redon J, Zanchetti A, </w:t>
      </w:r>
      <w:proofErr w:type="spellStart"/>
      <w:r>
        <w:rPr>
          <w:rFonts w:cstheme="minorHAnsi"/>
          <w:lang w:val="en-GB"/>
        </w:rPr>
        <w:t>Böhm</w:t>
      </w:r>
      <w:proofErr w:type="spellEnd"/>
      <w:r>
        <w:rPr>
          <w:rFonts w:cstheme="minorHAnsi"/>
          <w:lang w:val="en-GB"/>
        </w:rPr>
        <w:t xml:space="preserve"> M, et al. 2013 ESH/ESC guidelines for the management of arterial hypertension: the Task Force for the Management of Arterial Hypertension of the European Society of Hypertension (ESH) and of the European Society of Cardiology (ESC). Eur Heart J. 2013; 34: 2159-219</w:t>
      </w:r>
    </w:p>
    <w:p w14:paraId="02143122" w14:textId="77777777" w:rsidR="00D12E5F" w:rsidRPr="007F67AC" w:rsidRDefault="00D12E5F" w:rsidP="00D12E5F">
      <w:pPr>
        <w:pStyle w:val="Textonotaalfinal"/>
        <w:jc w:val="both"/>
        <w:rPr>
          <w:lang w:val="en-GB"/>
        </w:rPr>
      </w:pPr>
    </w:p>
  </w:endnote>
  <w:endnote w:id="2">
    <w:p w14:paraId="5BAD9681" w14:textId="77777777" w:rsidR="00D12E5F" w:rsidRDefault="00D12E5F" w:rsidP="00D12E5F">
      <w:pPr>
        <w:pStyle w:val="Textonotaalfinal"/>
        <w:jc w:val="both"/>
        <w:rPr>
          <w:rFonts w:cstheme="minorHAnsi"/>
          <w:lang w:val="en-GB"/>
        </w:rPr>
      </w:pPr>
      <w:r>
        <w:rPr>
          <w:rStyle w:val="Caracteresdenotafinal"/>
        </w:rPr>
        <w:endnoteRef/>
      </w:r>
      <w:r>
        <w:rPr>
          <w:rFonts w:cstheme="minorHAnsi"/>
          <w:lang w:val="en-GB"/>
        </w:rPr>
        <w:t xml:space="preserve"> </w:t>
      </w:r>
      <w:proofErr w:type="spellStart"/>
      <w:r>
        <w:rPr>
          <w:rFonts w:cstheme="minorHAnsi"/>
          <w:lang w:val="en-GB"/>
        </w:rPr>
        <w:t>Inzucchi</w:t>
      </w:r>
      <w:proofErr w:type="spellEnd"/>
      <w:r>
        <w:rPr>
          <w:rFonts w:cstheme="minorHAnsi"/>
          <w:lang w:val="en-GB"/>
        </w:rPr>
        <w:t xml:space="preserve"> SE, </w:t>
      </w:r>
      <w:proofErr w:type="spellStart"/>
      <w:r>
        <w:rPr>
          <w:rFonts w:cstheme="minorHAnsi"/>
          <w:lang w:val="en-GB"/>
        </w:rPr>
        <w:t>Bergenstal</w:t>
      </w:r>
      <w:proofErr w:type="spellEnd"/>
      <w:r>
        <w:rPr>
          <w:rFonts w:cstheme="minorHAnsi"/>
          <w:lang w:val="en-GB"/>
        </w:rPr>
        <w:t xml:space="preserve"> RM, </w:t>
      </w:r>
      <w:proofErr w:type="spellStart"/>
      <w:r>
        <w:rPr>
          <w:rFonts w:cstheme="minorHAnsi"/>
          <w:lang w:val="en-GB"/>
        </w:rPr>
        <w:t>Buse</w:t>
      </w:r>
      <w:proofErr w:type="spellEnd"/>
      <w:r>
        <w:rPr>
          <w:rFonts w:cstheme="minorHAnsi"/>
          <w:lang w:val="en-GB"/>
        </w:rPr>
        <w:t xml:space="preserve"> JB, Diamant M, </w:t>
      </w:r>
      <w:proofErr w:type="spellStart"/>
      <w:r>
        <w:rPr>
          <w:rFonts w:cstheme="minorHAnsi"/>
          <w:lang w:val="en-GB"/>
        </w:rPr>
        <w:t>Ferrannini</w:t>
      </w:r>
      <w:proofErr w:type="spellEnd"/>
      <w:r>
        <w:rPr>
          <w:rFonts w:cstheme="minorHAnsi"/>
          <w:lang w:val="en-GB"/>
        </w:rPr>
        <w:t xml:space="preserve"> E, </w:t>
      </w:r>
      <w:proofErr w:type="spellStart"/>
      <w:r>
        <w:rPr>
          <w:rFonts w:cstheme="minorHAnsi"/>
          <w:lang w:val="en-GB"/>
        </w:rPr>
        <w:t>Nauck</w:t>
      </w:r>
      <w:proofErr w:type="spellEnd"/>
      <w:r>
        <w:rPr>
          <w:rFonts w:cstheme="minorHAnsi"/>
          <w:lang w:val="en-GB"/>
        </w:rPr>
        <w:t xml:space="preserve"> M, et </w:t>
      </w:r>
      <w:proofErr w:type="spellStart"/>
      <w:proofErr w:type="gramStart"/>
      <w:r>
        <w:rPr>
          <w:rFonts w:cstheme="minorHAnsi"/>
          <w:lang w:val="en-GB"/>
        </w:rPr>
        <w:t>al.Management</w:t>
      </w:r>
      <w:proofErr w:type="spellEnd"/>
      <w:proofErr w:type="gramEnd"/>
      <w:r>
        <w:rPr>
          <w:rFonts w:cstheme="minorHAnsi"/>
          <w:lang w:val="en-GB"/>
        </w:rPr>
        <w:t xml:space="preserve"> of hyperglycaemia in type 2 diabetes: a patient-</w:t>
      </w:r>
      <w:proofErr w:type="spellStart"/>
      <w:r>
        <w:rPr>
          <w:rFonts w:cstheme="minorHAnsi"/>
          <w:lang w:val="en-GB"/>
        </w:rPr>
        <w:t>centered</w:t>
      </w:r>
      <w:proofErr w:type="spellEnd"/>
      <w:r>
        <w:rPr>
          <w:rFonts w:cstheme="minorHAnsi"/>
          <w:lang w:val="en-GB"/>
        </w:rPr>
        <w:t xml:space="preserve"> approach. Position statement of the American Diabetes Association (ADA) and the European Association for the Study of Diabetes (EASD). </w:t>
      </w:r>
      <w:proofErr w:type="spellStart"/>
      <w:r>
        <w:rPr>
          <w:rFonts w:cstheme="minorHAnsi"/>
          <w:lang w:val="en-GB"/>
        </w:rPr>
        <w:t>Diabetologia</w:t>
      </w:r>
      <w:proofErr w:type="spellEnd"/>
      <w:r>
        <w:rPr>
          <w:rFonts w:cstheme="minorHAnsi"/>
          <w:lang w:val="en-GB"/>
        </w:rPr>
        <w:t>. 2012; 55: 1577-96.</w:t>
      </w:r>
    </w:p>
    <w:p w14:paraId="2D73B2B3" w14:textId="77777777" w:rsidR="00D12E5F" w:rsidRPr="007F67AC" w:rsidRDefault="00D12E5F" w:rsidP="00D12E5F">
      <w:pPr>
        <w:pStyle w:val="Textonotaalfinal"/>
        <w:jc w:val="both"/>
        <w:rPr>
          <w:lang w:val="en-GB"/>
        </w:rPr>
      </w:pPr>
    </w:p>
  </w:endnote>
  <w:endnote w:id="3">
    <w:p w14:paraId="4A9B53B8" w14:textId="77777777" w:rsidR="00D12E5F" w:rsidRDefault="00D12E5F" w:rsidP="00D12E5F">
      <w:pPr>
        <w:pStyle w:val="Textonotaalfinal"/>
        <w:jc w:val="both"/>
        <w:rPr>
          <w:rFonts w:cstheme="minorHAnsi"/>
          <w:lang w:val="en-US"/>
        </w:rPr>
      </w:pPr>
      <w:r>
        <w:rPr>
          <w:rStyle w:val="Caracteresdenotafinal"/>
        </w:rPr>
        <w:endnoteRef/>
      </w:r>
      <w:r>
        <w:rPr>
          <w:rFonts w:cstheme="minorHAnsi"/>
          <w:lang w:val="en-GB"/>
        </w:rPr>
        <w:t xml:space="preserve"> Reiner Z, </w:t>
      </w:r>
      <w:proofErr w:type="spellStart"/>
      <w:r>
        <w:rPr>
          <w:rFonts w:cstheme="minorHAnsi"/>
          <w:lang w:val="en-GB"/>
        </w:rPr>
        <w:t>Catapano</w:t>
      </w:r>
      <w:proofErr w:type="spellEnd"/>
      <w:r>
        <w:rPr>
          <w:rFonts w:cstheme="minorHAnsi"/>
          <w:lang w:val="en-GB"/>
        </w:rPr>
        <w:t xml:space="preserve"> AL, De Backer G, Graham I, </w:t>
      </w:r>
      <w:proofErr w:type="spellStart"/>
      <w:r>
        <w:rPr>
          <w:rFonts w:cstheme="minorHAnsi"/>
          <w:lang w:val="en-GB"/>
        </w:rPr>
        <w:t>Taskinen</w:t>
      </w:r>
      <w:proofErr w:type="spellEnd"/>
      <w:r>
        <w:rPr>
          <w:rFonts w:cstheme="minorHAnsi"/>
          <w:lang w:val="en-GB"/>
        </w:rPr>
        <w:t xml:space="preserve"> MR, </w:t>
      </w:r>
      <w:proofErr w:type="spellStart"/>
      <w:r>
        <w:rPr>
          <w:rFonts w:cstheme="minorHAnsi"/>
          <w:lang w:val="en-GB"/>
        </w:rPr>
        <w:t>Wiklund</w:t>
      </w:r>
      <w:proofErr w:type="spellEnd"/>
      <w:r>
        <w:rPr>
          <w:rFonts w:cstheme="minorHAnsi"/>
          <w:lang w:val="en-GB"/>
        </w:rPr>
        <w:t xml:space="preserve"> O, et al. </w:t>
      </w:r>
      <w:r>
        <w:rPr>
          <w:rFonts w:cstheme="minorHAnsi"/>
          <w:lang w:val="en-US"/>
        </w:rPr>
        <w:t xml:space="preserve">ESC Committee for Practice Guidelines (CPG) 2008-2010 and 2010-2012 Committees. ESC/EAS Guidelines for the management of </w:t>
      </w:r>
      <w:proofErr w:type="spellStart"/>
      <w:r>
        <w:rPr>
          <w:rFonts w:cstheme="minorHAnsi"/>
          <w:lang w:val="en-US"/>
        </w:rPr>
        <w:t>dyslipidaemias</w:t>
      </w:r>
      <w:proofErr w:type="spellEnd"/>
      <w:r>
        <w:rPr>
          <w:rFonts w:cstheme="minorHAnsi"/>
          <w:lang w:val="en-US"/>
        </w:rPr>
        <w:t xml:space="preserve">: </w:t>
      </w:r>
      <w:proofErr w:type="gramStart"/>
      <w:r>
        <w:rPr>
          <w:rFonts w:cstheme="minorHAnsi"/>
          <w:lang w:val="en-US"/>
        </w:rPr>
        <w:t>the</w:t>
      </w:r>
      <w:proofErr w:type="gramEnd"/>
      <w:r>
        <w:rPr>
          <w:rFonts w:cstheme="minorHAnsi"/>
          <w:lang w:val="en-US"/>
        </w:rPr>
        <w:t xml:space="preserve"> Task Force for the management of </w:t>
      </w:r>
      <w:proofErr w:type="spellStart"/>
      <w:r>
        <w:rPr>
          <w:rFonts w:cstheme="minorHAnsi"/>
          <w:lang w:val="en-US"/>
        </w:rPr>
        <w:t>dyslipidaemias</w:t>
      </w:r>
      <w:proofErr w:type="spellEnd"/>
      <w:r>
        <w:rPr>
          <w:rFonts w:cstheme="minorHAnsi"/>
          <w:lang w:val="en-US"/>
        </w:rPr>
        <w:t xml:space="preserve"> of the European Society of Cardiology (ESC) and the European Atherosclerosis Society (EAS). European Heart Journal. 2011; 32, 1769–1818</w:t>
      </w:r>
    </w:p>
    <w:p w14:paraId="43E799C1" w14:textId="77777777" w:rsidR="00D12E5F" w:rsidRPr="007F67AC" w:rsidRDefault="00D12E5F" w:rsidP="00D12E5F">
      <w:pPr>
        <w:pStyle w:val="Textonotaalfinal"/>
        <w:jc w:val="both"/>
        <w:rPr>
          <w:lang w:val="en-GB"/>
        </w:rPr>
      </w:pPr>
    </w:p>
  </w:endnote>
  <w:endnote w:id="4">
    <w:p w14:paraId="270247C6" w14:textId="77777777" w:rsidR="00D12E5F" w:rsidRDefault="00D12E5F" w:rsidP="00D12E5F">
      <w:pPr>
        <w:pStyle w:val="Textonotaalfinal"/>
        <w:jc w:val="both"/>
        <w:rPr>
          <w:rFonts w:cstheme="minorHAnsi"/>
          <w:lang w:val="en-US"/>
        </w:rPr>
      </w:pPr>
      <w:r>
        <w:rPr>
          <w:rStyle w:val="Caracteresdenotafinal"/>
        </w:rPr>
        <w:endnoteRef/>
      </w:r>
      <w:r>
        <w:rPr>
          <w:rFonts w:cstheme="minorHAnsi"/>
          <w:lang w:val="en-GB"/>
        </w:rPr>
        <w:t xml:space="preserve"> </w:t>
      </w:r>
      <w:r>
        <w:rPr>
          <w:rFonts w:cstheme="minorHAnsi"/>
          <w:lang w:val="en-US"/>
        </w:rPr>
        <w:t>The Fifth Joint Task Force of the European Society of Cardiology and Other Societies on Cardiovascular Disease Prevention in Clinical Practice (constituted by representatives of nine societies and by invited experts). European Guidelines on cardiovascular disease prevention in clinical practice (version 2012). Eur Heart J. 2012; 33:1635-701.</w:t>
      </w:r>
    </w:p>
    <w:p w14:paraId="1D88356C" w14:textId="77777777" w:rsidR="00D12E5F" w:rsidRPr="007F67AC" w:rsidRDefault="00D12E5F" w:rsidP="00D12E5F">
      <w:pPr>
        <w:pStyle w:val="Textonotaalfinal"/>
        <w:jc w:val="both"/>
        <w:rPr>
          <w:lang w:val="en-GB"/>
        </w:rPr>
      </w:pPr>
    </w:p>
  </w:endnote>
  <w:endnote w:id="5">
    <w:p w14:paraId="0D763672" w14:textId="77777777" w:rsidR="00D12E5F" w:rsidRDefault="00D12E5F" w:rsidP="00D12E5F">
      <w:pPr>
        <w:pStyle w:val="Textonotaalfinal"/>
        <w:jc w:val="both"/>
        <w:rPr>
          <w:rFonts w:cstheme="minorHAnsi"/>
          <w:lang w:val="en-US"/>
        </w:rPr>
      </w:pPr>
      <w:r>
        <w:rPr>
          <w:rStyle w:val="Caracteresdenotafinal"/>
        </w:rPr>
        <w:endnoteRef/>
      </w:r>
      <w:r>
        <w:rPr>
          <w:rFonts w:cstheme="minorHAnsi"/>
          <w:lang w:val="en-GB"/>
        </w:rPr>
        <w:t xml:space="preserve"> </w:t>
      </w:r>
      <w:r>
        <w:rPr>
          <w:rFonts w:cstheme="minorHAnsi"/>
          <w:lang w:val="en-US"/>
        </w:rPr>
        <w:t xml:space="preserve">Alberti KGMM, Eckel RH, Grundy SM, </w:t>
      </w:r>
      <w:proofErr w:type="spellStart"/>
      <w:r>
        <w:rPr>
          <w:rFonts w:cstheme="minorHAnsi"/>
          <w:lang w:val="en-US"/>
        </w:rPr>
        <w:t>Zimmet</w:t>
      </w:r>
      <w:proofErr w:type="spellEnd"/>
      <w:r>
        <w:rPr>
          <w:rFonts w:cstheme="minorHAnsi"/>
          <w:lang w:val="en-US"/>
        </w:rPr>
        <w:t xml:space="preserve"> PZ, </w:t>
      </w:r>
      <w:proofErr w:type="spellStart"/>
      <w:r>
        <w:rPr>
          <w:rFonts w:cstheme="minorHAnsi"/>
          <w:lang w:val="en-US"/>
        </w:rPr>
        <w:t>Cleeman</w:t>
      </w:r>
      <w:proofErr w:type="spellEnd"/>
      <w:r>
        <w:rPr>
          <w:rFonts w:cstheme="minorHAnsi"/>
          <w:lang w:val="en-US"/>
        </w:rPr>
        <w:t xml:space="preserve"> JI, Donato KA, et al. Harmonizing the metabolic syndrome. A Joint </w:t>
      </w:r>
      <w:proofErr w:type="spellStart"/>
      <w:r>
        <w:rPr>
          <w:rFonts w:cstheme="minorHAnsi"/>
          <w:lang w:val="en-US"/>
        </w:rPr>
        <w:t>Interm</w:t>
      </w:r>
      <w:proofErr w:type="spellEnd"/>
      <w:r>
        <w:rPr>
          <w:rFonts w:cstheme="minorHAnsi"/>
          <w:lang w:val="en-US"/>
        </w:rPr>
        <w:t xml:space="preserve"> Statement of the International Diabetes Federation Task Force on Epidemiology and Prevention; National Heart, Lung and Blood Institute; American Heart Association; World Heart Federation; International Atherosclerosis Society; and International Association for the Study of Obesity. Circulation. 2009; 120: 1640–5.</w:t>
      </w:r>
    </w:p>
    <w:p w14:paraId="0B136E76" w14:textId="77777777" w:rsidR="00D12E5F" w:rsidRPr="007F67AC" w:rsidRDefault="00D12E5F" w:rsidP="00D12E5F">
      <w:pPr>
        <w:pStyle w:val="Textonotaalfinal"/>
        <w:jc w:val="both"/>
        <w:rPr>
          <w:lang w:val="en-GB"/>
        </w:rPr>
      </w:pPr>
    </w:p>
  </w:endnote>
  <w:endnote w:id="6">
    <w:p w14:paraId="03815D71" w14:textId="77777777" w:rsidR="00D12E5F" w:rsidRPr="007F67AC" w:rsidRDefault="00D12E5F" w:rsidP="00D12E5F">
      <w:pPr>
        <w:jc w:val="both"/>
        <w:rPr>
          <w:lang w:val="en-GB"/>
        </w:rPr>
      </w:pPr>
      <w:r>
        <w:rPr>
          <w:rStyle w:val="Caracteresdenotafinal"/>
        </w:rPr>
        <w:endnoteRef/>
      </w:r>
      <w:r>
        <w:rPr>
          <w:rFonts w:cstheme="minorHAnsi"/>
          <w:sz w:val="20"/>
          <w:szCs w:val="20"/>
          <w:lang w:val="en-GB"/>
        </w:rPr>
        <w:t xml:space="preserve"> </w:t>
      </w:r>
      <w:r>
        <w:rPr>
          <w:rFonts w:cstheme="minorHAnsi"/>
          <w:sz w:val="20"/>
          <w:szCs w:val="20"/>
          <w:lang w:val="en-US"/>
        </w:rPr>
        <w:t xml:space="preserve">Simmons RK, Alberti KG, Gale AM, </w:t>
      </w:r>
      <w:proofErr w:type="spellStart"/>
      <w:r>
        <w:rPr>
          <w:rFonts w:cstheme="minorHAnsi"/>
          <w:sz w:val="20"/>
          <w:szCs w:val="20"/>
          <w:lang w:val="en-US"/>
        </w:rPr>
        <w:t>Colagiuri</w:t>
      </w:r>
      <w:proofErr w:type="spellEnd"/>
      <w:r>
        <w:rPr>
          <w:rFonts w:cstheme="minorHAnsi"/>
          <w:sz w:val="20"/>
          <w:szCs w:val="20"/>
          <w:lang w:val="en-US"/>
        </w:rPr>
        <w:t xml:space="preserve"> S, </w:t>
      </w:r>
      <w:proofErr w:type="spellStart"/>
      <w:r>
        <w:rPr>
          <w:rFonts w:cstheme="minorHAnsi"/>
          <w:sz w:val="20"/>
          <w:szCs w:val="20"/>
          <w:lang w:val="en-US"/>
        </w:rPr>
        <w:t>Tuomilehto</w:t>
      </w:r>
      <w:proofErr w:type="spellEnd"/>
      <w:r>
        <w:rPr>
          <w:rFonts w:cstheme="minorHAnsi"/>
          <w:sz w:val="20"/>
          <w:szCs w:val="20"/>
          <w:lang w:val="en-US"/>
        </w:rPr>
        <w:t xml:space="preserve"> J, </w:t>
      </w:r>
      <w:proofErr w:type="spellStart"/>
      <w:r>
        <w:rPr>
          <w:rFonts w:cstheme="minorHAnsi"/>
          <w:sz w:val="20"/>
          <w:szCs w:val="20"/>
          <w:lang w:val="en-US"/>
        </w:rPr>
        <w:t>Qiao</w:t>
      </w:r>
      <w:proofErr w:type="spellEnd"/>
      <w:r>
        <w:rPr>
          <w:rFonts w:cstheme="minorHAnsi"/>
          <w:sz w:val="20"/>
          <w:szCs w:val="20"/>
          <w:lang w:val="en-US"/>
        </w:rPr>
        <w:t xml:space="preserve"> Q, et al. The metabolic syndrome: useful concept or clinical tool? </w:t>
      </w:r>
      <w:proofErr w:type="spellStart"/>
      <w:r>
        <w:rPr>
          <w:rFonts w:cstheme="minorHAnsi"/>
          <w:sz w:val="20"/>
          <w:szCs w:val="20"/>
          <w:lang w:val="en-US"/>
        </w:rPr>
        <w:t>Diabetologia</w:t>
      </w:r>
      <w:proofErr w:type="spellEnd"/>
      <w:r>
        <w:rPr>
          <w:rFonts w:cstheme="minorHAnsi"/>
          <w:sz w:val="20"/>
          <w:szCs w:val="20"/>
          <w:lang w:val="en-US"/>
        </w:rPr>
        <w:t>. 2010; 53: 600–5.</w:t>
      </w:r>
    </w:p>
  </w:endnote>
  <w:endnote w:id="7">
    <w:p w14:paraId="14EA70D9" w14:textId="77777777" w:rsidR="00D12E5F" w:rsidRPr="007F67AC" w:rsidRDefault="00D12E5F" w:rsidP="00D12E5F">
      <w:pPr>
        <w:pStyle w:val="Textonotaalfinal"/>
        <w:jc w:val="both"/>
        <w:rPr>
          <w:lang w:val="en-GB"/>
        </w:rPr>
      </w:pPr>
      <w:r>
        <w:rPr>
          <w:rStyle w:val="Caracteresdenotafinal"/>
        </w:rPr>
        <w:endnoteRef/>
      </w:r>
      <w:r>
        <w:rPr>
          <w:rFonts w:cstheme="minorHAnsi"/>
          <w:lang w:val="en-GB"/>
        </w:rPr>
        <w:t xml:space="preserve"> </w:t>
      </w:r>
      <w:r>
        <w:rPr>
          <w:rFonts w:cstheme="minorHAnsi"/>
          <w:lang w:val="en-US"/>
        </w:rPr>
        <w:t xml:space="preserve">World Health Organization. Tobacco or health: a global status report. </w:t>
      </w:r>
      <w:proofErr w:type="spellStart"/>
      <w:r>
        <w:rPr>
          <w:rFonts w:cstheme="minorHAnsi"/>
          <w:lang w:val="en-US"/>
        </w:rPr>
        <w:t>Ginebra</w:t>
      </w:r>
      <w:proofErr w:type="spellEnd"/>
      <w:r>
        <w:rPr>
          <w:rFonts w:cstheme="minorHAnsi"/>
          <w:lang w:val="en-US"/>
        </w:rPr>
        <w:t>: World Health Organization; 1997.</w:t>
      </w:r>
    </w:p>
  </w:endnote>
  <w:endnote w:id="8">
    <w:p w14:paraId="00F80289" w14:textId="77777777" w:rsidR="00D12E5F" w:rsidRPr="007F67AC" w:rsidRDefault="00D12E5F" w:rsidP="00D12E5F">
      <w:pPr>
        <w:pStyle w:val="Textonotaalfinal"/>
        <w:jc w:val="both"/>
        <w:rPr>
          <w:lang w:val="en-GB"/>
        </w:rPr>
      </w:pPr>
      <w:r>
        <w:rPr>
          <w:rStyle w:val="Caracteresdenotafinal"/>
        </w:rPr>
        <w:endnoteRef/>
      </w:r>
      <w:r>
        <w:rPr>
          <w:rFonts w:cstheme="minorHAnsi"/>
          <w:lang w:val="en-GB"/>
        </w:rPr>
        <w:t xml:space="preserve"> </w:t>
      </w:r>
      <w:r>
        <w:rPr>
          <w:rFonts w:cstheme="minorHAnsi"/>
          <w:lang w:val="en-US"/>
        </w:rPr>
        <w:t>Anderson P, Cremona A, Paton A, Turner C, Wallace P. The risk of alcohol. Addiction. 1993; 88: 1493–508.</w:t>
      </w:r>
    </w:p>
  </w:endnote>
  <w:endnote w:id="9">
    <w:p w14:paraId="4586031B" w14:textId="77777777" w:rsidR="00D12E5F" w:rsidRDefault="00D12E5F" w:rsidP="00D12E5F">
      <w:pPr>
        <w:jc w:val="both"/>
        <w:rPr>
          <w:rFonts w:cstheme="minorHAnsi"/>
          <w:sz w:val="20"/>
          <w:szCs w:val="20"/>
          <w:lang w:val="en-US"/>
        </w:rPr>
      </w:pPr>
      <w:r>
        <w:rPr>
          <w:rStyle w:val="Caracteresdenotafinal"/>
        </w:rPr>
        <w:endnoteRef/>
      </w:r>
      <w:r>
        <w:rPr>
          <w:rFonts w:cstheme="minorHAnsi"/>
          <w:sz w:val="20"/>
          <w:szCs w:val="20"/>
          <w:lang w:val="en-GB"/>
        </w:rPr>
        <w:t xml:space="preserve"> </w:t>
      </w:r>
      <w:r>
        <w:rPr>
          <w:rFonts w:cstheme="minorHAnsi"/>
          <w:sz w:val="20"/>
          <w:szCs w:val="20"/>
          <w:lang w:val="en-US"/>
        </w:rPr>
        <w:t>Kidney Disease: Improving Global Outcomes (KDIGO) CKD Work Group. KDIGO 2012 clinical practice guideline for the evaluation and management of chronic kidney disease. Kidney Int Suppl 2013; 3: 1-150.</w:t>
      </w:r>
    </w:p>
    <w:p w14:paraId="41320BA2" w14:textId="77777777" w:rsidR="00D12E5F" w:rsidRPr="007F67AC" w:rsidRDefault="00D12E5F" w:rsidP="00D12E5F">
      <w:pPr>
        <w:pStyle w:val="Textonotaalfinal"/>
        <w:jc w:val="both"/>
        <w:rPr>
          <w:lang w:val="en-US"/>
        </w:rPr>
      </w:pPr>
    </w:p>
  </w:endnote>
  <w:endnote w:id="10">
    <w:p w14:paraId="37F52F94" w14:textId="77777777" w:rsidR="00D12E5F" w:rsidRDefault="00D12E5F" w:rsidP="00D12E5F">
      <w:pPr>
        <w:pStyle w:val="Textonotaalfinal"/>
        <w:jc w:val="both"/>
        <w:rPr>
          <w:rFonts w:cstheme="minorHAnsi"/>
          <w:lang w:val="en-US"/>
        </w:rPr>
      </w:pPr>
      <w:r>
        <w:rPr>
          <w:rStyle w:val="Caracteresdenotafinal"/>
        </w:rPr>
        <w:endnoteRef/>
      </w:r>
      <w:r>
        <w:rPr>
          <w:rFonts w:cstheme="minorHAnsi"/>
          <w:lang w:val="en-US"/>
        </w:rPr>
        <w:t xml:space="preserve"> Matsushita K, </w:t>
      </w:r>
      <w:proofErr w:type="spellStart"/>
      <w:r>
        <w:rPr>
          <w:rFonts w:cstheme="minorHAnsi"/>
          <w:lang w:val="en-US"/>
        </w:rPr>
        <w:t>Mahmodi</w:t>
      </w:r>
      <w:proofErr w:type="spellEnd"/>
      <w:r>
        <w:rPr>
          <w:rFonts w:cstheme="minorHAnsi"/>
          <w:lang w:val="en-US"/>
        </w:rPr>
        <w:t xml:space="preserve"> BK, Woodward M, </w:t>
      </w:r>
      <w:proofErr w:type="spellStart"/>
      <w:r>
        <w:rPr>
          <w:rFonts w:cstheme="minorHAnsi"/>
          <w:lang w:val="en-US"/>
        </w:rPr>
        <w:t>Emberson</w:t>
      </w:r>
      <w:proofErr w:type="spellEnd"/>
      <w:r>
        <w:rPr>
          <w:rFonts w:cstheme="minorHAnsi"/>
          <w:lang w:val="en-US"/>
        </w:rPr>
        <w:t xml:space="preserve"> JM, </w:t>
      </w:r>
      <w:proofErr w:type="spellStart"/>
      <w:r>
        <w:rPr>
          <w:rFonts w:cstheme="minorHAnsi"/>
          <w:lang w:val="en-US"/>
        </w:rPr>
        <w:t>Jafar</w:t>
      </w:r>
      <w:proofErr w:type="spellEnd"/>
      <w:r>
        <w:rPr>
          <w:rFonts w:cstheme="minorHAnsi"/>
          <w:lang w:val="en-US"/>
        </w:rPr>
        <w:t xml:space="preserve"> JH, </w:t>
      </w:r>
      <w:proofErr w:type="spellStart"/>
      <w:r>
        <w:rPr>
          <w:rFonts w:cstheme="minorHAnsi"/>
          <w:lang w:val="en-US"/>
        </w:rPr>
        <w:t>Jee</w:t>
      </w:r>
      <w:proofErr w:type="spellEnd"/>
      <w:r>
        <w:rPr>
          <w:rFonts w:cstheme="minorHAnsi"/>
          <w:lang w:val="en-US"/>
        </w:rPr>
        <w:t xml:space="preserve"> SH, Polkinghorne KR, </w:t>
      </w:r>
      <w:proofErr w:type="spellStart"/>
      <w:r>
        <w:rPr>
          <w:rFonts w:cstheme="minorHAnsi"/>
          <w:lang w:val="en-US"/>
        </w:rPr>
        <w:t>Skankar</w:t>
      </w:r>
      <w:proofErr w:type="spellEnd"/>
      <w:r>
        <w:rPr>
          <w:rFonts w:cstheme="minorHAnsi"/>
          <w:lang w:val="en-US"/>
        </w:rPr>
        <w:t xml:space="preserve"> A, Smith DH, Tonelli M, Warnock DG, Wen CP, Coresh J, </w:t>
      </w:r>
      <w:proofErr w:type="spellStart"/>
      <w:r>
        <w:rPr>
          <w:rFonts w:cstheme="minorHAnsi"/>
          <w:lang w:val="en-US"/>
        </w:rPr>
        <w:t>Gansewoort</w:t>
      </w:r>
      <w:proofErr w:type="spellEnd"/>
      <w:r>
        <w:rPr>
          <w:rFonts w:cstheme="minorHAnsi"/>
          <w:lang w:val="en-US"/>
        </w:rPr>
        <w:t xml:space="preserve"> DG, </w:t>
      </w:r>
      <w:proofErr w:type="spellStart"/>
      <w:r>
        <w:rPr>
          <w:rFonts w:cstheme="minorHAnsi"/>
          <w:lang w:val="en-US"/>
        </w:rPr>
        <w:t>Emmaljarn</w:t>
      </w:r>
      <w:proofErr w:type="spellEnd"/>
      <w:r>
        <w:rPr>
          <w:rFonts w:cstheme="minorHAnsi"/>
          <w:lang w:val="en-US"/>
        </w:rPr>
        <w:t xml:space="preserve"> BR, Levey AS. Comparison of risk prediction using the CKD-EPI equation and the MDRD study equation for estimated glomerular filtration rate. JAMA 2012; 307: 1941–1951</w:t>
      </w:r>
    </w:p>
    <w:p w14:paraId="542EFF8E" w14:textId="77777777" w:rsidR="00D12E5F" w:rsidRPr="007F67AC" w:rsidRDefault="00D12E5F" w:rsidP="00D12E5F">
      <w:pPr>
        <w:pStyle w:val="Textonotaalfinal"/>
        <w:jc w:val="both"/>
        <w:rPr>
          <w:lang w:val="en-GB"/>
        </w:rPr>
      </w:pPr>
    </w:p>
  </w:endnote>
  <w:endnote w:id="11">
    <w:p w14:paraId="2A0ECCAB" w14:textId="77777777" w:rsidR="00D12E5F" w:rsidRDefault="00D12E5F" w:rsidP="00D12E5F">
      <w:pPr>
        <w:pStyle w:val="Textonotaalfinal"/>
        <w:jc w:val="both"/>
        <w:rPr>
          <w:rFonts w:cstheme="minorHAnsi"/>
        </w:rPr>
      </w:pPr>
      <w:r>
        <w:rPr>
          <w:rStyle w:val="Caracteresdenotafinal"/>
        </w:rPr>
        <w:endnoteRef/>
      </w:r>
      <w:r>
        <w:rPr>
          <w:rFonts w:cstheme="minorHAnsi"/>
          <w:lang w:val="en-GB"/>
        </w:rPr>
        <w:t xml:space="preserve"> </w:t>
      </w:r>
      <w:r>
        <w:rPr>
          <w:rFonts w:cstheme="minorHAnsi"/>
          <w:lang w:val="en-US"/>
        </w:rPr>
        <w:t xml:space="preserve">Conroy RM, </w:t>
      </w:r>
      <w:proofErr w:type="spellStart"/>
      <w:r>
        <w:rPr>
          <w:rFonts w:cstheme="minorHAnsi"/>
          <w:lang w:val="en-US"/>
        </w:rPr>
        <w:t>Pyörälä</w:t>
      </w:r>
      <w:proofErr w:type="spellEnd"/>
      <w:r>
        <w:rPr>
          <w:rFonts w:cstheme="minorHAnsi"/>
          <w:lang w:val="en-US"/>
        </w:rPr>
        <w:t xml:space="preserve"> K, Fitzgerald AP, Sans S, Menotti A, De Backer G, et al; SCORE project group. Estimation of ten-year risk of fatal cardiovascular disease in Europe: the SCORE project. </w:t>
      </w:r>
      <w:proofErr w:type="spellStart"/>
      <w:r>
        <w:rPr>
          <w:rFonts w:cstheme="minorHAnsi"/>
        </w:rPr>
        <w:t>Eur</w:t>
      </w:r>
      <w:proofErr w:type="spellEnd"/>
      <w:r>
        <w:rPr>
          <w:rFonts w:cstheme="minorHAnsi"/>
        </w:rPr>
        <w:t xml:space="preserve"> Heart J. 2003; 24: 987-1003.</w:t>
      </w:r>
    </w:p>
    <w:p w14:paraId="14CE8D0C" w14:textId="77777777" w:rsidR="00D12E5F" w:rsidRDefault="00D12E5F" w:rsidP="00D12E5F">
      <w:pPr>
        <w:pStyle w:val="Textonotaalfinal"/>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9C0084" w14:textId="77777777" w:rsidR="007908B3" w:rsidRDefault="007908B3" w:rsidP="00D12E5F">
      <w:pPr>
        <w:spacing w:after="0" w:line="240" w:lineRule="auto"/>
      </w:pPr>
      <w:r>
        <w:separator/>
      </w:r>
    </w:p>
  </w:footnote>
  <w:footnote w:type="continuationSeparator" w:id="0">
    <w:p w14:paraId="42C35F56" w14:textId="77777777" w:rsidR="007908B3" w:rsidRDefault="007908B3" w:rsidP="00D12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0648E"/>
    <w:multiLevelType w:val="multilevel"/>
    <w:tmpl w:val="D56E6EE6"/>
    <w:lvl w:ilvl="0">
      <w:start w:val="4"/>
      <w:numFmt w:val="bullet"/>
      <w:lvlText w:val="-"/>
      <w:lvlJc w:val="left"/>
      <w:pPr>
        <w:ind w:left="720" w:hanging="360"/>
      </w:pPr>
      <w:rPr>
        <w:rFonts w:ascii="Times New Roman" w:hAnsi="Times New Roman" w:cs="Times New Roman" w:hint="default"/>
        <w:b/>
        <w:sz w:val="24"/>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E5F"/>
    <w:rsid w:val="00203E5A"/>
    <w:rsid w:val="005C0D4E"/>
    <w:rsid w:val="0072204A"/>
    <w:rsid w:val="007908B3"/>
    <w:rsid w:val="00D12E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13828"/>
  <w15:chartTrackingRefBased/>
  <w15:docId w15:val="{96455198-3C06-49BB-B238-4A417C5B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E5F"/>
    <w:pPr>
      <w:suppressAutoHyphens/>
      <w:spacing w:line="254" w:lineRule="auto"/>
    </w:pPr>
    <w:rPr>
      <w:rFonts w:eastAsia="SimSun" w:cs="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alfinalCar">
    <w:name w:val="Texto nota al final Car"/>
    <w:basedOn w:val="Fuentedeprrafopredeter"/>
    <w:link w:val="Textonotaalfinal"/>
    <w:uiPriority w:val="99"/>
    <w:qFormat/>
    <w:rsid w:val="00D12E5F"/>
    <w:rPr>
      <w:rFonts w:ascii="Calibri" w:eastAsia="SimSun" w:hAnsi="Calibri" w:cs="Calibri"/>
      <w:sz w:val="20"/>
      <w:szCs w:val="20"/>
    </w:rPr>
  </w:style>
  <w:style w:type="character" w:customStyle="1" w:styleId="Ancladenotafinal">
    <w:name w:val="Ancla de nota final"/>
    <w:rsid w:val="00D12E5F"/>
    <w:rPr>
      <w:vertAlign w:val="superscript"/>
    </w:rPr>
  </w:style>
  <w:style w:type="character" w:customStyle="1" w:styleId="Caracteresdenotafinal">
    <w:name w:val="Caracteres de nota final"/>
    <w:qFormat/>
    <w:rsid w:val="00D12E5F"/>
  </w:style>
  <w:style w:type="paragraph" w:styleId="Textonotaalfinal">
    <w:name w:val="endnote text"/>
    <w:basedOn w:val="Normal"/>
    <w:link w:val="TextonotaalfinalCar"/>
    <w:uiPriority w:val="99"/>
    <w:unhideWhenUsed/>
    <w:rsid w:val="00D12E5F"/>
    <w:pPr>
      <w:spacing w:after="0" w:line="240" w:lineRule="auto"/>
    </w:pPr>
    <w:rPr>
      <w:rFonts w:ascii="Calibri" w:hAnsi="Calibri"/>
      <w:sz w:val="20"/>
      <w:szCs w:val="20"/>
    </w:rPr>
  </w:style>
  <w:style w:type="character" w:customStyle="1" w:styleId="TextonotaalfinalCar1">
    <w:name w:val="Texto nota al final Car1"/>
    <w:basedOn w:val="Fuentedeprrafopredeter"/>
    <w:uiPriority w:val="99"/>
    <w:semiHidden/>
    <w:rsid w:val="00D12E5F"/>
    <w:rPr>
      <w:rFonts w:eastAsia="SimSun" w:cs="Calibri"/>
      <w:sz w:val="20"/>
      <w:szCs w:val="20"/>
    </w:rPr>
  </w:style>
  <w:style w:type="paragraph" w:styleId="NormalWeb">
    <w:name w:val="Normal (Web)"/>
    <w:basedOn w:val="Normal"/>
    <w:uiPriority w:val="99"/>
    <w:unhideWhenUsed/>
    <w:qFormat/>
    <w:rsid w:val="00D12E5F"/>
    <w:pPr>
      <w:suppressAutoHyphens w:val="0"/>
      <w:spacing w:beforeAutospacing="1" w:after="119" w:line="240" w:lineRule="auto"/>
    </w:pPr>
    <w:rPr>
      <w:rFonts w:ascii="Times" w:eastAsiaTheme="minorEastAsia" w:hAnsi="Times" w:cs="Times New Roman"/>
      <w:sz w:val="20"/>
      <w:szCs w:val="20"/>
      <w:lang w:val="es-ES_tradnl" w:eastAsia="es-ES"/>
    </w:rPr>
  </w:style>
  <w:style w:type="table" w:styleId="Tablaconcuadrcula">
    <w:name w:val="Table Grid"/>
    <w:basedOn w:val="Tablanormal"/>
    <w:uiPriority w:val="59"/>
    <w:rsid w:val="00D12E5F"/>
    <w:pPr>
      <w:spacing w:after="0" w:line="240" w:lineRule="auto"/>
    </w:pPr>
    <w:rPr>
      <w:rFonts w:eastAsiaTheme="minorEastAsia"/>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1198</Words>
  <Characters>6589</Characters>
  <Application>Microsoft Office Word</Application>
  <DocSecurity>0</DocSecurity>
  <Lines>54</Lines>
  <Paragraphs>15</Paragraphs>
  <ScaleCrop>false</ScaleCrop>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Cinza Sanjurjo</dc:creator>
  <cp:keywords/>
  <dc:description/>
  <cp:lastModifiedBy>Sergio Cinza Sanjurjo</cp:lastModifiedBy>
  <cp:revision>2</cp:revision>
  <dcterms:created xsi:type="dcterms:W3CDTF">2020-05-19T22:35:00Z</dcterms:created>
  <dcterms:modified xsi:type="dcterms:W3CDTF">2020-05-19T22:40:00Z</dcterms:modified>
</cp:coreProperties>
</file>