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3DF" w:rsidRPr="0096644B" w:rsidRDefault="00CF63DF" w:rsidP="00CF63DF">
      <w:pPr>
        <w:spacing w:line="480" w:lineRule="auto"/>
        <w:jc w:val="both"/>
        <w:rPr>
          <w:rFonts w:ascii="Arial" w:hAnsi="Arial"/>
          <w:color w:val="000000" w:themeColor="text1"/>
          <w:sz w:val="20"/>
          <w:szCs w:val="20"/>
        </w:rPr>
      </w:pPr>
    </w:p>
    <w:p w:rsidR="00CF63DF" w:rsidRPr="00B513BC" w:rsidRDefault="00CF63DF" w:rsidP="00CF63DF">
      <w:pPr>
        <w:spacing w:after="0"/>
        <w:rPr>
          <w:rFonts w:ascii="Arial" w:hAnsi="Arial" w:cs="Arial"/>
          <w:b/>
        </w:rPr>
      </w:pPr>
      <w:r w:rsidRPr="00B513BC">
        <w:rPr>
          <w:rFonts w:ascii="Arial" w:hAnsi="Arial" w:cs="Arial"/>
          <w:b/>
        </w:rPr>
        <w:t>S</w:t>
      </w:r>
      <w:r w:rsidR="00442A5E">
        <w:rPr>
          <w:rFonts w:ascii="Arial" w:hAnsi="Arial" w:cs="Arial"/>
          <w:b/>
        </w:rPr>
        <w:t>upplementary</w:t>
      </w:r>
      <w:bookmarkStart w:id="0" w:name="_GoBack"/>
      <w:bookmarkEnd w:id="0"/>
      <w:r w:rsidRPr="00B513BC">
        <w:rPr>
          <w:rFonts w:ascii="Arial" w:hAnsi="Arial" w:cs="Arial"/>
          <w:b/>
        </w:rPr>
        <w:t xml:space="preserve"> </w:t>
      </w:r>
      <w:proofErr w:type="gramStart"/>
      <w:r w:rsidRPr="00B513BC">
        <w:rPr>
          <w:rFonts w:ascii="Arial" w:hAnsi="Arial" w:cs="Arial"/>
          <w:b/>
        </w:rPr>
        <w:t>Table :</w:t>
      </w:r>
      <w:proofErr w:type="gramEnd"/>
      <w:r w:rsidRPr="00B513BC">
        <w:rPr>
          <w:rFonts w:ascii="Arial" w:hAnsi="Arial" w:cs="Arial"/>
          <w:b/>
        </w:rPr>
        <w:t xml:space="preserve"> Characteristics of the 247 CVC insertion procedure</w:t>
      </w:r>
    </w:p>
    <w:p w:rsidR="00CF63DF" w:rsidRPr="00B513BC" w:rsidRDefault="00CF63DF" w:rsidP="00CF63DF">
      <w:pPr>
        <w:pStyle w:val="PargrafodaLista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2545"/>
      </w:tblGrid>
      <w:tr w:rsidR="00CF63DF" w:rsidRPr="00BA2402" w:rsidTr="00F31286">
        <w:trPr>
          <w:trHeight w:val="256"/>
        </w:trPr>
        <w:tc>
          <w:tcPr>
            <w:tcW w:w="5949" w:type="dxa"/>
          </w:tcPr>
          <w:p w:rsidR="00CF63DF" w:rsidRPr="00B513BC" w:rsidRDefault="00CF63DF" w:rsidP="00F31286">
            <w:pPr>
              <w:tabs>
                <w:tab w:val="left" w:pos="1200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 = 247</w:t>
            </w:r>
          </w:p>
        </w:tc>
      </w:tr>
      <w:tr w:rsidR="00CF63DF" w:rsidRPr="00BA2402" w:rsidTr="00F31286">
        <w:trPr>
          <w:trHeight w:val="256"/>
        </w:trPr>
        <w:tc>
          <w:tcPr>
            <w:tcW w:w="5949" w:type="dxa"/>
          </w:tcPr>
          <w:p w:rsidR="00CF63DF" w:rsidRPr="00BA2402" w:rsidRDefault="00CF63DF" w:rsidP="00F31286">
            <w:pPr>
              <w:tabs>
                <w:tab w:val="left" w:pos="120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A2402">
              <w:rPr>
                <w:rFonts w:ascii="Arial" w:hAnsi="Arial" w:cs="Arial"/>
                <w:sz w:val="18"/>
                <w:szCs w:val="18"/>
              </w:rPr>
              <w:t>Procedure performed by a physician with training in general surgery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402">
              <w:rPr>
                <w:rFonts w:ascii="Arial" w:hAnsi="Arial" w:cs="Arial"/>
                <w:sz w:val="18"/>
                <w:szCs w:val="18"/>
              </w:rPr>
              <w:t>149 (60</w:t>
            </w:r>
            <w:proofErr w:type="gramStart"/>
            <w:r w:rsidRPr="00BA2402">
              <w:rPr>
                <w:rFonts w:ascii="Arial" w:hAnsi="Arial" w:cs="Arial"/>
                <w:sz w:val="18"/>
                <w:szCs w:val="18"/>
              </w:rPr>
              <w:t>,3</w:t>
            </w:r>
            <w:proofErr w:type="gramEnd"/>
            <w:r w:rsidRPr="00BA2402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56"/>
        </w:trPr>
        <w:tc>
          <w:tcPr>
            <w:tcW w:w="5949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A2402">
              <w:rPr>
                <w:rFonts w:ascii="Arial" w:hAnsi="Arial" w:cs="Arial"/>
                <w:sz w:val="18"/>
                <w:szCs w:val="18"/>
              </w:rPr>
              <w:t>Procedure performed in the ICU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402">
              <w:rPr>
                <w:rFonts w:ascii="Arial" w:hAnsi="Arial" w:cs="Arial"/>
                <w:sz w:val="18"/>
                <w:szCs w:val="18"/>
              </w:rPr>
              <w:t>88 (35</w:t>
            </w:r>
            <w:proofErr w:type="gramStart"/>
            <w:r w:rsidRPr="00BA2402">
              <w:rPr>
                <w:rFonts w:ascii="Arial" w:hAnsi="Arial" w:cs="Arial"/>
                <w:sz w:val="18"/>
                <w:szCs w:val="18"/>
              </w:rPr>
              <w:t>,6</w:t>
            </w:r>
            <w:proofErr w:type="gramEnd"/>
            <w:r w:rsidRPr="00BA2402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56"/>
        </w:trPr>
        <w:tc>
          <w:tcPr>
            <w:tcW w:w="5949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A2402">
              <w:rPr>
                <w:rFonts w:ascii="Arial" w:hAnsi="Arial" w:cs="Arial"/>
                <w:sz w:val="18"/>
                <w:szCs w:val="18"/>
              </w:rPr>
              <w:t xml:space="preserve">PN infused in a </w:t>
            </w:r>
            <w:r>
              <w:rPr>
                <w:rFonts w:ascii="Arial" w:hAnsi="Arial" w:cs="Arial"/>
                <w:sz w:val="18"/>
                <w:szCs w:val="18"/>
              </w:rPr>
              <w:t xml:space="preserve">recently inserted </w:t>
            </w:r>
            <w:r w:rsidRPr="00BA2402">
              <w:rPr>
                <w:rFonts w:ascii="Arial" w:hAnsi="Arial" w:cs="Arial"/>
                <w:sz w:val="18"/>
                <w:szCs w:val="18"/>
              </w:rPr>
              <w:t>CVC (less than 48h of use)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402">
              <w:rPr>
                <w:rFonts w:ascii="Arial" w:hAnsi="Arial" w:cs="Arial"/>
                <w:sz w:val="18"/>
                <w:szCs w:val="18"/>
              </w:rPr>
              <w:t>192 (77</w:t>
            </w:r>
            <w:proofErr w:type="gramStart"/>
            <w:r w:rsidRPr="00BA2402">
              <w:rPr>
                <w:rFonts w:ascii="Arial" w:hAnsi="Arial" w:cs="Arial"/>
                <w:sz w:val="18"/>
                <w:szCs w:val="18"/>
              </w:rPr>
              <w:t>,7</w:t>
            </w:r>
            <w:proofErr w:type="gramEnd"/>
            <w:r w:rsidRPr="00BA2402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56"/>
        </w:trPr>
        <w:tc>
          <w:tcPr>
            <w:tcW w:w="5949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A2402">
              <w:rPr>
                <w:rFonts w:ascii="Arial" w:hAnsi="Arial" w:cs="Arial"/>
                <w:sz w:val="18"/>
                <w:szCs w:val="18"/>
              </w:rPr>
              <w:t>CVC time (days)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402">
              <w:rPr>
                <w:rFonts w:ascii="Arial" w:hAnsi="Arial" w:cs="Arial"/>
                <w:sz w:val="18"/>
                <w:szCs w:val="18"/>
              </w:rPr>
              <w:t>14 (9 – 23)</w:t>
            </w:r>
          </w:p>
        </w:tc>
      </w:tr>
      <w:tr w:rsidR="00CF63DF" w:rsidRPr="00BA2402" w:rsidTr="00F31286">
        <w:trPr>
          <w:trHeight w:val="243"/>
        </w:trPr>
        <w:tc>
          <w:tcPr>
            <w:tcW w:w="5949" w:type="dxa"/>
            <w:shd w:val="clear" w:color="auto" w:fill="D0CECE" w:themeFill="background2" w:themeFillShade="E6"/>
          </w:tcPr>
          <w:p w:rsidR="00CF63DF" w:rsidRPr="0053051A" w:rsidRDefault="00CF63DF" w:rsidP="00F31286">
            <w:pPr>
              <w:tabs>
                <w:tab w:val="left" w:pos="120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051A">
              <w:rPr>
                <w:rFonts w:ascii="Arial" w:hAnsi="Arial" w:cs="Arial"/>
                <w:sz w:val="18"/>
                <w:szCs w:val="18"/>
              </w:rPr>
              <w:t>Executor</w:t>
            </w:r>
            <w:r>
              <w:rPr>
                <w:rFonts w:ascii="Arial" w:hAnsi="Arial" w:cs="Arial"/>
                <w:sz w:val="18"/>
                <w:szCs w:val="18"/>
              </w:rPr>
              <w:t xml:space="preserve"> of procedure</w:t>
            </w:r>
          </w:p>
        </w:tc>
        <w:tc>
          <w:tcPr>
            <w:tcW w:w="2545" w:type="dxa"/>
            <w:shd w:val="clear" w:color="auto" w:fill="D0CECE" w:themeFill="background2" w:themeFillShade="E6"/>
          </w:tcPr>
          <w:p w:rsidR="00CF63DF" w:rsidRPr="0053051A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3DF" w:rsidRPr="00BA2402" w:rsidTr="00F31286">
        <w:trPr>
          <w:trHeight w:val="237"/>
        </w:trPr>
        <w:tc>
          <w:tcPr>
            <w:tcW w:w="5949" w:type="dxa"/>
          </w:tcPr>
          <w:p w:rsidR="00CF63DF" w:rsidRPr="0053051A" w:rsidRDefault="00CF63DF" w:rsidP="00F31286">
            <w:pPr>
              <w:tabs>
                <w:tab w:val="left" w:pos="120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First year resident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CD4">
              <w:rPr>
                <w:rFonts w:ascii="Arial" w:hAnsi="Arial" w:cs="Arial"/>
                <w:sz w:val="18"/>
                <w:szCs w:val="18"/>
              </w:rPr>
              <w:t>105 (42</w:t>
            </w:r>
            <w:proofErr w:type="gramStart"/>
            <w:r w:rsidRPr="00366CD4">
              <w:rPr>
                <w:rFonts w:ascii="Arial" w:hAnsi="Arial" w:cs="Arial"/>
                <w:sz w:val="18"/>
                <w:szCs w:val="18"/>
              </w:rPr>
              <w:t>,5</w:t>
            </w:r>
            <w:proofErr w:type="gramEnd"/>
            <w:r w:rsidRPr="00366CD4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37"/>
        </w:trPr>
        <w:tc>
          <w:tcPr>
            <w:tcW w:w="5949" w:type="dxa"/>
          </w:tcPr>
          <w:p w:rsidR="00CF63DF" w:rsidRPr="0053051A" w:rsidRDefault="00CF63DF" w:rsidP="00F31286">
            <w:pPr>
              <w:tabs>
                <w:tab w:val="left" w:pos="120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Second year resident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CD4">
              <w:rPr>
                <w:rFonts w:ascii="Arial" w:hAnsi="Arial" w:cs="Arial"/>
                <w:sz w:val="18"/>
                <w:szCs w:val="18"/>
              </w:rPr>
              <w:t>23 (9</w:t>
            </w:r>
            <w:proofErr w:type="gramStart"/>
            <w:r w:rsidRPr="00366CD4">
              <w:rPr>
                <w:rFonts w:ascii="Arial" w:hAnsi="Arial" w:cs="Arial"/>
                <w:sz w:val="18"/>
                <w:szCs w:val="18"/>
              </w:rPr>
              <w:t>,3</w:t>
            </w:r>
            <w:proofErr w:type="gramEnd"/>
            <w:r w:rsidRPr="00366CD4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37"/>
        </w:trPr>
        <w:tc>
          <w:tcPr>
            <w:tcW w:w="5949" w:type="dxa"/>
          </w:tcPr>
          <w:p w:rsidR="00CF63DF" w:rsidRPr="00BA2402" w:rsidRDefault="00CF63DF" w:rsidP="00F31286">
            <w:pPr>
              <w:tabs>
                <w:tab w:val="left" w:pos="1200"/>
              </w:tabs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A2402">
              <w:rPr>
                <w:rFonts w:ascii="Arial" w:hAnsi="Arial" w:cs="Arial"/>
                <w:sz w:val="18"/>
                <w:szCs w:val="18"/>
              </w:rPr>
              <w:t>Third year resident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CD4">
              <w:rPr>
                <w:rFonts w:ascii="Arial" w:hAnsi="Arial" w:cs="Arial"/>
                <w:sz w:val="18"/>
                <w:szCs w:val="18"/>
              </w:rPr>
              <w:t>40 (16</w:t>
            </w:r>
            <w:proofErr w:type="gramStart"/>
            <w:r w:rsidRPr="00366CD4">
              <w:rPr>
                <w:rFonts w:ascii="Arial" w:hAnsi="Arial" w:cs="Arial"/>
                <w:sz w:val="18"/>
                <w:szCs w:val="18"/>
              </w:rPr>
              <w:t>,2</w:t>
            </w:r>
            <w:proofErr w:type="gramEnd"/>
            <w:r w:rsidRPr="00366CD4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37"/>
        </w:trPr>
        <w:tc>
          <w:tcPr>
            <w:tcW w:w="5949" w:type="dxa"/>
          </w:tcPr>
          <w:p w:rsidR="00CF63DF" w:rsidRPr="0053051A" w:rsidRDefault="00CF63DF" w:rsidP="00F31286">
            <w:pPr>
              <w:tabs>
                <w:tab w:val="left" w:pos="120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A2402">
              <w:rPr>
                <w:rFonts w:ascii="Arial" w:hAnsi="Arial" w:cs="Arial"/>
                <w:sz w:val="18"/>
                <w:szCs w:val="18"/>
              </w:rPr>
              <w:t xml:space="preserve">Fourth year </w:t>
            </w:r>
            <w:r>
              <w:rPr>
                <w:rFonts w:ascii="Arial" w:hAnsi="Arial" w:cs="Arial"/>
                <w:sz w:val="18"/>
                <w:szCs w:val="18"/>
              </w:rPr>
              <w:t>resident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402">
              <w:rPr>
                <w:rFonts w:ascii="Arial" w:hAnsi="Arial" w:cs="Arial"/>
                <w:sz w:val="18"/>
                <w:szCs w:val="18"/>
              </w:rPr>
              <w:t>7 (2</w:t>
            </w:r>
            <w:proofErr w:type="gramStart"/>
            <w:r w:rsidRPr="00BA2402">
              <w:rPr>
                <w:rFonts w:ascii="Arial" w:hAnsi="Arial" w:cs="Arial"/>
                <w:sz w:val="18"/>
                <w:szCs w:val="18"/>
              </w:rPr>
              <w:t>,8</w:t>
            </w:r>
            <w:proofErr w:type="gramEnd"/>
            <w:r w:rsidRPr="00BA2402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37"/>
        </w:trPr>
        <w:tc>
          <w:tcPr>
            <w:tcW w:w="5949" w:type="dxa"/>
          </w:tcPr>
          <w:p w:rsidR="00CF63DF" w:rsidRPr="00BA2402" w:rsidRDefault="00CF63DF" w:rsidP="00F31286">
            <w:pPr>
              <w:tabs>
                <w:tab w:val="left" w:pos="1200"/>
              </w:tabs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A2402">
              <w:rPr>
                <w:rFonts w:ascii="Arial" w:hAnsi="Arial" w:cs="Arial"/>
                <w:sz w:val="18"/>
                <w:szCs w:val="18"/>
              </w:rPr>
              <w:t>Staff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CD4">
              <w:rPr>
                <w:rFonts w:ascii="Arial" w:hAnsi="Arial" w:cs="Arial"/>
                <w:sz w:val="18"/>
                <w:szCs w:val="18"/>
              </w:rPr>
              <w:t>31 (12</w:t>
            </w:r>
            <w:proofErr w:type="gramStart"/>
            <w:r w:rsidRPr="00366CD4">
              <w:rPr>
                <w:rFonts w:ascii="Arial" w:hAnsi="Arial" w:cs="Arial"/>
                <w:sz w:val="18"/>
                <w:szCs w:val="18"/>
              </w:rPr>
              <w:t>,6</w:t>
            </w:r>
            <w:proofErr w:type="gramEnd"/>
            <w:r w:rsidRPr="00366CD4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37"/>
        </w:trPr>
        <w:tc>
          <w:tcPr>
            <w:tcW w:w="5949" w:type="dxa"/>
          </w:tcPr>
          <w:p w:rsidR="00CF63DF" w:rsidRPr="00BA2402" w:rsidRDefault="00CF63DF" w:rsidP="00F31286">
            <w:pPr>
              <w:tabs>
                <w:tab w:val="left" w:pos="1200"/>
              </w:tabs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A2402">
              <w:rPr>
                <w:rFonts w:ascii="Arial" w:hAnsi="Arial" w:cs="Arial"/>
                <w:sz w:val="18"/>
                <w:szCs w:val="18"/>
              </w:rPr>
              <w:t>Not identified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CD4">
              <w:rPr>
                <w:rFonts w:ascii="Arial" w:hAnsi="Arial" w:cs="Arial"/>
                <w:sz w:val="18"/>
                <w:szCs w:val="18"/>
              </w:rPr>
              <w:t>41 (16</w:t>
            </w:r>
            <w:proofErr w:type="gramStart"/>
            <w:r w:rsidRPr="00366CD4">
              <w:rPr>
                <w:rFonts w:ascii="Arial" w:hAnsi="Arial" w:cs="Arial"/>
                <w:sz w:val="18"/>
                <w:szCs w:val="18"/>
              </w:rPr>
              <w:t>,6</w:t>
            </w:r>
            <w:proofErr w:type="gramEnd"/>
            <w:r w:rsidRPr="00366CD4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37"/>
        </w:trPr>
        <w:tc>
          <w:tcPr>
            <w:tcW w:w="5949" w:type="dxa"/>
            <w:shd w:val="clear" w:color="auto" w:fill="D0CECE" w:themeFill="background2" w:themeFillShade="E6"/>
          </w:tcPr>
          <w:p w:rsidR="00CF63DF" w:rsidRPr="0053051A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051A">
              <w:rPr>
                <w:rFonts w:ascii="Arial" w:hAnsi="Arial" w:cs="Arial"/>
                <w:sz w:val="18"/>
                <w:szCs w:val="18"/>
              </w:rPr>
              <w:t>Catheter insertion technique</w:t>
            </w:r>
          </w:p>
        </w:tc>
        <w:tc>
          <w:tcPr>
            <w:tcW w:w="2545" w:type="dxa"/>
            <w:shd w:val="clear" w:color="auto" w:fill="D0CECE" w:themeFill="background2" w:themeFillShade="E6"/>
          </w:tcPr>
          <w:p w:rsidR="00CF63DF" w:rsidRPr="00BA2402" w:rsidRDefault="00CF63DF" w:rsidP="00F31286">
            <w:pPr>
              <w:tabs>
                <w:tab w:val="left" w:pos="900"/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3DF" w:rsidRPr="00BA2402" w:rsidTr="00F31286">
        <w:trPr>
          <w:trHeight w:val="237"/>
        </w:trPr>
        <w:tc>
          <w:tcPr>
            <w:tcW w:w="5949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E623C">
              <w:rPr>
                <w:rFonts w:ascii="Arial" w:hAnsi="Arial" w:cs="Arial"/>
                <w:sz w:val="18"/>
                <w:szCs w:val="18"/>
              </w:rPr>
              <w:t>Ultrasound guided puncture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584">
              <w:rPr>
                <w:rFonts w:ascii="Arial" w:hAnsi="Arial" w:cs="Arial"/>
                <w:sz w:val="18"/>
                <w:szCs w:val="18"/>
              </w:rPr>
              <w:t>123 (49</w:t>
            </w:r>
            <w:proofErr w:type="gramStart"/>
            <w:r w:rsidRPr="00981584">
              <w:rPr>
                <w:rFonts w:ascii="Arial" w:hAnsi="Arial" w:cs="Arial"/>
                <w:sz w:val="18"/>
                <w:szCs w:val="18"/>
              </w:rPr>
              <w:t>,8</w:t>
            </w:r>
            <w:proofErr w:type="gramEnd"/>
            <w:r w:rsidRPr="00981584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37"/>
        </w:trPr>
        <w:tc>
          <w:tcPr>
            <w:tcW w:w="5949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E623C">
              <w:rPr>
                <w:rFonts w:ascii="Arial" w:hAnsi="Arial" w:cs="Arial"/>
                <w:sz w:val="18"/>
                <w:szCs w:val="18"/>
              </w:rPr>
              <w:t>Anatomical landmarks puncture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584">
              <w:rPr>
                <w:rFonts w:ascii="Arial" w:hAnsi="Arial" w:cs="Arial"/>
                <w:sz w:val="18"/>
                <w:szCs w:val="18"/>
              </w:rPr>
              <w:t>87 (35</w:t>
            </w:r>
            <w:proofErr w:type="gramStart"/>
            <w:r w:rsidRPr="00981584">
              <w:rPr>
                <w:rFonts w:ascii="Arial" w:hAnsi="Arial" w:cs="Arial"/>
                <w:sz w:val="18"/>
                <w:szCs w:val="18"/>
              </w:rPr>
              <w:t>,2</w:t>
            </w:r>
            <w:proofErr w:type="gramEnd"/>
            <w:r w:rsidRPr="00981584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37"/>
        </w:trPr>
        <w:tc>
          <w:tcPr>
            <w:tcW w:w="5949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E623C">
              <w:rPr>
                <w:rFonts w:ascii="Arial" w:hAnsi="Arial" w:cs="Arial"/>
                <w:sz w:val="18"/>
                <w:szCs w:val="18"/>
              </w:rPr>
              <w:t>Guide wire exchange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584">
              <w:rPr>
                <w:rFonts w:ascii="Arial" w:hAnsi="Arial" w:cs="Arial"/>
                <w:sz w:val="18"/>
                <w:szCs w:val="18"/>
              </w:rPr>
              <w:t>17 (6</w:t>
            </w:r>
            <w:proofErr w:type="gramStart"/>
            <w:r w:rsidRPr="00981584">
              <w:rPr>
                <w:rFonts w:ascii="Arial" w:hAnsi="Arial" w:cs="Arial"/>
                <w:sz w:val="18"/>
                <w:szCs w:val="18"/>
              </w:rPr>
              <w:t>,9</w:t>
            </w:r>
            <w:proofErr w:type="gramEnd"/>
            <w:r w:rsidRPr="00981584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37"/>
        </w:trPr>
        <w:tc>
          <w:tcPr>
            <w:tcW w:w="5949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E623C">
              <w:rPr>
                <w:rFonts w:ascii="Arial" w:hAnsi="Arial" w:cs="Arial"/>
                <w:sz w:val="18"/>
                <w:szCs w:val="18"/>
              </w:rPr>
              <w:t>No description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584">
              <w:rPr>
                <w:rFonts w:ascii="Arial" w:hAnsi="Arial" w:cs="Arial"/>
                <w:sz w:val="18"/>
                <w:szCs w:val="18"/>
              </w:rPr>
              <w:t>20 (8</w:t>
            </w:r>
            <w:proofErr w:type="gramStart"/>
            <w:r w:rsidRPr="00981584">
              <w:rPr>
                <w:rFonts w:ascii="Arial" w:hAnsi="Arial" w:cs="Arial"/>
                <w:sz w:val="18"/>
                <w:szCs w:val="18"/>
              </w:rPr>
              <w:t>,1</w:t>
            </w:r>
            <w:proofErr w:type="gramEnd"/>
            <w:r w:rsidRPr="00981584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37"/>
        </w:trPr>
        <w:tc>
          <w:tcPr>
            <w:tcW w:w="5949" w:type="dxa"/>
            <w:shd w:val="clear" w:color="auto" w:fill="D0CECE" w:themeFill="background2" w:themeFillShade="E6"/>
          </w:tcPr>
          <w:p w:rsidR="00CF63DF" w:rsidRPr="0053051A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051A">
              <w:rPr>
                <w:rFonts w:ascii="Arial" w:hAnsi="Arial" w:cs="Arial"/>
                <w:sz w:val="18"/>
                <w:szCs w:val="18"/>
              </w:rPr>
              <w:t>Catheter (regarding the number of lumen)</w:t>
            </w:r>
          </w:p>
        </w:tc>
        <w:tc>
          <w:tcPr>
            <w:tcW w:w="2545" w:type="dxa"/>
            <w:shd w:val="clear" w:color="auto" w:fill="D0CECE" w:themeFill="background2" w:themeFillShade="E6"/>
          </w:tcPr>
          <w:p w:rsidR="00CF63DF" w:rsidRPr="0053051A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3DF" w:rsidRPr="00BA2402" w:rsidTr="00F31286">
        <w:trPr>
          <w:trHeight w:val="236"/>
        </w:trPr>
        <w:tc>
          <w:tcPr>
            <w:tcW w:w="5949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16181">
              <w:rPr>
                <w:rFonts w:ascii="Arial" w:hAnsi="Arial" w:cs="Arial"/>
                <w:sz w:val="18"/>
                <w:szCs w:val="18"/>
              </w:rPr>
              <w:t>Single-lumen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E90">
              <w:rPr>
                <w:rFonts w:ascii="Arial" w:hAnsi="Arial" w:cs="Arial"/>
                <w:sz w:val="18"/>
                <w:szCs w:val="18"/>
              </w:rPr>
              <w:t>12 (4</w:t>
            </w:r>
            <w:proofErr w:type="gramStart"/>
            <w:r w:rsidRPr="009B1E90">
              <w:rPr>
                <w:rFonts w:ascii="Arial" w:hAnsi="Arial" w:cs="Arial"/>
                <w:sz w:val="18"/>
                <w:szCs w:val="18"/>
              </w:rPr>
              <w:t>,9</w:t>
            </w:r>
            <w:proofErr w:type="gramEnd"/>
            <w:r w:rsidRPr="009B1E90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36"/>
        </w:trPr>
        <w:tc>
          <w:tcPr>
            <w:tcW w:w="5949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16181">
              <w:rPr>
                <w:rFonts w:ascii="Arial" w:hAnsi="Arial" w:cs="Arial"/>
                <w:sz w:val="18"/>
                <w:szCs w:val="18"/>
              </w:rPr>
              <w:t>Double-lumen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E90">
              <w:rPr>
                <w:rFonts w:ascii="Arial" w:hAnsi="Arial" w:cs="Arial"/>
                <w:sz w:val="18"/>
                <w:szCs w:val="18"/>
              </w:rPr>
              <w:t>232 (93</w:t>
            </w:r>
            <w:proofErr w:type="gramStart"/>
            <w:r w:rsidRPr="009B1E90">
              <w:rPr>
                <w:rFonts w:ascii="Arial" w:hAnsi="Arial" w:cs="Arial"/>
                <w:sz w:val="18"/>
                <w:szCs w:val="18"/>
              </w:rPr>
              <w:t>,9</w:t>
            </w:r>
            <w:proofErr w:type="gramEnd"/>
            <w:r w:rsidRPr="009B1E90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36"/>
        </w:trPr>
        <w:tc>
          <w:tcPr>
            <w:tcW w:w="5949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16181">
              <w:rPr>
                <w:rFonts w:ascii="Arial" w:hAnsi="Arial" w:cs="Arial"/>
                <w:sz w:val="18"/>
                <w:szCs w:val="18"/>
              </w:rPr>
              <w:t>Triple-lumen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E90">
              <w:rPr>
                <w:rFonts w:ascii="Arial" w:hAnsi="Arial" w:cs="Arial"/>
                <w:sz w:val="18"/>
                <w:szCs w:val="18"/>
              </w:rPr>
              <w:t>3 (1</w:t>
            </w:r>
            <w:proofErr w:type="gramStart"/>
            <w:r w:rsidRPr="009B1E90">
              <w:rPr>
                <w:rFonts w:ascii="Arial" w:hAnsi="Arial" w:cs="Arial"/>
                <w:sz w:val="18"/>
                <w:szCs w:val="18"/>
              </w:rPr>
              <w:t>,9</w:t>
            </w:r>
            <w:proofErr w:type="gramEnd"/>
            <w:r w:rsidRPr="009B1E90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37"/>
        </w:trPr>
        <w:tc>
          <w:tcPr>
            <w:tcW w:w="5949" w:type="dxa"/>
            <w:shd w:val="clear" w:color="auto" w:fill="D0CECE" w:themeFill="background2" w:themeFillShade="E6"/>
          </w:tcPr>
          <w:p w:rsidR="00CF63DF" w:rsidRPr="0053051A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051A">
              <w:rPr>
                <w:rFonts w:ascii="Arial" w:hAnsi="Arial" w:cs="Arial"/>
                <w:sz w:val="18"/>
                <w:szCs w:val="18"/>
              </w:rPr>
              <w:t>Puncture Site</w:t>
            </w:r>
          </w:p>
        </w:tc>
        <w:tc>
          <w:tcPr>
            <w:tcW w:w="2545" w:type="dxa"/>
            <w:shd w:val="clear" w:color="auto" w:fill="D0CECE" w:themeFill="background2" w:themeFillShade="E6"/>
          </w:tcPr>
          <w:p w:rsidR="00CF63DF" w:rsidRPr="0053051A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3DF" w:rsidRPr="00BA2402" w:rsidTr="00F31286">
        <w:trPr>
          <w:trHeight w:val="236"/>
        </w:trPr>
        <w:tc>
          <w:tcPr>
            <w:tcW w:w="5949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F7BAD">
              <w:rPr>
                <w:rFonts w:ascii="Arial" w:hAnsi="Arial" w:cs="Arial"/>
                <w:sz w:val="18"/>
                <w:szCs w:val="18"/>
              </w:rPr>
              <w:t>Subclavian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398">
              <w:rPr>
                <w:rFonts w:ascii="Arial" w:hAnsi="Arial" w:cs="Arial"/>
                <w:sz w:val="18"/>
                <w:szCs w:val="18"/>
              </w:rPr>
              <w:t>95 (38</w:t>
            </w:r>
            <w:proofErr w:type="gramStart"/>
            <w:r w:rsidRPr="00DF2398">
              <w:rPr>
                <w:rFonts w:ascii="Arial" w:hAnsi="Arial" w:cs="Arial"/>
                <w:sz w:val="18"/>
                <w:szCs w:val="18"/>
              </w:rPr>
              <w:t>,5</w:t>
            </w:r>
            <w:proofErr w:type="gramEnd"/>
            <w:r w:rsidRPr="00DF2398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36"/>
        </w:trPr>
        <w:tc>
          <w:tcPr>
            <w:tcW w:w="5949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F7BAD">
              <w:rPr>
                <w:rFonts w:ascii="Arial" w:hAnsi="Arial" w:cs="Arial"/>
                <w:sz w:val="18"/>
                <w:szCs w:val="18"/>
              </w:rPr>
              <w:t>Jugular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398">
              <w:rPr>
                <w:rFonts w:ascii="Arial" w:hAnsi="Arial" w:cs="Arial"/>
                <w:sz w:val="18"/>
                <w:szCs w:val="18"/>
              </w:rPr>
              <w:t>147 (59</w:t>
            </w:r>
            <w:proofErr w:type="gramStart"/>
            <w:r w:rsidRPr="00DF2398">
              <w:rPr>
                <w:rFonts w:ascii="Arial" w:hAnsi="Arial" w:cs="Arial"/>
                <w:sz w:val="18"/>
                <w:szCs w:val="18"/>
              </w:rPr>
              <w:t>,5</w:t>
            </w:r>
            <w:proofErr w:type="gramEnd"/>
            <w:r w:rsidRPr="00DF2398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36"/>
        </w:trPr>
        <w:tc>
          <w:tcPr>
            <w:tcW w:w="5949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F7BAD">
              <w:rPr>
                <w:rFonts w:ascii="Arial" w:hAnsi="Arial" w:cs="Arial"/>
                <w:sz w:val="18"/>
                <w:szCs w:val="18"/>
              </w:rPr>
              <w:t>Femoral</w:t>
            </w:r>
          </w:p>
        </w:tc>
        <w:tc>
          <w:tcPr>
            <w:tcW w:w="2545" w:type="dxa"/>
          </w:tcPr>
          <w:p w:rsidR="00CF63DF" w:rsidRPr="00BA2402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398">
              <w:rPr>
                <w:rFonts w:ascii="Arial" w:hAnsi="Arial" w:cs="Arial"/>
                <w:sz w:val="18"/>
                <w:szCs w:val="18"/>
              </w:rPr>
              <w:t>4 (2</w:t>
            </w:r>
            <w:proofErr w:type="gramStart"/>
            <w:r w:rsidRPr="00DF2398">
              <w:rPr>
                <w:rFonts w:ascii="Arial" w:hAnsi="Arial" w:cs="Arial"/>
                <w:sz w:val="18"/>
                <w:szCs w:val="18"/>
              </w:rPr>
              <w:t>,1</w:t>
            </w:r>
            <w:proofErr w:type="gramEnd"/>
            <w:r w:rsidRPr="00DF2398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36"/>
        </w:trPr>
        <w:tc>
          <w:tcPr>
            <w:tcW w:w="5949" w:type="dxa"/>
            <w:shd w:val="clear" w:color="auto" w:fill="BFBFBF" w:themeFill="background1" w:themeFillShade="BF"/>
          </w:tcPr>
          <w:p w:rsidR="00CF63DF" w:rsidRPr="003F7BAD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Complications</w:t>
            </w:r>
          </w:p>
        </w:tc>
        <w:tc>
          <w:tcPr>
            <w:tcW w:w="2545" w:type="dxa"/>
            <w:shd w:val="clear" w:color="auto" w:fill="BFBFBF" w:themeFill="background1" w:themeFillShade="BF"/>
          </w:tcPr>
          <w:p w:rsidR="00CF63DF" w:rsidRPr="00DF2398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3DF" w:rsidRPr="00BA2402" w:rsidTr="00F31286">
        <w:trPr>
          <w:trHeight w:val="236"/>
        </w:trPr>
        <w:tc>
          <w:tcPr>
            <w:tcW w:w="5949" w:type="dxa"/>
          </w:tcPr>
          <w:p w:rsidR="00CF63DF" w:rsidRPr="003F7BAD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A2402">
              <w:rPr>
                <w:rFonts w:ascii="Arial" w:hAnsi="Arial" w:cs="Arial"/>
                <w:sz w:val="18"/>
                <w:szCs w:val="18"/>
              </w:rPr>
              <w:t>CLABSI</w:t>
            </w:r>
          </w:p>
        </w:tc>
        <w:tc>
          <w:tcPr>
            <w:tcW w:w="2545" w:type="dxa"/>
          </w:tcPr>
          <w:p w:rsidR="00CF63DF" w:rsidRPr="00DF2398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402">
              <w:rPr>
                <w:rFonts w:ascii="Arial" w:hAnsi="Arial" w:cs="Arial"/>
                <w:sz w:val="18"/>
                <w:szCs w:val="18"/>
              </w:rPr>
              <w:t>28 (11</w:t>
            </w:r>
            <w:proofErr w:type="gramStart"/>
            <w:r w:rsidRPr="00BA2402">
              <w:rPr>
                <w:rFonts w:ascii="Arial" w:hAnsi="Arial" w:cs="Arial"/>
                <w:sz w:val="18"/>
                <w:szCs w:val="18"/>
              </w:rPr>
              <w:t>,3</w:t>
            </w:r>
            <w:proofErr w:type="gramEnd"/>
            <w:r w:rsidRPr="00BA2402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CF63DF" w:rsidRPr="00BA2402" w:rsidTr="00F31286">
        <w:trPr>
          <w:trHeight w:val="236"/>
        </w:trPr>
        <w:tc>
          <w:tcPr>
            <w:tcW w:w="5949" w:type="dxa"/>
          </w:tcPr>
          <w:p w:rsidR="00CF63DF" w:rsidRPr="003F7BAD" w:rsidRDefault="00CF63DF" w:rsidP="00F31286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A2402">
              <w:rPr>
                <w:rFonts w:ascii="Arial" w:hAnsi="Arial" w:cs="Arial"/>
                <w:sz w:val="18"/>
                <w:szCs w:val="18"/>
              </w:rPr>
              <w:t>Mechanical complication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(pneumothorax, arterial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punction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…)</w:t>
            </w:r>
          </w:p>
        </w:tc>
        <w:tc>
          <w:tcPr>
            <w:tcW w:w="2545" w:type="dxa"/>
          </w:tcPr>
          <w:p w:rsidR="00CF63DF" w:rsidRPr="00DF2398" w:rsidRDefault="00CF63DF" w:rsidP="00F31286">
            <w:pPr>
              <w:tabs>
                <w:tab w:val="left" w:pos="16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402">
              <w:rPr>
                <w:rFonts w:ascii="Arial" w:hAnsi="Arial" w:cs="Arial"/>
                <w:sz w:val="18"/>
                <w:szCs w:val="18"/>
              </w:rPr>
              <w:t>6 (2</w:t>
            </w:r>
            <w:proofErr w:type="gramStart"/>
            <w:r w:rsidRPr="00BA2402">
              <w:rPr>
                <w:rFonts w:ascii="Arial" w:hAnsi="Arial" w:cs="Arial"/>
                <w:sz w:val="18"/>
                <w:szCs w:val="18"/>
              </w:rPr>
              <w:t>,4</w:t>
            </w:r>
            <w:proofErr w:type="gramEnd"/>
            <w:r w:rsidRPr="00BA2402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</w:tbl>
    <w:p w:rsidR="00CF63DF" w:rsidRDefault="00CF63DF" w:rsidP="00CF63DF">
      <w:pPr>
        <w:shd w:val="clear" w:color="auto" w:fill="FFFFFF" w:themeFill="background1"/>
        <w:spacing w:after="0" w:line="480" w:lineRule="auto"/>
        <w:jc w:val="both"/>
        <w:rPr>
          <w:rFonts w:ascii="Arial" w:hAnsi="Arial" w:cs="Arial"/>
          <w:sz w:val="18"/>
          <w:szCs w:val="18"/>
        </w:rPr>
      </w:pPr>
    </w:p>
    <w:p w:rsidR="00CF63DF" w:rsidRDefault="00CF63DF" w:rsidP="00CF63DF">
      <w:pPr>
        <w:shd w:val="clear" w:color="auto" w:fill="FFFFFF" w:themeFill="background1"/>
        <w:spacing w:after="0" w:line="480" w:lineRule="auto"/>
        <w:jc w:val="both"/>
        <w:rPr>
          <w:rFonts w:ascii="Arial" w:hAnsi="Arial" w:cs="Arial"/>
          <w:noProof/>
          <w:sz w:val="20"/>
          <w:szCs w:val="20"/>
        </w:rPr>
      </w:pPr>
      <w:r w:rsidRPr="00BA2402">
        <w:rPr>
          <w:rFonts w:ascii="Arial" w:hAnsi="Arial" w:cs="Arial"/>
          <w:sz w:val="18"/>
          <w:szCs w:val="18"/>
        </w:rPr>
        <w:t xml:space="preserve">N: number of patients; </w:t>
      </w:r>
      <w:proofErr w:type="gramStart"/>
      <w:r w:rsidRPr="00BA2402">
        <w:rPr>
          <w:rFonts w:ascii="Arial" w:hAnsi="Arial" w:cs="Arial"/>
          <w:sz w:val="18"/>
          <w:szCs w:val="18"/>
        </w:rPr>
        <w:t>%</w:t>
      </w:r>
      <w:proofErr w:type="gramEnd"/>
      <w:r w:rsidRPr="00BA2402">
        <w:rPr>
          <w:rFonts w:ascii="Arial" w:hAnsi="Arial" w:cs="Arial"/>
          <w:sz w:val="18"/>
          <w:szCs w:val="18"/>
        </w:rPr>
        <w:t xml:space="preserve">: percentage; IQR: interquartile range; CVC: central venous </w:t>
      </w:r>
      <w:proofErr w:type="spellStart"/>
      <w:r w:rsidRPr="00BA2402">
        <w:rPr>
          <w:rFonts w:ascii="Arial" w:hAnsi="Arial" w:cs="Arial"/>
          <w:sz w:val="18"/>
          <w:szCs w:val="18"/>
        </w:rPr>
        <w:t>cateter</w:t>
      </w:r>
      <w:proofErr w:type="spellEnd"/>
      <w:r w:rsidRPr="00BA2402">
        <w:rPr>
          <w:rFonts w:ascii="Arial" w:hAnsi="Arial" w:cs="Arial"/>
          <w:sz w:val="18"/>
          <w:szCs w:val="18"/>
        </w:rPr>
        <w:t>; ICU: intensive care unit; PN: parenteral nutrition; CLABSI: central line a</w:t>
      </w:r>
      <w:r w:rsidR="00214046">
        <w:rPr>
          <w:rFonts w:ascii="Arial" w:hAnsi="Arial" w:cs="Arial"/>
          <w:sz w:val="18"/>
          <w:szCs w:val="18"/>
        </w:rPr>
        <w:t>ssociated bloodstream infection</w:t>
      </w:r>
    </w:p>
    <w:p w:rsidR="00CF63DF" w:rsidRDefault="00CF63DF" w:rsidP="00CF63DF">
      <w:pPr>
        <w:shd w:val="clear" w:color="auto" w:fill="FFFFFF" w:themeFill="background1"/>
        <w:spacing w:after="0" w:line="48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B414A2" w:rsidRDefault="00B414A2"/>
    <w:sectPr w:rsidR="00B41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DF"/>
    <w:rsid w:val="00011B1F"/>
    <w:rsid w:val="00012F9C"/>
    <w:rsid w:val="0001599A"/>
    <w:rsid w:val="000244CC"/>
    <w:rsid w:val="00027939"/>
    <w:rsid w:val="000461E4"/>
    <w:rsid w:val="00052336"/>
    <w:rsid w:val="00070AAE"/>
    <w:rsid w:val="00076BFF"/>
    <w:rsid w:val="0008215F"/>
    <w:rsid w:val="00082AAF"/>
    <w:rsid w:val="000A54F6"/>
    <w:rsid w:val="000A6808"/>
    <w:rsid w:val="000C617B"/>
    <w:rsid w:val="000C6223"/>
    <w:rsid w:val="000D172B"/>
    <w:rsid w:val="000E2B26"/>
    <w:rsid w:val="000F5749"/>
    <w:rsid w:val="000F7CD6"/>
    <w:rsid w:val="00101322"/>
    <w:rsid w:val="001135DE"/>
    <w:rsid w:val="00114FFB"/>
    <w:rsid w:val="001152AA"/>
    <w:rsid w:val="00140B22"/>
    <w:rsid w:val="00150ED9"/>
    <w:rsid w:val="00153E1D"/>
    <w:rsid w:val="00160058"/>
    <w:rsid w:val="00164A98"/>
    <w:rsid w:val="001652F4"/>
    <w:rsid w:val="00171DBC"/>
    <w:rsid w:val="00173F20"/>
    <w:rsid w:val="00174671"/>
    <w:rsid w:val="001746B2"/>
    <w:rsid w:val="00180EA7"/>
    <w:rsid w:val="0018227B"/>
    <w:rsid w:val="001A3B2E"/>
    <w:rsid w:val="001B300B"/>
    <w:rsid w:val="001C0068"/>
    <w:rsid w:val="001C044A"/>
    <w:rsid w:val="001D1FBA"/>
    <w:rsid w:val="001D3DF8"/>
    <w:rsid w:val="001F0CB6"/>
    <w:rsid w:val="00200AC6"/>
    <w:rsid w:val="002110AA"/>
    <w:rsid w:val="00214046"/>
    <w:rsid w:val="002218F8"/>
    <w:rsid w:val="00225020"/>
    <w:rsid w:val="0022656A"/>
    <w:rsid w:val="002438D5"/>
    <w:rsid w:val="00261131"/>
    <w:rsid w:val="002655BF"/>
    <w:rsid w:val="0028271A"/>
    <w:rsid w:val="002845E4"/>
    <w:rsid w:val="00286F2A"/>
    <w:rsid w:val="0029348E"/>
    <w:rsid w:val="002A0809"/>
    <w:rsid w:val="002A4FCD"/>
    <w:rsid w:val="002B00AE"/>
    <w:rsid w:val="002D645F"/>
    <w:rsid w:val="003059F1"/>
    <w:rsid w:val="003064AB"/>
    <w:rsid w:val="0031211D"/>
    <w:rsid w:val="00321354"/>
    <w:rsid w:val="00323202"/>
    <w:rsid w:val="0032433A"/>
    <w:rsid w:val="00326A13"/>
    <w:rsid w:val="00333B3E"/>
    <w:rsid w:val="003507BD"/>
    <w:rsid w:val="0035422B"/>
    <w:rsid w:val="00371605"/>
    <w:rsid w:val="003766D7"/>
    <w:rsid w:val="003773D6"/>
    <w:rsid w:val="0039261B"/>
    <w:rsid w:val="00392814"/>
    <w:rsid w:val="0039554F"/>
    <w:rsid w:val="003A4C56"/>
    <w:rsid w:val="003A6055"/>
    <w:rsid w:val="003B7484"/>
    <w:rsid w:val="003D4847"/>
    <w:rsid w:val="003E7CF5"/>
    <w:rsid w:val="003F4E27"/>
    <w:rsid w:val="00407DA5"/>
    <w:rsid w:val="00407F06"/>
    <w:rsid w:val="00414FEB"/>
    <w:rsid w:val="00417A18"/>
    <w:rsid w:val="0042265A"/>
    <w:rsid w:val="00424E0F"/>
    <w:rsid w:val="00432C21"/>
    <w:rsid w:val="004342B1"/>
    <w:rsid w:val="0043534F"/>
    <w:rsid w:val="00442A5E"/>
    <w:rsid w:val="00444A23"/>
    <w:rsid w:val="004504F7"/>
    <w:rsid w:val="004516F2"/>
    <w:rsid w:val="00455F21"/>
    <w:rsid w:val="004576B7"/>
    <w:rsid w:val="00463338"/>
    <w:rsid w:val="00470AE3"/>
    <w:rsid w:val="00487E20"/>
    <w:rsid w:val="00491FC4"/>
    <w:rsid w:val="00492049"/>
    <w:rsid w:val="00497096"/>
    <w:rsid w:val="004A1B0A"/>
    <w:rsid w:val="004B0E56"/>
    <w:rsid w:val="004D18D3"/>
    <w:rsid w:val="004E5107"/>
    <w:rsid w:val="004F018E"/>
    <w:rsid w:val="005030AC"/>
    <w:rsid w:val="00503C0B"/>
    <w:rsid w:val="00504C2E"/>
    <w:rsid w:val="00521293"/>
    <w:rsid w:val="00535553"/>
    <w:rsid w:val="005402D2"/>
    <w:rsid w:val="005416CA"/>
    <w:rsid w:val="00542508"/>
    <w:rsid w:val="005452C1"/>
    <w:rsid w:val="00545520"/>
    <w:rsid w:val="00557F5D"/>
    <w:rsid w:val="00566F8D"/>
    <w:rsid w:val="00571F83"/>
    <w:rsid w:val="00583CA2"/>
    <w:rsid w:val="0059554D"/>
    <w:rsid w:val="00597E89"/>
    <w:rsid w:val="005A3F79"/>
    <w:rsid w:val="005B0ABF"/>
    <w:rsid w:val="005B339A"/>
    <w:rsid w:val="005B5BC2"/>
    <w:rsid w:val="005D4CA1"/>
    <w:rsid w:val="005F4481"/>
    <w:rsid w:val="005F6710"/>
    <w:rsid w:val="005F67D9"/>
    <w:rsid w:val="006044B8"/>
    <w:rsid w:val="00613062"/>
    <w:rsid w:val="0061463E"/>
    <w:rsid w:val="00626AB1"/>
    <w:rsid w:val="00631EB1"/>
    <w:rsid w:val="0063686F"/>
    <w:rsid w:val="0064429F"/>
    <w:rsid w:val="00644389"/>
    <w:rsid w:val="006534F2"/>
    <w:rsid w:val="00661AA4"/>
    <w:rsid w:val="00667771"/>
    <w:rsid w:val="00671106"/>
    <w:rsid w:val="00687DB3"/>
    <w:rsid w:val="00696FC4"/>
    <w:rsid w:val="006A0E94"/>
    <w:rsid w:val="006B0FC7"/>
    <w:rsid w:val="006D41FE"/>
    <w:rsid w:val="006D4754"/>
    <w:rsid w:val="006D506C"/>
    <w:rsid w:val="006D5D1D"/>
    <w:rsid w:val="006D64E2"/>
    <w:rsid w:val="006D69F9"/>
    <w:rsid w:val="006E02A5"/>
    <w:rsid w:val="006E1BD6"/>
    <w:rsid w:val="006E7682"/>
    <w:rsid w:val="007035E0"/>
    <w:rsid w:val="007178F5"/>
    <w:rsid w:val="00717902"/>
    <w:rsid w:val="00730454"/>
    <w:rsid w:val="00743AB0"/>
    <w:rsid w:val="00760230"/>
    <w:rsid w:val="00760F5A"/>
    <w:rsid w:val="00783C59"/>
    <w:rsid w:val="00791D3B"/>
    <w:rsid w:val="00792889"/>
    <w:rsid w:val="007B1B16"/>
    <w:rsid w:val="007B78F1"/>
    <w:rsid w:val="007C0DEA"/>
    <w:rsid w:val="007D38CC"/>
    <w:rsid w:val="007D6F3D"/>
    <w:rsid w:val="00820681"/>
    <w:rsid w:val="00821A6D"/>
    <w:rsid w:val="00833B6E"/>
    <w:rsid w:val="00834282"/>
    <w:rsid w:val="00834F23"/>
    <w:rsid w:val="00844178"/>
    <w:rsid w:val="00855EF6"/>
    <w:rsid w:val="00861913"/>
    <w:rsid w:val="008639D0"/>
    <w:rsid w:val="008670D7"/>
    <w:rsid w:val="00873D05"/>
    <w:rsid w:val="00883A9E"/>
    <w:rsid w:val="00894244"/>
    <w:rsid w:val="0089762B"/>
    <w:rsid w:val="008A0ACA"/>
    <w:rsid w:val="008A4E28"/>
    <w:rsid w:val="008B28FA"/>
    <w:rsid w:val="008B39AE"/>
    <w:rsid w:val="008B3B73"/>
    <w:rsid w:val="008D0662"/>
    <w:rsid w:val="008E2CFD"/>
    <w:rsid w:val="008F50EE"/>
    <w:rsid w:val="008F5E67"/>
    <w:rsid w:val="009100CA"/>
    <w:rsid w:val="00914630"/>
    <w:rsid w:val="009155CD"/>
    <w:rsid w:val="00916862"/>
    <w:rsid w:val="009232F0"/>
    <w:rsid w:val="0092510F"/>
    <w:rsid w:val="00926183"/>
    <w:rsid w:val="00926A91"/>
    <w:rsid w:val="00937EC8"/>
    <w:rsid w:val="009556C2"/>
    <w:rsid w:val="00955E97"/>
    <w:rsid w:val="00960E62"/>
    <w:rsid w:val="00962876"/>
    <w:rsid w:val="0097054F"/>
    <w:rsid w:val="00971F11"/>
    <w:rsid w:val="00972BF1"/>
    <w:rsid w:val="00985B19"/>
    <w:rsid w:val="0099334E"/>
    <w:rsid w:val="00997647"/>
    <w:rsid w:val="009A60DD"/>
    <w:rsid w:val="009B2701"/>
    <w:rsid w:val="009C5181"/>
    <w:rsid w:val="009D7AB2"/>
    <w:rsid w:val="009F2050"/>
    <w:rsid w:val="009F4DCD"/>
    <w:rsid w:val="00A03847"/>
    <w:rsid w:val="00A057AC"/>
    <w:rsid w:val="00A12348"/>
    <w:rsid w:val="00A34E02"/>
    <w:rsid w:val="00A55CD2"/>
    <w:rsid w:val="00A578C0"/>
    <w:rsid w:val="00A57937"/>
    <w:rsid w:val="00A64633"/>
    <w:rsid w:val="00A67497"/>
    <w:rsid w:val="00A749F9"/>
    <w:rsid w:val="00A74DBC"/>
    <w:rsid w:val="00A77271"/>
    <w:rsid w:val="00A84D69"/>
    <w:rsid w:val="00A86505"/>
    <w:rsid w:val="00AB0409"/>
    <w:rsid w:val="00AB3AA1"/>
    <w:rsid w:val="00AD030D"/>
    <w:rsid w:val="00AF1D6F"/>
    <w:rsid w:val="00AF357F"/>
    <w:rsid w:val="00B0793D"/>
    <w:rsid w:val="00B218A4"/>
    <w:rsid w:val="00B24399"/>
    <w:rsid w:val="00B26AB9"/>
    <w:rsid w:val="00B30AAE"/>
    <w:rsid w:val="00B32593"/>
    <w:rsid w:val="00B414A2"/>
    <w:rsid w:val="00B46F0A"/>
    <w:rsid w:val="00B50506"/>
    <w:rsid w:val="00B513BC"/>
    <w:rsid w:val="00B633C0"/>
    <w:rsid w:val="00B65036"/>
    <w:rsid w:val="00B65BB1"/>
    <w:rsid w:val="00B67DC1"/>
    <w:rsid w:val="00B7258B"/>
    <w:rsid w:val="00B74362"/>
    <w:rsid w:val="00B768B2"/>
    <w:rsid w:val="00BA2327"/>
    <w:rsid w:val="00BB3D16"/>
    <w:rsid w:val="00BB751C"/>
    <w:rsid w:val="00BC083B"/>
    <w:rsid w:val="00BC148E"/>
    <w:rsid w:val="00BC25C6"/>
    <w:rsid w:val="00BC7586"/>
    <w:rsid w:val="00BD24DE"/>
    <w:rsid w:val="00BD5BEB"/>
    <w:rsid w:val="00BD62C0"/>
    <w:rsid w:val="00BE0B77"/>
    <w:rsid w:val="00BF027E"/>
    <w:rsid w:val="00C00CF8"/>
    <w:rsid w:val="00C028C6"/>
    <w:rsid w:val="00C172D2"/>
    <w:rsid w:val="00C17FBE"/>
    <w:rsid w:val="00C2124B"/>
    <w:rsid w:val="00C25EAA"/>
    <w:rsid w:val="00C40398"/>
    <w:rsid w:val="00C50CF3"/>
    <w:rsid w:val="00C52CF8"/>
    <w:rsid w:val="00C56B6B"/>
    <w:rsid w:val="00C57B21"/>
    <w:rsid w:val="00C628AA"/>
    <w:rsid w:val="00C77DBE"/>
    <w:rsid w:val="00C833D3"/>
    <w:rsid w:val="00C844B5"/>
    <w:rsid w:val="00C95FF6"/>
    <w:rsid w:val="00CA2171"/>
    <w:rsid w:val="00CA5283"/>
    <w:rsid w:val="00CC62CA"/>
    <w:rsid w:val="00CC7F4F"/>
    <w:rsid w:val="00CD4179"/>
    <w:rsid w:val="00CF0D80"/>
    <w:rsid w:val="00CF5137"/>
    <w:rsid w:val="00CF63DF"/>
    <w:rsid w:val="00D016DA"/>
    <w:rsid w:val="00D03759"/>
    <w:rsid w:val="00D03922"/>
    <w:rsid w:val="00D060D1"/>
    <w:rsid w:val="00D15AA7"/>
    <w:rsid w:val="00D22BF8"/>
    <w:rsid w:val="00D22F4E"/>
    <w:rsid w:val="00D2657C"/>
    <w:rsid w:val="00D720D0"/>
    <w:rsid w:val="00D77217"/>
    <w:rsid w:val="00D81B69"/>
    <w:rsid w:val="00D85752"/>
    <w:rsid w:val="00D91DA3"/>
    <w:rsid w:val="00D93270"/>
    <w:rsid w:val="00DB55C6"/>
    <w:rsid w:val="00DB5D07"/>
    <w:rsid w:val="00DC1484"/>
    <w:rsid w:val="00DD0F50"/>
    <w:rsid w:val="00DD6D13"/>
    <w:rsid w:val="00DD7248"/>
    <w:rsid w:val="00DE0D99"/>
    <w:rsid w:val="00E0480D"/>
    <w:rsid w:val="00E16060"/>
    <w:rsid w:val="00E20758"/>
    <w:rsid w:val="00E34F46"/>
    <w:rsid w:val="00E367F3"/>
    <w:rsid w:val="00E46AF0"/>
    <w:rsid w:val="00E74144"/>
    <w:rsid w:val="00E743AE"/>
    <w:rsid w:val="00E81765"/>
    <w:rsid w:val="00EC7DD3"/>
    <w:rsid w:val="00EE54FD"/>
    <w:rsid w:val="00EE7970"/>
    <w:rsid w:val="00EF59BE"/>
    <w:rsid w:val="00F01C3E"/>
    <w:rsid w:val="00F32FCA"/>
    <w:rsid w:val="00F407FC"/>
    <w:rsid w:val="00F638BD"/>
    <w:rsid w:val="00F71FA1"/>
    <w:rsid w:val="00F828F0"/>
    <w:rsid w:val="00F85B96"/>
    <w:rsid w:val="00F9087B"/>
    <w:rsid w:val="00FB1445"/>
    <w:rsid w:val="00FB5593"/>
    <w:rsid w:val="00FB5CB0"/>
    <w:rsid w:val="00FE754A"/>
    <w:rsid w:val="00FF0A99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1EF77-709A-431F-ABCB-353BBA04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3DF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63DF"/>
    <w:pPr>
      <w:spacing w:after="0" w:line="240" w:lineRule="auto"/>
      <w:ind w:left="720"/>
      <w:contextualSpacing/>
    </w:pPr>
    <w:rPr>
      <w:rFonts w:ascii="Cambria" w:eastAsia="MS ??" w:hAnsi="Cambria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CF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Comerlato</dc:creator>
  <cp:keywords/>
  <dc:description/>
  <cp:lastModifiedBy>Pedro Comerlato</cp:lastModifiedBy>
  <cp:revision>4</cp:revision>
  <dcterms:created xsi:type="dcterms:W3CDTF">2019-07-22T18:47:00Z</dcterms:created>
  <dcterms:modified xsi:type="dcterms:W3CDTF">2019-12-11T19:37:00Z</dcterms:modified>
</cp:coreProperties>
</file>