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8FAA4" w14:textId="18C794FE" w:rsidR="008303FE" w:rsidRPr="00A94BAC" w:rsidRDefault="008303FE" w:rsidP="003C10B1">
      <w:pPr>
        <w:spacing w:line="360" w:lineRule="auto"/>
        <w:rPr>
          <w:rFonts w:cs="Arial"/>
          <w:b/>
          <w:bCs/>
          <w:sz w:val="40"/>
          <w:szCs w:val="40"/>
          <w:lang w:val="en-US"/>
        </w:rPr>
      </w:pPr>
      <w:bookmarkStart w:id="0" w:name="_GoBack"/>
      <w:bookmarkEnd w:id="0"/>
      <w:r w:rsidRPr="00A94BAC">
        <w:rPr>
          <w:rFonts w:cs="Arial"/>
          <w:b/>
          <w:bCs/>
          <w:sz w:val="40"/>
          <w:szCs w:val="40"/>
          <w:lang w:val="en-US"/>
        </w:rPr>
        <w:t>AIFELL Score: Clinical Protocol</w:t>
      </w:r>
    </w:p>
    <w:p w14:paraId="2A340DC6" w14:textId="5A5D96D7" w:rsidR="00A94BAC" w:rsidRPr="00A94BAC" w:rsidRDefault="008303FE" w:rsidP="00A94BAC">
      <w:pPr>
        <w:spacing w:line="360" w:lineRule="auto"/>
        <w:rPr>
          <w:rFonts w:cs="Arial"/>
          <w:lang w:val="en-US"/>
        </w:rPr>
      </w:pPr>
      <w:r w:rsidRPr="00A94BAC">
        <w:rPr>
          <w:rFonts w:cs="Arial"/>
          <w:lang w:val="en-US"/>
        </w:rPr>
        <w:t>Criteria met at initial presentation in the emergency room (ER)</w:t>
      </w:r>
      <w:r w:rsidR="006B37E9" w:rsidRPr="00A94BAC">
        <w:rPr>
          <w:rFonts w:cs="Arial"/>
          <w:lang w:val="en-US"/>
        </w:rPr>
        <w:t xml:space="preserve">. The AIFELL score can be </w:t>
      </w:r>
      <w:r w:rsidR="00A0225F">
        <w:rPr>
          <w:rFonts w:cs="Arial"/>
          <w:lang w:val="en-US"/>
        </w:rPr>
        <w:t xml:space="preserve">calculated </w:t>
      </w:r>
      <w:r w:rsidR="00A94BAC" w:rsidRPr="00A94BAC">
        <w:rPr>
          <w:rFonts w:cs="Arial"/>
          <w:lang w:val="en-US"/>
        </w:rPr>
        <w:t>f</w:t>
      </w:r>
      <w:r w:rsidR="00A0225F">
        <w:rPr>
          <w:rFonts w:cs="Arial"/>
          <w:lang w:val="en-US"/>
        </w:rPr>
        <w:t>or</w:t>
      </w:r>
      <w:r w:rsidR="00A94BAC" w:rsidRPr="00A94BAC">
        <w:rPr>
          <w:rFonts w:cs="Arial"/>
          <w:lang w:val="en-US"/>
        </w:rPr>
        <w:t xml:space="preserve"> any patient presenting with respiratory or general symptoms related to COVID-19 (cough, dyspnea, sore throat, fever, fatigue, myalgias, less common are rhinorrhea, sputum production, diarrhea, abdominal pain).</w:t>
      </w:r>
    </w:p>
    <w:tbl>
      <w:tblPr>
        <w:tblStyle w:val="TableGrid"/>
        <w:tblW w:w="0" w:type="auto"/>
        <w:tblLook w:val="04A0" w:firstRow="1" w:lastRow="0" w:firstColumn="1" w:lastColumn="0" w:noHBand="0" w:noVBand="1"/>
      </w:tblPr>
      <w:tblGrid>
        <w:gridCol w:w="4505"/>
        <w:gridCol w:w="4505"/>
      </w:tblGrid>
      <w:tr w:rsidR="008303FE" w:rsidRPr="00A94BAC" w14:paraId="6C8443F4" w14:textId="77777777" w:rsidTr="00A94BAC">
        <w:tc>
          <w:tcPr>
            <w:tcW w:w="4505" w:type="dxa"/>
            <w:shd w:val="clear" w:color="auto" w:fill="D9D9D9" w:themeFill="background1" w:themeFillShade="D9"/>
          </w:tcPr>
          <w:p w14:paraId="162F4124" w14:textId="02C7ECC7" w:rsidR="008303FE" w:rsidRPr="00A94BAC" w:rsidRDefault="008303FE" w:rsidP="008303FE">
            <w:pPr>
              <w:spacing w:line="360" w:lineRule="auto"/>
              <w:rPr>
                <w:rFonts w:cs="Arial"/>
                <w:b/>
                <w:bCs/>
                <w:sz w:val="24"/>
                <w:szCs w:val="32"/>
                <w:lang w:val="en-US"/>
              </w:rPr>
            </w:pPr>
            <w:r w:rsidRPr="00A94BAC">
              <w:rPr>
                <w:rFonts w:cs="Arial"/>
                <w:b/>
                <w:bCs/>
                <w:sz w:val="24"/>
                <w:szCs w:val="32"/>
                <w:lang w:val="en-US"/>
              </w:rPr>
              <w:t>Components of the AIFELL score</w:t>
            </w:r>
          </w:p>
        </w:tc>
        <w:tc>
          <w:tcPr>
            <w:tcW w:w="4505" w:type="dxa"/>
            <w:shd w:val="clear" w:color="auto" w:fill="D9D9D9" w:themeFill="background1" w:themeFillShade="D9"/>
          </w:tcPr>
          <w:p w14:paraId="2DE2AFF0" w14:textId="1CDF32E7" w:rsidR="008303FE" w:rsidRPr="00A94BAC" w:rsidRDefault="006B37E9" w:rsidP="008303FE">
            <w:pPr>
              <w:spacing w:line="360" w:lineRule="auto"/>
              <w:rPr>
                <w:rFonts w:cs="Arial"/>
                <w:b/>
                <w:bCs/>
                <w:sz w:val="24"/>
                <w:szCs w:val="32"/>
                <w:lang w:val="en-US"/>
              </w:rPr>
            </w:pPr>
            <w:r w:rsidRPr="00A94BAC">
              <w:rPr>
                <w:rFonts w:cs="Arial"/>
                <w:b/>
                <w:bCs/>
                <w:sz w:val="24"/>
                <w:szCs w:val="32"/>
                <w:lang w:val="en-US"/>
              </w:rPr>
              <w:t>Points</w:t>
            </w:r>
          </w:p>
        </w:tc>
      </w:tr>
      <w:tr w:rsidR="008303FE" w:rsidRPr="00A94BAC" w14:paraId="251D50B2" w14:textId="77777777" w:rsidTr="008303FE">
        <w:tc>
          <w:tcPr>
            <w:tcW w:w="4505" w:type="dxa"/>
          </w:tcPr>
          <w:p w14:paraId="2549E850" w14:textId="77777777" w:rsidR="003C10B1" w:rsidRPr="00A94BAC" w:rsidRDefault="008303FE" w:rsidP="008303FE">
            <w:pPr>
              <w:spacing w:line="360" w:lineRule="auto"/>
              <w:rPr>
                <w:rFonts w:cs="Arial"/>
                <w:b/>
                <w:lang w:val="en-US"/>
              </w:rPr>
            </w:pPr>
            <w:r w:rsidRPr="00A94BAC">
              <w:rPr>
                <w:rFonts w:cs="Arial"/>
                <w:b/>
                <w:u w:val="single"/>
                <w:lang w:val="en-US"/>
              </w:rPr>
              <w:t>A</w:t>
            </w:r>
            <w:r w:rsidRPr="00A94BAC">
              <w:rPr>
                <w:rFonts w:cs="Arial"/>
                <w:b/>
                <w:lang w:val="en-US"/>
              </w:rPr>
              <w:t>ltered sense of smell/taste</w:t>
            </w:r>
          </w:p>
          <w:p w14:paraId="292FE991" w14:textId="27545A6A" w:rsidR="008303FE" w:rsidRPr="00A94BAC" w:rsidRDefault="008303FE" w:rsidP="003C10B1">
            <w:pPr>
              <w:spacing w:line="360" w:lineRule="auto"/>
              <w:rPr>
                <w:rFonts w:cs="Arial"/>
                <w:sz w:val="18"/>
                <w:szCs w:val="21"/>
                <w:lang w:val="en-US"/>
              </w:rPr>
            </w:pPr>
            <w:r w:rsidRPr="00A94BAC">
              <w:rPr>
                <w:rFonts w:cs="Arial"/>
                <w:sz w:val="18"/>
                <w:szCs w:val="21"/>
                <w:lang w:val="en-US"/>
              </w:rPr>
              <w:t xml:space="preserve">Any changes or impairments of the sense of smell/taste since onset of </w:t>
            </w:r>
            <w:r w:rsidR="00A2222E" w:rsidRPr="00A94BAC">
              <w:rPr>
                <w:rFonts w:cs="Arial"/>
                <w:sz w:val="18"/>
                <w:szCs w:val="21"/>
                <w:lang w:val="en-US"/>
              </w:rPr>
              <w:t xml:space="preserve">any COVID-19-related </w:t>
            </w:r>
            <w:r w:rsidRPr="00A94BAC">
              <w:rPr>
                <w:rFonts w:cs="Arial"/>
                <w:sz w:val="18"/>
                <w:szCs w:val="21"/>
                <w:lang w:val="en-US"/>
              </w:rPr>
              <w:t xml:space="preserve">symptoms or directly before onset of </w:t>
            </w:r>
            <w:r w:rsidR="003C10B1" w:rsidRPr="00A94BAC">
              <w:rPr>
                <w:rFonts w:cs="Arial"/>
                <w:sz w:val="18"/>
                <w:szCs w:val="21"/>
                <w:lang w:val="en-US"/>
              </w:rPr>
              <w:t xml:space="preserve">respiratory/general </w:t>
            </w:r>
            <w:r w:rsidRPr="00A94BAC">
              <w:rPr>
                <w:rFonts w:cs="Arial"/>
                <w:sz w:val="18"/>
                <w:szCs w:val="21"/>
                <w:lang w:val="en-US"/>
              </w:rPr>
              <w:t>symptoms</w:t>
            </w:r>
            <w:r w:rsidR="003C10B1" w:rsidRPr="00A94BAC">
              <w:rPr>
                <w:rFonts w:cs="Arial"/>
                <w:sz w:val="18"/>
                <w:szCs w:val="21"/>
                <w:lang w:val="en-US"/>
              </w:rPr>
              <w:t>.</w:t>
            </w:r>
          </w:p>
        </w:tc>
        <w:tc>
          <w:tcPr>
            <w:tcW w:w="4505" w:type="dxa"/>
          </w:tcPr>
          <w:p w14:paraId="74AB0533" w14:textId="77777777" w:rsidR="008303FE" w:rsidRPr="00A94BAC" w:rsidRDefault="008303FE" w:rsidP="008303FE">
            <w:pPr>
              <w:spacing w:line="360" w:lineRule="auto"/>
              <w:rPr>
                <w:rFonts w:cs="Arial"/>
                <w:lang w:val="en-US"/>
              </w:rPr>
            </w:pPr>
            <w:r w:rsidRPr="00A94BAC">
              <w:rPr>
                <w:rFonts w:cs="Arial"/>
                <w:b/>
                <w:bCs/>
                <w:lang w:val="en-US"/>
              </w:rPr>
              <w:t>Yes</w:t>
            </w:r>
            <w:r w:rsidRPr="00A94BAC">
              <w:rPr>
                <w:rFonts w:cs="Arial"/>
                <w:lang w:val="en-US"/>
              </w:rPr>
              <w:t xml:space="preserve"> / No (</w:t>
            </w:r>
            <w:r w:rsidRPr="00A94BAC">
              <w:rPr>
                <w:rFonts w:cs="Arial"/>
                <w:b/>
                <w:bCs/>
                <w:lang w:val="en-US"/>
              </w:rPr>
              <w:t>1</w:t>
            </w:r>
            <w:r w:rsidRPr="00A94BAC">
              <w:rPr>
                <w:rFonts w:cs="Arial"/>
                <w:lang w:val="en-US"/>
              </w:rPr>
              <w:t xml:space="preserve"> / 0 points)</w:t>
            </w:r>
          </w:p>
          <w:p w14:paraId="1A17F756" w14:textId="77777777" w:rsidR="003C10B1" w:rsidRPr="00A94BAC" w:rsidRDefault="003C10B1" w:rsidP="008303FE">
            <w:pPr>
              <w:spacing w:line="360" w:lineRule="auto"/>
              <w:rPr>
                <w:rFonts w:cs="Arial"/>
                <w:lang w:val="en-US"/>
              </w:rPr>
            </w:pPr>
          </w:p>
          <w:p w14:paraId="37DDE644" w14:textId="77777777" w:rsidR="003C10B1" w:rsidRPr="00A94BAC" w:rsidRDefault="003C10B1" w:rsidP="008303FE">
            <w:pPr>
              <w:spacing w:line="360" w:lineRule="auto"/>
              <w:rPr>
                <w:rFonts w:cs="Arial"/>
                <w:lang w:val="en-US"/>
              </w:rPr>
            </w:pPr>
          </w:p>
          <w:p w14:paraId="5C69EDEB" w14:textId="77777777" w:rsidR="003C10B1" w:rsidRPr="00A94BAC" w:rsidRDefault="003C10B1" w:rsidP="008303FE">
            <w:pPr>
              <w:spacing w:line="360" w:lineRule="auto"/>
              <w:rPr>
                <w:rFonts w:cs="Arial"/>
                <w:lang w:val="en-US"/>
              </w:rPr>
            </w:pPr>
          </w:p>
          <w:p w14:paraId="3406AB0C" w14:textId="77777777" w:rsidR="003C10B1" w:rsidRPr="00A94BAC" w:rsidRDefault="003C10B1" w:rsidP="003C10B1">
            <w:pPr>
              <w:spacing w:line="360" w:lineRule="auto"/>
              <w:rPr>
                <w:rFonts w:cs="Arial"/>
                <w:lang w:val="en-US"/>
              </w:rPr>
            </w:pPr>
          </w:p>
          <w:p w14:paraId="2E203851" w14:textId="0A0DB221" w:rsidR="003C10B1" w:rsidRPr="00A94BAC" w:rsidRDefault="003C10B1" w:rsidP="003C10B1">
            <w:pPr>
              <w:spacing w:line="360" w:lineRule="auto"/>
              <w:rPr>
                <w:rFonts w:cs="Arial"/>
                <w:lang w:val="en-US"/>
              </w:rPr>
            </w:pPr>
          </w:p>
        </w:tc>
      </w:tr>
      <w:tr w:rsidR="003C10B1" w:rsidRPr="00964A07" w14:paraId="29802C40" w14:textId="77777777" w:rsidTr="008303FE">
        <w:tc>
          <w:tcPr>
            <w:tcW w:w="4505" w:type="dxa"/>
          </w:tcPr>
          <w:p w14:paraId="10F62EB0" w14:textId="7B15FF87" w:rsidR="003C10B1" w:rsidRPr="00A94BAC" w:rsidRDefault="003C10B1" w:rsidP="003C10B1">
            <w:pPr>
              <w:spacing w:line="360" w:lineRule="auto"/>
              <w:rPr>
                <w:rFonts w:cs="Arial"/>
                <w:b/>
                <w:lang w:val="en-US"/>
              </w:rPr>
            </w:pPr>
            <w:r w:rsidRPr="00A94BAC">
              <w:rPr>
                <w:rFonts w:cs="Arial"/>
                <w:b/>
                <w:u w:val="single"/>
                <w:lang w:val="en-US"/>
              </w:rPr>
              <w:t>I</w:t>
            </w:r>
            <w:r w:rsidRPr="00A94BAC">
              <w:rPr>
                <w:rFonts w:cs="Arial"/>
                <w:b/>
                <w:lang w:val="en-US"/>
              </w:rPr>
              <w:t xml:space="preserve">nflammation (C-reactive protein ≥ 30 mg/l) </w:t>
            </w:r>
          </w:p>
        </w:tc>
        <w:tc>
          <w:tcPr>
            <w:tcW w:w="4505" w:type="dxa"/>
          </w:tcPr>
          <w:p w14:paraId="4F69D0E8" w14:textId="51B76EF9" w:rsidR="003C10B1" w:rsidRPr="00A94BAC" w:rsidRDefault="003C10B1" w:rsidP="003C10B1">
            <w:pPr>
              <w:spacing w:line="360" w:lineRule="auto"/>
              <w:rPr>
                <w:rFonts w:cs="Arial"/>
                <w:lang w:val="en-US"/>
              </w:rPr>
            </w:pPr>
            <w:r w:rsidRPr="00A94BAC">
              <w:rPr>
                <w:rFonts w:cs="Arial"/>
                <w:b/>
                <w:bCs/>
                <w:lang w:val="en-US"/>
              </w:rPr>
              <w:t xml:space="preserve">If CRP ≥ 30 mg/l </w:t>
            </w:r>
            <w:r w:rsidR="00A2222E" w:rsidRPr="00A94BAC">
              <w:rPr>
                <w:rFonts w:cs="Arial"/>
                <w:b/>
                <w:bCs/>
                <w:lang w:val="en-US"/>
              </w:rPr>
              <w:t xml:space="preserve">= </w:t>
            </w:r>
            <w:r w:rsidRPr="00A94BAC">
              <w:rPr>
                <w:rFonts w:cs="Arial"/>
                <w:b/>
                <w:bCs/>
                <w:lang w:val="en-US"/>
              </w:rPr>
              <w:t>1 point</w:t>
            </w:r>
            <w:r w:rsidRPr="00A94BAC">
              <w:rPr>
                <w:rFonts w:cs="Arial"/>
                <w:lang w:val="en-US"/>
              </w:rPr>
              <w:t>, else 0 points</w:t>
            </w:r>
            <w:r w:rsidR="00A2222E" w:rsidRPr="00A94BAC">
              <w:rPr>
                <w:rFonts w:cs="Arial"/>
                <w:lang w:val="en-US"/>
              </w:rPr>
              <w:t>.</w:t>
            </w:r>
          </w:p>
        </w:tc>
      </w:tr>
      <w:tr w:rsidR="003C10B1" w:rsidRPr="00A94BAC" w14:paraId="0E427027" w14:textId="77777777" w:rsidTr="008303FE">
        <w:tc>
          <w:tcPr>
            <w:tcW w:w="4505" w:type="dxa"/>
          </w:tcPr>
          <w:p w14:paraId="11C50229" w14:textId="77777777" w:rsidR="003C10B1" w:rsidRPr="00A94BAC" w:rsidRDefault="003C10B1" w:rsidP="003C10B1">
            <w:pPr>
              <w:spacing w:line="360" w:lineRule="auto"/>
              <w:rPr>
                <w:rFonts w:cs="Arial"/>
                <w:b/>
                <w:bCs/>
                <w:lang w:val="en-US"/>
              </w:rPr>
            </w:pPr>
            <w:r w:rsidRPr="00A94BAC">
              <w:rPr>
                <w:rFonts w:cs="Arial"/>
                <w:b/>
                <w:bCs/>
                <w:lang w:val="en-US"/>
              </w:rPr>
              <w:t xml:space="preserve">Radiological </w:t>
            </w:r>
            <w:r w:rsidRPr="00A94BAC">
              <w:rPr>
                <w:rFonts w:cs="Arial"/>
                <w:b/>
                <w:bCs/>
                <w:u w:val="single"/>
                <w:lang w:val="en-US"/>
              </w:rPr>
              <w:t>I</w:t>
            </w:r>
            <w:r w:rsidRPr="00A94BAC">
              <w:rPr>
                <w:rFonts w:cs="Arial"/>
                <w:b/>
                <w:bCs/>
                <w:lang w:val="en-US"/>
              </w:rPr>
              <w:t>nfiltrates</w:t>
            </w:r>
          </w:p>
          <w:p w14:paraId="23746D05" w14:textId="0EA8E5E6" w:rsidR="003C10B1" w:rsidRPr="00A94BAC" w:rsidRDefault="003C10B1" w:rsidP="003C10B1">
            <w:pPr>
              <w:spacing w:line="360" w:lineRule="auto"/>
              <w:rPr>
                <w:rFonts w:cs="Arial"/>
                <w:sz w:val="18"/>
                <w:szCs w:val="21"/>
                <w:lang w:val="en-US"/>
              </w:rPr>
            </w:pPr>
            <w:r w:rsidRPr="00A94BAC">
              <w:rPr>
                <w:rFonts w:cs="Arial"/>
                <w:sz w:val="18"/>
                <w:szCs w:val="21"/>
                <w:lang w:val="en-US"/>
              </w:rPr>
              <w:t>Any radiological infiltrates in chest X-ray or thoracic CT</w:t>
            </w:r>
            <w:r w:rsidR="00A2222E" w:rsidRPr="00A94BAC">
              <w:rPr>
                <w:rFonts w:cs="Arial"/>
                <w:sz w:val="18"/>
                <w:szCs w:val="21"/>
                <w:lang w:val="en-US"/>
              </w:rPr>
              <w:t xml:space="preserve"> (no differentiation between unilateral or bilateral infiltrates).</w:t>
            </w:r>
          </w:p>
        </w:tc>
        <w:tc>
          <w:tcPr>
            <w:tcW w:w="4505" w:type="dxa"/>
          </w:tcPr>
          <w:p w14:paraId="44871BCD" w14:textId="6E3066D7" w:rsidR="003C10B1" w:rsidRPr="00A94BAC" w:rsidRDefault="003C10B1" w:rsidP="003C10B1">
            <w:pPr>
              <w:spacing w:line="360" w:lineRule="auto"/>
              <w:rPr>
                <w:rFonts w:cs="Arial"/>
                <w:lang w:val="en-US"/>
              </w:rPr>
            </w:pPr>
            <w:r w:rsidRPr="00A94BAC">
              <w:rPr>
                <w:rFonts w:cs="Arial"/>
                <w:b/>
                <w:bCs/>
                <w:lang w:val="en-US"/>
              </w:rPr>
              <w:t>Yes</w:t>
            </w:r>
            <w:r w:rsidRPr="00A94BAC">
              <w:rPr>
                <w:rFonts w:cs="Arial"/>
                <w:lang w:val="en-US"/>
              </w:rPr>
              <w:t xml:space="preserve"> / No (</w:t>
            </w:r>
            <w:r w:rsidRPr="00A94BAC">
              <w:rPr>
                <w:rFonts w:cs="Arial"/>
                <w:b/>
                <w:bCs/>
                <w:lang w:val="en-US"/>
              </w:rPr>
              <w:t>1</w:t>
            </w:r>
            <w:r w:rsidRPr="00A94BAC">
              <w:rPr>
                <w:rFonts w:cs="Arial"/>
                <w:lang w:val="en-US"/>
              </w:rPr>
              <w:t xml:space="preserve"> / 0 points)</w:t>
            </w:r>
          </w:p>
        </w:tc>
      </w:tr>
      <w:tr w:rsidR="003C10B1" w:rsidRPr="00A94BAC" w14:paraId="562E7736" w14:textId="77777777" w:rsidTr="008303FE">
        <w:tc>
          <w:tcPr>
            <w:tcW w:w="4505" w:type="dxa"/>
          </w:tcPr>
          <w:p w14:paraId="35ADFD24" w14:textId="77777777" w:rsidR="003C10B1" w:rsidRPr="00A94BAC" w:rsidRDefault="003C10B1" w:rsidP="003C10B1">
            <w:pPr>
              <w:spacing w:line="360" w:lineRule="auto"/>
              <w:rPr>
                <w:rFonts w:cs="Arial"/>
                <w:lang w:val="en-US"/>
              </w:rPr>
            </w:pPr>
            <w:r w:rsidRPr="00A94BAC">
              <w:rPr>
                <w:rFonts w:cs="Arial"/>
                <w:b/>
                <w:u w:val="single"/>
                <w:lang w:val="en-US"/>
              </w:rPr>
              <w:t>F</w:t>
            </w:r>
            <w:r w:rsidRPr="00A94BAC">
              <w:rPr>
                <w:rFonts w:cs="Arial"/>
                <w:lang w:val="en-US"/>
              </w:rPr>
              <w:t>ever (≥ 38.0°C)</w:t>
            </w:r>
          </w:p>
          <w:p w14:paraId="1DDF1D62" w14:textId="52855D4B" w:rsidR="003C10B1" w:rsidRPr="00A94BAC" w:rsidRDefault="003C10B1" w:rsidP="00A94BAC">
            <w:pPr>
              <w:spacing w:line="360" w:lineRule="auto"/>
              <w:rPr>
                <w:rFonts w:cs="Arial"/>
                <w:sz w:val="18"/>
                <w:szCs w:val="21"/>
                <w:lang w:val="en-US"/>
              </w:rPr>
            </w:pPr>
            <w:r w:rsidRPr="00A94BAC">
              <w:rPr>
                <w:rFonts w:cs="Arial"/>
                <w:sz w:val="18"/>
                <w:szCs w:val="21"/>
                <w:lang w:val="en-US"/>
              </w:rPr>
              <w:t>Auricular measurement or other accepted methods (anal, axillary). In our setting, auricular measurements were performed and the cut-off was determined to be ≥ 38.0°C. Other measurement locations are acceptable,</w:t>
            </w:r>
            <w:r w:rsidR="003D059F">
              <w:rPr>
                <w:rFonts w:cs="Arial"/>
                <w:sz w:val="18"/>
                <w:szCs w:val="21"/>
                <w:lang w:val="en-US"/>
              </w:rPr>
              <w:t xml:space="preserve"> </w:t>
            </w:r>
            <w:r w:rsidRPr="00A94BAC">
              <w:rPr>
                <w:rFonts w:cs="Arial"/>
                <w:sz w:val="18"/>
                <w:szCs w:val="21"/>
                <w:lang w:val="en-US"/>
              </w:rPr>
              <w:t>but may have different cut-off values and should be a standardized in all patients (</w:t>
            </w:r>
            <w:proofErr w:type="spellStart"/>
            <w:r w:rsidRPr="00A94BAC">
              <w:rPr>
                <w:rFonts w:cs="Arial"/>
                <w:sz w:val="18"/>
                <w:szCs w:val="21"/>
                <w:lang w:val="en-US"/>
              </w:rPr>
              <w:t>i</w:t>
            </w:r>
            <w:proofErr w:type="spellEnd"/>
            <w:r w:rsidRPr="00A94BAC">
              <w:rPr>
                <w:rFonts w:cs="Arial"/>
                <w:sz w:val="18"/>
                <w:szCs w:val="21"/>
                <w:lang w:val="en-US"/>
              </w:rPr>
              <w:t xml:space="preserve">. e. only axillar or anal measurements should be performed). The patients should be asked whether he/she took any antipyretics before coming to the ER. If antipyretics were taken, the patients should be asked regarding his/her body temperature before taking antipyretics </w:t>
            </w:r>
            <w:r w:rsidR="00A2222E" w:rsidRPr="00A94BAC">
              <w:rPr>
                <w:rFonts w:cs="Arial"/>
                <w:sz w:val="18"/>
                <w:szCs w:val="21"/>
                <w:lang w:val="en-US"/>
              </w:rPr>
              <w:t xml:space="preserve">(elevated?) </w:t>
            </w:r>
            <w:r w:rsidRPr="00A94BAC">
              <w:rPr>
                <w:rFonts w:cs="Arial"/>
                <w:sz w:val="18"/>
                <w:szCs w:val="21"/>
                <w:lang w:val="en-US"/>
              </w:rPr>
              <w:t>and the patient should be checked for an increase of body temperature ≥ 38.0°C during the first 24h of hospitalization. Counting a body temperature &lt; 38.0°</w:t>
            </w:r>
            <w:proofErr w:type="spellStart"/>
            <w:r w:rsidRPr="00A94BAC">
              <w:rPr>
                <w:rFonts w:cs="Arial"/>
                <w:sz w:val="18"/>
                <w:szCs w:val="21"/>
                <w:lang w:val="en-US"/>
              </w:rPr>
              <w:t>C</w:t>
            </w:r>
            <w:r w:rsidR="00A2222E" w:rsidRPr="00A94BAC">
              <w:rPr>
                <w:rFonts w:cs="Arial"/>
                <w:sz w:val="18"/>
                <w:szCs w:val="21"/>
                <w:lang w:val="en-US"/>
              </w:rPr>
              <w:t xml:space="preserve"> </w:t>
            </w:r>
            <w:r w:rsidRPr="00A94BAC">
              <w:rPr>
                <w:rFonts w:cs="Arial"/>
                <w:sz w:val="18"/>
                <w:szCs w:val="21"/>
                <w:lang w:val="en-US"/>
              </w:rPr>
              <w:t>at</w:t>
            </w:r>
            <w:proofErr w:type="spellEnd"/>
            <w:r w:rsidRPr="00A94BAC">
              <w:rPr>
                <w:rFonts w:cs="Arial"/>
                <w:sz w:val="18"/>
                <w:szCs w:val="21"/>
                <w:lang w:val="en-US"/>
              </w:rPr>
              <w:t xml:space="preserve"> </w:t>
            </w:r>
            <w:r w:rsidRPr="00A94BAC">
              <w:rPr>
                <w:rFonts w:cs="Arial"/>
                <w:sz w:val="18"/>
                <w:szCs w:val="21"/>
                <w:lang w:val="en-US"/>
              </w:rPr>
              <w:lastRenderedPageBreak/>
              <w:t xml:space="preserve">presentation in the ER after the patient took antipyretics may lead to false-negative results. </w:t>
            </w:r>
          </w:p>
        </w:tc>
        <w:tc>
          <w:tcPr>
            <w:tcW w:w="4505" w:type="dxa"/>
          </w:tcPr>
          <w:p w14:paraId="42D0DF7C" w14:textId="77777777" w:rsidR="006B37E9" w:rsidRPr="00A94BAC" w:rsidRDefault="003C10B1" w:rsidP="003C10B1">
            <w:pPr>
              <w:spacing w:line="360" w:lineRule="auto"/>
              <w:rPr>
                <w:rFonts w:cs="Arial"/>
                <w:lang w:val="en-US"/>
              </w:rPr>
            </w:pPr>
            <w:r w:rsidRPr="00A94BAC">
              <w:rPr>
                <w:rFonts w:cs="Arial"/>
                <w:b/>
                <w:bCs/>
                <w:lang w:val="en-US"/>
              </w:rPr>
              <w:lastRenderedPageBreak/>
              <w:t>Yes</w:t>
            </w:r>
            <w:r w:rsidR="00A2222E" w:rsidRPr="00A94BAC">
              <w:rPr>
                <w:rFonts w:cs="Arial"/>
                <w:lang w:val="en-US"/>
              </w:rPr>
              <w:t xml:space="preserve">, if temperature at presentation is ≥ 38.0°C OR temperature before taking antipyretics was ≥ 38.0°C OR temperature increase during the first 24h of hospitalization ≥ 38.0°C = </w:t>
            </w:r>
            <w:r w:rsidRPr="00A94BAC">
              <w:rPr>
                <w:rFonts w:cs="Arial"/>
                <w:b/>
                <w:bCs/>
                <w:lang w:val="en-US"/>
              </w:rPr>
              <w:t>1 points</w:t>
            </w:r>
            <w:r w:rsidR="00A2222E" w:rsidRPr="00A94BAC">
              <w:rPr>
                <w:rFonts w:cs="Arial"/>
                <w:lang w:val="en-US"/>
              </w:rPr>
              <w:t xml:space="preserve">, </w:t>
            </w:r>
          </w:p>
          <w:p w14:paraId="0DD34538" w14:textId="39B07DA4" w:rsidR="003C10B1" w:rsidRPr="00A94BAC" w:rsidRDefault="00A2222E" w:rsidP="003C10B1">
            <w:pPr>
              <w:spacing w:line="360" w:lineRule="auto"/>
              <w:rPr>
                <w:rFonts w:cs="Arial"/>
                <w:lang w:val="en-US"/>
              </w:rPr>
            </w:pPr>
            <w:r w:rsidRPr="00A94BAC">
              <w:rPr>
                <w:rFonts w:cs="Arial"/>
                <w:lang w:val="en-US"/>
              </w:rPr>
              <w:t>else 0 points.</w:t>
            </w:r>
          </w:p>
          <w:p w14:paraId="1376F8AB" w14:textId="77777777" w:rsidR="003C10B1" w:rsidRPr="00A94BAC" w:rsidRDefault="003C10B1" w:rsidP="008303FE">
            <w:pPr>
              <w:spacing w:line="360" w:lineRule="auto"/>
              <w:rPr>
                <w:rFonts w:cs="Arial"/>
                <w:lang w:val="en-US"/>
              </w:rPr>
            </w:pPr>
          </w:p>
        </w:tc>
      </w:tr>
      <w:tr w:rsidR="00A2222E" w:rsidRPr="00A94BAC" w14:paraId="10FAE332" w14:textId="77777777" w:rsidTr="008303FE">
        <w:tc>
          <w:tcPr>
            <w:tcW w:w="4505" w:type="dxa"/>
          </w:tcPr>
          <w:p w14:paraId="64E93CC0" w14:textId="40A5ADA8" w:rsidR="00A2222E" w:rsidRPr="00A94BAC" w:rsidRDefault="00A2222E" w:rsidP="00A2222E">
            <w:pPr>
              <w:spacing w:line="360" w:lineRule="auto"/>
              <w:rPr>
                <w:rFonts w:cs="Arial"/>
                <w:lang w:val="en-US"/>
              </w:rPr>
            </w:pPr>
            <w:r w:rsidRPr="00A94BAC">
              <w:rPr>
                <w:rFonts w:cs="Arial"/>
                <w:b/>
                <w:u w:val="single"/>
                <w:lang w:val="en-US"/>
              </w:rPr>
              <w:lastRenderedPageBreak/>
              <w:t>E</w:t>
            </w:r>
            <w:r w:rsidRPr="00A94BAC">
              <w:rPr>
                <w:rFonts w:cs="Arial"/>
                <w:lang w:val="en-US"/>
              </w:rPr>
              <w:t xml:space="preserve">levated </w:t>
            </w:r>
            <w:r w:rsidRPr="00A94BAC">
              <w:rPr>
                <w:rFonts w:cs="Arial"/>
                <w:b/>
                <w:u w:val="single"/>
                <w:lang w:val="en-US"/>
              </w:rPr>
              <w:t>L</w:t>
            </w:r>
            <w:r w:rsidRPr="00A94BAC">
              <w:rPr>
                <w:rFonts w:cs="Arial"/>
                <w:bCs/>
                <w:lang w:val="en-US"/>
              </w:rPr>
              <w:t>actate dehydrogenase (LDH) levels</w:t>
            </w:r>
            <w:r w:rsidRPr="00A94BAC">
              <w:rPr>
                <w:rFonts w:cs="Arial"/>
                <w:lang w:val="en-US"/>
              </w:rPr>
              <w:t xml:space="preserve"> (&gt; 400 U/l)</w:t>
            </w:r>
          </w:p>
          <w:p w14:paraId="3E36FE02" w14:textId="17F38E3C" w:rsidR="00A2222E" w:rsidRPr="00A94BAC" w:rsidRDefault="00A2222E" w:rsidP="00A2222E">
            <w:pPr>
              <w:spacing w:line="360" w:lineRule="auto"/>
              <w:rPr>
                <w:rFonts w:cs="Arial"/>
                <w:sz w:val="18"/>
                <w:szCs w:val="21"/>
                <w:lang w:val="en-US"/>
              </w:rPr>
            </w:pPr>
            <w:r w:rsidRPr="00A94BAC">
              <w:rPr>
                <w:rFonts w:cs="Arial"/>
                <w:sz w:val="18"/>
                <w:szCs w:val="21"/>
                <w:lang w:val="en-US"/>
              </w:rPr>
              <w:t>Test performed using Roche "</w:t>
            </w:r>
            <w:proofErr w:type="spellStart"/>
            <w:r w:rsidRPr="00A94BAC">
              <w:rPr>
                <w:rFonts w:cs="Arial"/>
                <w:sz w:val="18"/>
                <w:szCs w:val="21"/>
                <w:lang w:val="en-US"/>
              </w:rPr>
              <w:t>Cobas</w:t>
            </w:r>
            <w:proofErr w:type="spellEnd"/>
            <w:r w:rsidRPr="00A94BAC">
              <w:rPr>
                <w:rFonts w:cs="Arial"/>
                <w:sz w:val="18"/>
                <w:szCs w:val="21"/>
                <w:lang w:val="en-US"/>
              </w:rPr>
              <w:t xml:space="preserve"> 8000" platform</w:t>
            </w:r>
            <w:r w:rsidR="000F3157">
              <w:rPr>
                <w:rFonts w:cs="Arial"/>
                <w:sz w:val="18"/>
                <w:szCs w:val="21"/>
                <w:lang w:val="en-US"/>
              </w:rPr>
              <w:t xml:space="preserve"> in our setting</w:t>
            </w:r>
          </w:p>
          <w:p w14:paraId="5C519236" w14:textId="51E15632" w:rsidR="00A2222E" w:rsidRPr="00A94BAC" w:rsidRDefault="00A2222E" w:rsidP="00A2222E">
            <w:pPr>
              <w:spacing w:line="360" w:lineRule="auto"/>
              <w:rPr>
                <w:rFonts w:cs="Arial"/>
                <w:sz w:val="18"/>
                <w:szCs w:val="21"/>
                <w:lang w:val="en-US"/>
              </w:rPr>
            </w:pPr>
            <w:r w:rsidRPr="00A94BAC">
              <w:rPr>
                <w:rFonts w:cs="Arial"/>
                <w:sz w:val="18"/>
                <w:szCs w:val="21"/>
                <w:lang w:val="en-US"/>
              </w:rPr>
              <w:t xml:space="preserve">Eur. J. Clin. Chem. Clin. </w:t>
            </w:r>
            <w:proofErr w:type="spellStart"/>
            <w:r w:rsidRPr="00A94BAC">
              <w:rPr>
                <w:rFonts w:cs="Arial"/>
                <w:sz w:val="18"/>
                <w:szCs w:val="21"/>
                <w:lang w:val="en-US"/>
              </w:rPr>
              <w:t>Biochem</w:t>
            </w:r>
            <w:proofErr w:type="spellEnd"/>
            <w:r w:rsidRPr="00A94BAC">
              <w:rPr>
                <w:rFonts w:cs="Arial"/>
                <w:sz w:val="18"/>
                <w:szCs w:val="21"/>
                <w:lang w:val="en-US"/>
              </w:rPr>
              <w:t>. 1986</w:t>
            </w:r>
            <w:proofErr w:type="gramStart"/>
            <w:r w:rsidRPr="00A94BAC">
              <w:rPr>
                <w:rFonts w:cs="Arial"/>
                <w:sz w:val="18"/>
                <w:szCs w:val="21"/>
                <w:lang w:val="en-US"/>
              </w:rPr>
              <w:t>;24:409</w:t>
            </w:r>
            <w:proofErr w:type="gramEnd"/>
            <w:r w:rsidRPr="00A94BAC">
              <w:rPr>
                <w:rFonts w:cs="Arial"/>
                <w:sz w:val="18"/>
                <w:szCs w:val="21"/>
                <w:lang w:val="en-US"/>
              </w:rPr>
              <w:t>-432, Clin. Chem. Lab. Med. 2002;40(6):643-648</w:t>
            </w:r>
          </w:p>
          <w:p w14:paraId="6ECF8522" w14:textId="24DD2F41" w:rsidR="00A94BAC" w:rsidRPr="00A94BAC" w:rsidRDefault="00A2222E" w:rsidP="00A94BAC">
            <w:pPr>
              <w:spacing w:line="360" w:lineRule="auto"/>
              <w:rPr>
                <w:rFonts w:cs="Arial"/>
                <w:sz w:val="18"/>
                <w:szCs w:val="21"/>
                <w:lang w:val="en-US"/>
              </w:rPr>
            </w:pPr>
            <w:r w:rsidRPr="00A94BAC">
              <w:rPr>
                <w:rFonts w:cs="Arial"/>
                <w:sz w:val="18"/>
                <w:szCs w:val="21"/>
                <w:lang w:val="en-US"/>
              </w:rPr>
              <w:t>Method: UV</w:t>
            </w:r>
            <w:r w:rsidR="00A94BAC">
              <w:rPr>
                <w:rFonts w:cs="Arial"/>
                <w:sz w:val="18"/>
                <w:szCs w:val="21"/>
                <w:lang w:val="en-US"/>
              </w:rPr>
              <w:t xml:space="preserve"> t</w:t>
            </w:r>
            <w:r w:rsidRPr="00A94BAC">
              <w:rPr>
                <w:rFonts w:cs="Arial"/>
                <w:sz w:val="18"/>
                <w:szCs w:val="21"/>
                <w:lang w:val="en-US"/>
              </w:rPr>
              <w:t>est at 37°C, usual range (</w:t>
            </w:r>
            <w:r w:rsidR="006B37E9" w:rsidRPr="00A94BAC">
              <w:rPr>
                <w:rFonts w:cs="Arial"/>
                <w:sz w:val="18"/>
                <w:szCs w:val="21"/>
                <w:lang w:val="en-US"/>
              </w:rPr>
              <w:t>240 - 480 U/l)</w:t>
            </w:r>
          </w:p>
        </w:tc>
        <w:tc>
          <w:tcPr>
            <w:tcW w:w="4505" w:type="dxa"/>
          </w:tcPr>
          <w:p w14:paraId="2A3366C8" w14:textId="6C86F25C" w:rsidR="00A2222E" w:rsidRPr="00A94BAC" w:rsidRDefault="00A2222E" w:rsidP="00A2222E">
            <w:pPr>
              <w:spacing w:line="360" w:lineRule="auto"/>
              <w:rPr>
                <w:rFonts w:cs="Arial"/>
                <w:lang w:val="en-US"/>
              </w:rPr>
            </w:pPr>
            <w:r w:rsidRPr="00A94BAC">
              <w:rPr>
                <w:rFonts w:cs="Arial"/>
                <w:b/>
                <w:bCs/>
                <w:lang w:val="en-US"/>
              </w:rPr>
              <w:t>Yes</w:t>
            </w:r>
            <w:r w:rsidRPr="00A94BAC">
              <w:rPr>
                <w:rFonts w:cs="Arial"/>
                <w:lang w:val="en-US"/>
              </w:rPr>
              <w:t xml:space="preserve"> / No (</w:t>
            </w:r>
            <w:r w:rsidRPr="00A94BAC">
              <w:rPr>
                <w:rFonts w:cs="Arial"/>
                <w:b/>
                <w:bCs/>
                <w:lang w:val="en-US"/>
              </w:rPr>
              <w:t>1</w:t>
            </w:r>
            <w:r w:rsidRPr="00A94BAC">
              <w:rPr>
                <w:rFonts w:cs="Arial"/>
                <w:lang w:val="en-US"/>
              </w:rPr>
              <w:t xml:space="preserve"> / 0 points)</w:t>
            </w:r>
          </w:p>
        </w:tc>
      </w:tr>
      <w:tr w:rsidR="00A2222E" w:rsidRPr="00A94BAC" w14:paraId="37F2A1D6" w14:textId="77777777" w:rsidTr="008303FE">
        <w:tc>
          <w:tcPr>
            <w:tcW w:w="4505" w:type="dxa"/>
          </w:tcPr>
          <w:p w14:paraId="233EE56B" w14:textId="77777777" w:rsidR="00A2222E" w:rsidRPr="00A94BAC" w:rsidRDefault="00A2222E" w:rsidP="00A2222E">
            <w:pPr>
              <w:spacing w:line="360" w:lineRule="auto"/>
              <w:rPr>
                <w:rFonts w:cs="Arial"/>
                <w:lang w:val="en-US"/>
              </w:rPr>
            </w:pPr>
            <w:r w:rsidRPr="00A94BAC">
              <w:rPr>
                <w:rFonts w:cs="Arial"/>
                <w:u w:val="single"/>
                <w:lang w:val="en-US"/>
              </w:rPr>
              <w:t>L</w:t>
            </w:r>
            <w:r w:rsidRPr="00A94BAC">
              <w:rPr>
                <w:rFonts w:cs="Arial"/>
                <w:lang w:val="en-US"/>
              </w:rPr>
              <w:t>ymphocytopenia (absolute count &lt; 1.45 G/l)</w:t>
            </w:r>
          </w:p>
          <w:p w14:paraId="32EA747B" w14:textId="6257F6C7" w:rsidR="00A2222E" w:rsidRPr="00A94BAC" w:rsidRDefault="00A2222E" w:rsidP="00A2222E">
            <w:pPr>
              <w:spacing w:line="360" w:lineRule="auto"/>
              <w:rPr>
                <w:rFonts w:cs="Arial"/>
                <w:lang w:val="en-US"/>
              </w:rPr>
            </w:pPr>
            <w:r w:rsidRPr="00A94BAC">
              <w:rPr>
                <w:rFonts w:cs="Arial"/>
                <w:sz w:val="18"/>
                <w:szCs w:val="21"/>
                <w:lang w:val="en-US"/>
              </w:rPr>
              <w:t xml:space="preserve">Only the absolute count (not the relative count) is </w:t>
            </w:r>
            <w:r w:rsidR="006B37E9" w:rsidRPr="00A94BAC">
              <w:rPr>
                <w:rFonts w:cs="Arial"/>
                <w:sz w:val="18"/>
                <w:szCs w:val="21"/>
                <w:lang w:val="en-US"/>
              </w:rPr>
              <w:t>relevant.</w:t>
            </w:r>
          </w:p>
        </w:tc>
        <w:tc>
          <w:tcPr>
            <w:tcW w:w="4505" w:type="dxa"/>
          </w:tcPr>
          <w:p w14:paraId="67836CD2" w14:textId="47F5BFB5" w:rsidR="00A2222E" w:rsidRPr="00A94BAC" w:rsidRDefault="00A2222E" w:rsidP="00A2222E">
            <w:pPr>
              <w:spacing w:line="360" w:lineRule="auto"/>
              <w:rPr>
                <w:rFonts w:cs="Arial"/>
                <w:lang w:val="en-US"/>
              </w:rPr>
            </w:pPr>
            <w:r w:rsidRPr="00A94BAC">
              <w:rPr>
                <w:rFonts w:cs="Arial"/>
                <w:b/>
                <w:bCs/>
                <w:lang w:val="en-US"/>
              </w:rPr>
              <w:t>Yes</w:t>
            </w:r>
            <w:r w:rsidRPr="00A94BAC">
              <w:rPr>
                <w:rFonts w:cs="Arial"/>
                <w:lang w:val="en-US"/>
              </w:rPr>
              <w:t xml:space="preserve"> / No (</w:t>
            </w:r>
            <w:r w:rsidRPr="00A94BAC">
              <w:rPr>
                <w:rFonts w:cs="Arial"/>
                <w:b/>
                <w:bCs/>
                <w:lang w:val="en-US"/>
              </w:rPr>
              <w:t>1</w:t>
            </w:r>
            <w:r w:rsidRPr="00A94BAC">
              <w:rPr>
                <w:rFonts w:cs="Arial"/>
                <w:lang w:val="en-US"/>
              </w:rPr>
              <w:t xml:space="preserve"> / 0 points)</w:t>
            </w:r>
          </w:p>
        </w:tc>
      </w:tr>
    </w:tbl>
    <w:p w14:paraId="604FF0B1" w14:textId="77777777" w:rsidR="008303FE" w:rsidRPr="00A94BAC" w:rsidRDefault="008303FE" w:rsidP="008303FE">
      <w:pPr>
        <w:spacing w:line="360" w:lineRule="auto"/>
        <w:rPr>
          <w:rFonts w:cs="Arial"/>
          <w:lang w:val="en-US"/>
        </w:rPr>
      </w:pPr>
    </w:p>
    <w:p w14:paraId="5B1516C1" w14:textId="36ADE3C5" w:rsidR="008303FE" w:rsidRPr="00A94BAC" w:rsidRDefault="00A2222E" w:rsidP="00A94BAC">
      <w:pPr>
        <w:spacing w:line="360" w:lineRule="auto"/>
        <w:rPr>
          <w:rFonts w:cs="Arial"/>
          <w:lang w:val="en-US"/>
        </w:rPr>
      </w:pPr>
      <w:r w:rsidRPr="00A94BAC">
        <w:rPr>
          <w:rFonts w:cs="Arial"/>
          <w:lang w:val="en-US"/>
        </w:rPr>
        <w:t>The score is calculated by counting the number of criteria met at initial presentation in the ER, whereas each criterion equals one point (Score range 0 to 6 points).</w:t>
      </w:r>
    </w:p>
    <w:p w14:paraId="4807D50E" w14:textId="7A288573" w:rsidR="006B37E9" w:rsidRPr="00A94BAC" w:rsidRDefault="006B37E9" w:rsidP="00A94BAC">
      <w:pPr>
        <w:spacing w:line="360" w:lineRule="auto"/>
        <w:rPr>
          <w:rFonts w:cs="Arial"/>
          <w:lang w:val="en-US"/>
        </w:rPr>
      </w:pPr>
      <w:r w:rsidRPr="00A94BAC">
        <w:rPr>
          <w:rFonts w:cs="Arial"/>
          <w:lang w:val="en-US"/>
        </w:rPr>
        <w:t>A score of ≥ 4 points/criteria met at presentation was highly associated with qPCR-based SARS-CoV-2 detection in nasopharyngeal swabs and presence of symptomatic COVID-19 (Stages II or III</w:t>
      </w:r>
      <w:r w:rsidR="00F117CB" w:rsidRPr="00A94BAC">
        <w:rPr>
          <w:rFonts w:cs="Arial"/>
          <w:lang w:val="en-US"/>
        </w:rPr>
        <w:fldChar w:fldCharType="begin" w:fldLock="1"/>
      </w:r>
      <w:r w:rsidR="00F117CB" w:rsidRPr="00A94BAC">
        <w:rPr>
          <w:rFonts w:cs="Arial"/>
          <w:lang w:val="en-US"/>
        </w:rPr>
        <w:instrText>ADDIN CSL_CITATION {"citationItems":[{"id":"ITEM-1","itemData":{"DOI":"10.1016/j.healun.2020.03.012","ISSN":"10532498","author":[{"dropping-particle":"","family":"Siddiqi","given":"Hasan K.","non-dropping-particle":"","parse-names":false,"suffix":""},{"dropping-particle":"","family":"Mehra","given":"Mandeep R.","non-dropping-particle":"","parse-names":false,"suffix":""}],"container-title":"Journal of Heart and Lung Transplantation","id":"ITEM-1","issued":{"date-parts":[["2020","3"]]},"title":"COVID-19 Illness in Native and Immunosuppressed States: A Clinical-Therapeutic Staging Proposal","type":"article-journal"},"uris":["http://www.mendeley.com/documents/?uuid=a6bd5b89-1c25-3ba4-a73b-02266dfa799d"]}],"mendeley":{"formattedCitation":"&lt;sup&gt;1&lt;/sup&gt;","plainTextFormattedCitation":"1","previouslyFormattedCitation":"&lt;sup&gt;1&lt;/sup&gt;"},"properties":{"noteIndex":0},"schema":"https://github.com/citation-style-language/schema/raw/master/csl-citation.json"}</w:instrText>
      </w:r>
      <w:r w:rsidR="00F117CB" w:rsidRPr="00A94BAC">
        <w:rPr>
          <w:rFonts w:cs="Arial"/>
          <w:lang w:val="en-US"/>
        </w:rPr>
        <w:fldChar w:fldCharType="separate"/>
      </w:r>
      <w:r w:rsidR="00F117CB" w:rsidRPr="00A94BAC">
        <w:rPr>
          <w:rFonts w:cs="Arial"/>
          <w:noProof/>
          <w:vertAlign w:val="superscript"/>
          <w:lang w:val="en-US"/>
        </w:rPr>
        <w:t>1</w:t>
      </w:r>
      <w:r w:rsidR="00F117CB" w:rsidRPr="00A94BAC">
        <w:rPr>
          <w:rFonts w:cs="Arial"/>
          <w:lang w:val="en-US"/>
        </w:rPr>
        <w:fldChar w:fldCharType="end"/>
      </w:r>
      <w:r w:rsidRPr="00A94BAC">
        <w:rPr>
          <w:rFonts w:cs="Arial"/>
          <w:lang w:val="en-US"/>
        </w:rPr>
        <w:t>), thus justifying hospitalization. Scores between 0 and 3 were associated with other respiratory conditions</w:t>
      </w:r>
    </w:p>
    <w:p w14:paraId="6BEB3A7F" w14:textId="76FB2E0C" w:rsidR="006B37E9" w:rsidRPr="00A94BAC" w:rsidRDefault="006B37E9" w:rsidP="00A94BAC">
      <w:pPr>
        <w:spacing w:line="360" w:lineRule="auto"/>
        <w:rPr>
          <w:rFonts w:cs="Arial"/>
          <w:lang w:val="en-US"/>
        </w:rPr>
      </w:pPr>
      <w:r w:rsidRPr="00A94BAC">
        <w:rPr>
          <w:rFonts w:cs="Arial"/>
          <w:lang w:val="en-US"/>
        </w:rPr>
        <w:t>The score is not intended for asymptomatic or oligosymptomatic patients (COVID-19 Stage I</w:t>
      </w:r>
      <w:r w:rsidR="00F117CB" w:rsidRPr="00A94BAC">
        <w:rPr>
          <w:rFonts w:cs="Arial"/>
          <w:lang w:val="en-US"/>
        </w:rPr>
        <w:fldChar w:fldCharType="begin" w:fldLock="1"/>
      </w:r>
      <w:r w:rsidR="00F117CB" w:rsidRPr="00A94BAC">
        <w:rPr>
          <w:rFonts w:cs="Arial"/>
          <w:lang w:val="en-US"/>
        </w:rPr>
        <w:instrText>ADDIN CSL_CITATION {"citationItems":[{"id":"ITEM-1","itemData":{"DOI":"10.1016/j.healun.2020.03.012","ISSN":"10532498","author":[{"dropping-particle":"","family":"Siddiqi","given":"Hasan K.","non-dropping-particle":"","parse-names":false,"suffix":""},{"dropping-particle":"","family":"Mehra","given":"Mandeep R.","non-dropping-particle":"","parse-names":false,"suffix":""}],"container-title":"Journal of Heart and Lung Transplantation","id":"ITEM-1","issued":{"date-parts":[["2020","3"]]},"title":"COVID-19 Illness in Native and Immunosuppressed States: A Clinical-Therapeutic Staging Proposal","type":"article-journal"},"uris":["http://www.mendeley.com/documents/?uuid=a6bd5b89-1c25-3ba4-a73b-02266dfa799d"]}],"mendeley":{"formattedCitation":"&lt;sup&gt;1&lt;/sup&gt;","plainTextFormattedCitation":"1","previouslyFormattedCitation":"&lt;sup&gt;1&lt;/sup&gt;"},"properties":{"noteIndex":0},"schema":"https://github.com/citation-style-language/schema/raw/master/csl-citation.json"}</w:instrText>
      </w:r>
      <w:r w:rsidR="00F117CB" w:rsidRPr="00A94BAC">
        <w:rPr>
          <w:rFonts w:cs="Arial"/>
          <w:lang w:val="en-US"/>
        </w:rPr>
        <w:fldChar w:fldCharType="separate"/>
      </w:r>
      <w:r w:rsidR="00F117CB" w:rsidRPr="00A94BAC">
        <w:rPr>
          <w:rFonts w:cs="Arial"/>
          <w:noProof/>
          <w:vertAlign w:val="superscript"/>
          <w:lang w:val="en-US"/>
        </w:rPr>
        <w:t>1</w:t>
      </w:r>
      <w:r w:rsidR="00F117CB" w:rsidRPr="00A94BAC">
        <w:rPr>
          <w:rFonts w:cs="Arial"/>
          <w:lang w:val="en-US"/>
        </w:rPr>
        <w:fldChar w:fldCharType="end"/>
      </w:r>
      <w:r w:rsidRPr="00A94BAC">
        <w:rPr>
          <w:rFonts w:cs="Arial"/>
          <w:lang w:val="en-US"/>
        </w:rPr>
        <w:t>), who may also be SARS-CoV-2 positive.</w:t>
      </w:r>
      <w:r w:rsidR="00F117CB" w:rsidRPr="00A94BAC">
        <w:rPr>
          <w:rFonts w:cs="Arial"/>
          <w:lang w:val="en-US"/>
        </w:rPr>
        <w:t xml:space="preserve"> </w:t>
      </w:r>
    </w:p>
    <w:p w14:paraId="7283057C" w14:textId="77777777" w:rsidR="006B37E9" w:rsidRPr="00A94BAC" w:rsidRDefault="006B37E9">
      <w:pPr>
        <w:rPr>
          <w:rFonts w:cs="Arial"/>
          <w:lang w:val="en-US"/>
        </w:rPr>
      </w:pPr>
    </w:p>
    <w:tbl>
      <w:tblPr>
        <w:tblStyle w:val="TableGrid"/>
        <w:tblW w:w="0" w:type="auto"/>
        <w:tblLook w:val="04A0" w:firstRow="1" w:lastRow="0" w:firstColumn="1" w:lastColumn="0" w:noHBand="0" w:noVBand="1"/>
      </w:tblPr>
      <w:tblGrid>
        <w:gridCol w:w="1696"/>
        <w:gridCol w:w="3261"/>
      </w:tblGrid>
      <w:tr w:rsidR="006B37E9" w:rsidRPr="00A94BAC" w14:paraId="541CBAD3" w14:textId="77777777" w:rsidTr="00F60EE0">
        <w:tc>
          <w:tcPr>
            <w:tcW w:w="1696" w:type="dxa"/>
          </w:tcPr>
          <w:p w14:paraId="6BBE67F5" w14:textId="77777777" w:rsidR="006B37E9" w:rsidRPr="00A94BAC" w:rsidRDefault="006B37E9" w:rsidP="00F60EE0">
            <w:pPr>
              <w:jc w:val="center"/>
              <w:rPr>
                <w:rFonts w:cs="Arial"/>
                <w:b/>
                <w:szCs w:val="20"/>
                <w:lang w:val="en-US"/>
              </w:rPr>
            </w:pPr>
            <w:r w:rsidRPr="00A94BAC">
              <w:rPr>
                <w:rFonts w:cs="Arial"/>
                <w:b/>
                <w:szCs w:val="20"/>
                <w:lang w:val="en-US"/>
              </w:rPr>
              <w:t>AIFELL score</w:t>
            </w:r>
          </w:p>
          <w:p w14:paraId="02A71E77" w14:textId="77777777" w:rsidR="006B37E9" w:rsidRPr="00A94BAC" w:rsidRDefault="006B37E9" w:rsidP="00F60EE0">
            <w:pPr>
              <w:jc w:val="center"/>
              <w:rPr>
                <w:rFonts w:cs="Arial"/>
                <w:b/>
                <w:szCs w:val="20"/>
                <w:lang w:val="en-US"/>
              </w:rPr>
            </w:pPr>
            <w:r w:rsidRPr="00A94BAC">
              <w:rPr>
                <w:rFonts w:cs="Arial"/>
                <w:b/>
                <w:szCs w:val="20"/>
                <w:lang w:val="en-US"/>
              </w:rPr>
              <w:t>(points)</w:t>
            </w:r>
          </w:p>
        </w:tc>
        <w:tc>
          <w:tcPr>
            <w:tcW w:w="3261" w:type="dxa"/>
          </w:tcPr>
          <w:p w14:paraId="60486377" w14:textId="77777777" w:rsidR="006B37E9" w:rsidRPr="00A94BAC" w:rsidRDefault="006B37E9" w:rsidP="00F60EE0">
            <w:pPr>
              <w:jc w:val="center"/>
              <w:rPr>
                <w:rFonts w:cs="Arial"/>
                <w:b/>
                <w:szCs w:val="20"/>
                <w:lang w:val="en-US"/>
              </w:rPr>
            </w:pPr>
            <w:r w:rsidRPr="00A94BAC">
              <w:rPr>
                <w:rFonts w:cs="Arial"/>
                <w:b/>
                <w:szCs w:val="20"/>
                <w:lang w:val="en-US"/>
              </w:rPr>
              <w:t>Interpretation</w:t>
            </w:r>
          </w:p>
        </w:tc>
      </w:tr>
      <w:tr w:rsidR="006B37E9" w:rsidRPr="00964A07" w14:paraId="6E5938B9" w14:textId="77777777" w:rsidTr="00F60EE0">
        <w:tc>
          <w:tcPr>
            <w:tcW w:w="1696" w:type="dxa"/>
          </w:tcPr>
          <w:p w14:paraId="6D382563" w14:textId="77777777" w:rsidR="006B37E9" w:rsidRPr="00A94BAC" w:rsidRDefault="006B37E9" w:rsidP="00F60EE0">
            <w:pPr>
              <w:jc w:val="center"/>
              <w:rPr>
                <w:rFonts w:cs="Arial"/>
                <w:szCs w:val="20"/>
                <w:lang w:val="en-US"/>
              </w:rPr>
            </w:pPr>
            <w:r w:rsidRPr="00A94BAC">
              <w:rPr>
                <w:rFonts w:cs="Arial"/>
                <w:szCs w:val="20"/>
                <w:lang w:val="en-US"/>
              </w:rPr>
              <w:t>4 – 6</w:t>
            </w:r>
          </w:p>
        </w:tc>
        <w:tc>
          <w:tcPr>
            <w:tcW w:w="3261" w:type="dxa"/>
          </w:tcPr>
          <w:p w14:paraId="65544EA0" w14:textId="6F0497E4" w:rsidR="006B37E9" w:rsidRPr="00A94BAC" w:rsidRDefault="006B37E9" w:rsidP="006B37E9">
            <w:pPr>
              <w:jc w:val="center"/>
              <w:rPr>
                <w:rFonts w:cs="Arial"/>
                <w:lang w:val="en-US"/>
              </w:rPr>
            </w:pPr>
            <w:r w:rsidRPr="00A94BAC">
              <w:rPr>
                <w:rFonts w:cs="Arial"/>
                <w:lang w:val="en-US"/>
              </w:rPr>
              <w:t>High probability of COVID-19 (Stages II and III)</w:t>
            </w:r>
            <w:r w:rsidR="00F117CB">
              <w:rPr>
                <w:rFonts w:cs="Arial"/>
                <w:lang w:val="en-US"/>
              </w:rPr>
              <w:t xml:space="preserve">, </w:t>
            </w:r>
            <w:r w:rsidR="00F117CB" w:rsidRPr="00F117CB">
              <w:rPr>
                <w:rFonts w:cs="Arial"/>
                <w:b/>
                <w:bCs/>
                <w:lang w:val="en-US"/>
              </w:rPr>
              <w:t>SARS-CoV-2 swab is necessary.</w:t>
            </w:r>
          </w:p>
        </w:tc>
      </w:tr>
      <w:tr w:rsidR="006B37E9" w:rsidRPr="00964A07" w14:paraId="0170F7CF" w14:textId="77777777" w:rsidTr="00F60EE0">
        <w:tc>
          <w:tcPr>
            <w:tcW w:w="1696" w:type="dxa"/>
          </w:tcPr>
          <w:p w14:paraId="6FE200EC" w14:textId="77777777" w:rsidR="006B37E9" w:rsidRPr="00A94BAC" w:rsidRDefault="006B37E9" w:rsidP="00F60EE0">
            <w:pPr>
              <w:jc w:val="center"/>
              <w:rPr>
                <w:rFonts w:cs="Arial"/>
                <w:szCs w:val="20"/>
                <w:lang w:val="en-US"/>
              </w:rPr>
            </w:pPr>
            <w:r w:rsidRPr="00A94BAC">
              <w:rPr>
                <w:rFonts w:cs="Arial"/>
                <w:szCs w:val="20"/>
                <w:lang w:val="en-US"/>
              </w:rPr>
              <w:t>0 – 3</w:t>
            </w:r>
          </w:p>
        </w:tc>
        <w:tc>
          <w:tcPr>
            <w:tcW w:w="3261" w:type="dxa"/>
          </w:tcPr>
          <w:p w14:paraId="4C4A5758" w14:textId="36CBDAAD" w:rsidR="006B37E9" w:rsidRPr="00A94BAC" w:rsidRDefault="006B37E9" w:rsidP="00F60EE0">
            <w:pPr>
              <w:jc w:val="center"/>
              <w:rPr>
                <w:rFonts w:cs="Arial"/>
                <w:lang w:val="en-US"/>
              </w:rPr>
            </w:pPr>
            <w:r w:rsidRPr="00A94BAC">
              <w:rPr>
                <w:rFonts w:cs="Arial"/>
                <w:lang w:val="en-US"/>
              </w:rPr>
              <w:t>Lower probability of COVID-19 (Stages II and III)</w:t>
            </w:r>
          </w:p>
          <w:p w14:paraId="5B059D50" w14:textId="77777777" w:rsidR="006B37E9" w:rsidRPr="00A94BAC" w:rsidRDefault="006B37E9" w:rsidP="00F60EE0">
            <w:pPr>
              <w:jc w:val="center"/>
              <w:rPr>
                <w:rFonts w:cs="Arial"/>
                <w:szCs w:val="20"/>
                <w:lang w:val="en-US"/>
              </w:rPr>
            </w:pPr>
            <w:r w:rsidRPr="00A94BAC">
              <w:rPr>
                <w:rFonts w:cs="Arial"/>
                <w:lang w:val="en-US"/>
              </w:rPr>
              <w:t>Respiratory symptoms likely due to other medical condition.</w:t>
            </w:r>
          </w:p>
        </w:tc>
      </w:tr>
    </w:tbl>
    <w:p w14:paraId="5FB1ECE8" w14:textId="277651B8" w:rsidR="006B37E9" w:rsidRPr="00A94BAC" w:rsidRDefault="006B37E9">
      <w:pPr>
        <w:rPr>
          <w:rFonts w:cs="Arial"/>
          <w:lang w:val="en-US"/>
        </w:rPr>
      </w:pPr>
    </w:p>
    <w:p w14:paraId="0129DA70" w14:textId="1C292E92" w:rsidR="006B37E9" w:rsidRPr="00A94BAC" w:rsidRDefault="006B37E9">
      <w:pPr>
        <w:rPr>
          <w:rFonts w:cs="Arial"/>
          <w:b/>
          <w:bCs/>
          <w:lang w:val="en-US"/>
        </w:rPr>
      </w:pPr>
      <w:r w:rsidRPr="00A94BAC">
        <w:rPr>
          <w:rFonts w:cs="Arial"/>
          <w:b/>
          <w:bCs/>
          <w:lang w:val="en-US"/>
        </w:rPr>
        <w:t>References</w:t>
      </w:r>
    </w:p>
    <w:p w14:paraId="3A386830" w14:textId="5DA1BFE8" w:rsidR="006B37E9" w:rsidRPr="00964A07" w:rsidRDefault="006B37E9" w:rsidP="006B37E9">
      <w:pPr>
        <w:widowControl w:val="0"/>
        <w:autoSpaceDE w:val="0"/>
        <w:autoSpaceDN w:val="0"/>
        <w:adjustRightInd w:val="0"/>
        <w:spacing w:line="240" w:lineRule="auto"/>
        <w:ind w:left="640" w:hanging="640"/>
        <w:rPr>
          <w:rFonts w:cs="Arial"/>
          <w:noProof/>
          <w:lang w:val="en-US"/>
        </w:rPr>
      </w:pPr>
      <w:r w:rsidRPr="00A94BAC">
        <w:rPr>
          <w:rFonts w:cs="Arial"/>
          <w:lang w:val="en-US"/>
        </w:rPr>
        <w:fldChar w:fldCharType="begin" w:fldLock="1"/>
      </w:r>
      <w:r w:rsidRPr="00A94BAC">
        <w:rPr>
          <w:rFonts w:cs="Arial"/>
          <w:lang w:val="en-US"/>
        </w:rPr>
        <w:instrText xml:space="preserve">ADDIN Mendeley Bibliography CSL_BIBLIOGRAPHY </w:instrText>
      </w:r>
      <w:r w:rsidRPr="00A94BAC">
        <w:rPr>
          <w:rFonts w:cs="Arial"/>
          <w:lang w:val="en-US"/>
        </w:rPr>
        <w:fldChar w:fldCharType="separate"/>
      </w:r>
      <w:r w:rsidRPr="00A94BAC">
        <w:rPr>
          <w:rFonts w:cs="Arial"/>
          <w:noProof/>
          <w:lang w:val="en-GB"/>
        </w:rPr>
        <w:t xml:space="preserve">1. </w:t>
      </w:r>
      <w:r w:rsidRPr="00A94BAC">
        <w:rPr>
          <w:rFonts w:cs="Arial"/>
          <w:noProof/>
          <w:lang w:val="en-GB"/>
        </w:rPr>
        <w:tab/>
        <w:t xml:space="preserve">Siddiqi HK, Mehra MR. COVID-19 Illness in Native and Immunosuppressed States: A Clinical-Therapeutic Staging Proposal. </w:t>
      </w:r>
      <w:r w:rsidRPr="00A94BAC">
        <w:rPr>
          <w:rFonts w:cs="Arial"/>
          <w:i/>
          <w:iCs/>
          <w:noProof/>
          <w:lang w:val="en-GB"/>
        </w:rPr>
        <w:t>J Hear Lung Transplant</w:t>
      </w:r>
      <w:r w:rsidRPr="00A94BAC">
        <w:rPr>
          <w:rFonts w:cs="Arial"/>
          <w:noProof/>
          <w:lang w:val="en-GB"/>
        </w:rPr>
        <w:t>. March 2020. doi:10.1016/j.healun.2020.03.012</w:t>
      </w:r>
    </w:p>
    <w:p w14:paraId="48B7CD2F" w14:textId="324397E8" w:rsidR="006B37E9" w:rsidRDefault="006B37E9">
      <w:pPr>
        <w:rPr>
          <w:rFonts w:cs="Arial"/>
          <w:lang w:val="en-US"/>
        </w:rPr>
      </w:pPr>
      <w:r w:rsidRPr="00A94BAC">
        <w:rPr>
          <w:rFonts w:cs="Arial"/>
          <w:lang w:val="en-US"/>
        </w:rPr>
        <w:fldChar w:fldCharType="end"/>
      </w:r>
    </w:p>
    <w:p w14:paraId="6F659E56" w14:textId="1484E30D" w:rsidR="00964A07" w:rsidRPr="00964A07" w:rsidRDefault="00964A07" w:rsidP="00964A07">
      <w:pPr>
        <w:rPr>
          <w:rFonts w:cs="Arial"/>
          <w:b/>
          <w:bCs/>
          <w:sz w:val="40"/>
          <w:szCs w:val="40"/>
          <w:lang w:val="en-US"/>
        </w:rPr>
      </w:pPr>
      <w:r w:rsidRPr="00A94BAC">
        <w:rPr>
          <w:rFonts w:cs="Arial"/>
          <w:b/>
          <w:bCs/>
          <w:sz w:val="40"/>
          <w:szCs w:val="40"/>
          <w:lang w:val="en-US"/>
        </w:rPr>
        <w:lastRenderedPageBreak/>
        <w:t xml:space="preserve">AIFELL Score: </w:t>
      </w:r>
      <w:r w:rsidRPr="00964A07">
        <w:rPr>
          <w:rFonts w:eastAsia="Times New Roman" w:cs="Arial"/>
          <w:b/>
          <w:bCs/>
          <w:sz w:val="40"/>
          <w:szCs w:val="40"/>
          <w:lang w:val="en-US" w:eastAsia="de-DE"/>
        </w:rPr>
        <w:t>Selection of score variables from the pilot population</w:t>
      </w:r>
    </w:p>
    <w:p w14:paraId="7449F315" w14:textId="25FE1DAB" w:rsidR="00964A07" w:rsidRPr="002A2BF0" w:rsidRDefault="00964A07" w:rsidP="00964A07">
      <w:pPr>
        <w:rPr>
          <w:rFonts w:eastAsia="Times New Roman" w:cs="Arial"/>
          <w:sz w:val="23"/>
          <w:szCs w:val="23"/>
          <w:lang w:val="en-US" w:eastAsia="de-DE"/>
        </w:rPr>
      </w:pPr>
      <w:r>
        <w:rPr>
          <w:rFonts w:eastAsia="Times New Roman" w:cs="Arial"/>
          <w:sz w:val="23"/>
          <w:szCs w:val="23"/>
          <w:lang w:val="en-US" w:eastAsia="de-DE"/>
        </w:rPr>
        <w:t>T</w:t>
      </w:r>
      <w:r w:rsidRPr="002A2BF0">
        <w:rPr>
          <w:rFonts w:eastAsia="Times New Roman" w:cs="Arial"/>
          <w:sz w:val="23"/>
          <w:szCs w:val="23"/>
          <w:lang w:val="en-US" w:eastAsia="de-DE"/>
        </w:rPr>
        <w:t>he parameters were established based on observations of a pilot cohort of 30 consecutively encountered patients with qPCR-proven COVID-19, who were hospitalized in the Department of Internal Medicine at the University Hospital Zurich through the emergency room (ER) in March 2020 and whose laboratory parameters showed characteristic patterns:</w:t>
      </w:r>
    </w:p>
    <w:p w14:paraId="53FF5454" w14:textId="77777777" w:rsidR="00964A07" w:rsidRPr="002A2BF0" w:rsidRDefault="00964A07" w:rsidP="00964A07">
      <w:pPr>
        <w:pStyle w:val="ListParagraph"/>
        <w:numPr>
          <w:ilvl w:val="0"/>
          <w:numId w:val="1"/>
        </w:numPr>
        <w:rPr>
          <w:rFonts w:ascii="Arial" w:eastAsia="Times New Roman" w:hAnsi="Arial" w:cs="Arial"/>
          <w:sz w:val="23"/>
          <w:szCs w:val="23"/>
          <w:lang w:val="en-US" w:eastAsia="de-DE"/>
        </w:rPr>
      </w:pPr>
      <w:r w:rsidRPr="002A2BF0">
        <w:rPr>
          <w:rFonts w:ascii="Arial" w:eastAsia="Times New Roman" w:hAnsi="Arial" w:cs="Arial"/>
          <w:sz w:val="23"/>
          <w:szCs w:val="23"/>
          <w:lang w:val="en-US" w:eastAsia="de-DE"/>
        </w:rPr>
        <w:t>24 patients (80%) had elevated C-reactive protein levels (CRP), which is measured as a typical marker of inflammation (median value 77.5, range 2.0 – 380 in mg/l with a normal range &lt; 5 mg/l). The lowest value for patients classified as having COVID-19 Stage 2 was 30 mg/l. Thus, this value was chosen as the cut-off.</w:t>
      </w:r>
    </w:p>
    <w:p w14:paraId="05530358" w14:textId="77777777" w:rsidR="00964A07" w:rsidRPr="002A2BF0" w:rsidRDefault="00964A07" w:rsidP="00964A07">
      <w:pPr>
        <w:pStyle w:val="ListParagraph"/>
        <w:numPr>
          <w:ilvl w:val="0"/>
          <w:numId w:val="1"/>
        </w:numPr>
        <w:rPr>
          <w:rFonts w:ascii="Arial" w:eastAsia="Times New Roman" w:hAnsi="Arial" w:cs="Arial"/>
          <w:sz w:val="23"/>
          <w:szCs w:val="23"/>
          <w:lang w:val="en-US" w:eastAsia="de-DE"/>
        </w:rPr>
      </w:pPr>
      <w:r w:rsidRPr="002A2BF0">
        <w:rPr>
          <w:rFonts w:ascii="Arial" w:eastAsia="Times New Roman" w:hAnsi="Arial" w:cs="Arial"/>
          <w:sz w:val="23"/>
          <w:szCs w:val="23"/>
          <w:lang w:val="en-US" w:eastAsia="de-DE"/>
        </w:rPr>
        <w:t>28 patients (93%) had lymphocytopenia in the differential blood count (median 0.9, range 0.2 – 19.7 in G/l, absolute count, normal range 1.5 – 4.0 G/l). The highest value of 19.7 G/l in the pilot population was due to the inclusion of a patient with chronic lymphocytic leukemia. Comorbidities were not an exclusion criterion in patients with a positive SARS-CoV-2 qPCR swab result. Besides this outlier, the highest value in patients presented with lymphocytopenia in the initial pilot population was slightly below 1.45 G/l, which was chosen as the cut-off value.</w:t>
      </w:r>
    </w:p>
    <w:p w14:paraId="784497B9" w14:textId="0AD156F2" w:rsidR="00964A07" w:rsidRDefault="00964A07" w:rsidP="00964A07">
      <w:pPr>
        <w:pStyle w:val="ListParagraph"/>
        <w:numPr>
          <w:ilvl w:val="0"/>
          <w:numId w:val="1"/>
        </w:numPr>
        <w:rPr>
          <w:rFonts w:ascii="Arial" w:eastAsia="Times New Roman" w:hAnsi="Arial" w:cs="Arial"/>
          <w:sz w:val="23"/>
          <w:szCs w:val="23"/>
          <w:lang w:val="en-US" w:eastAsia="de-DE"/>
        </w:rPr>
      </w:pPr>
      <w:r w:rsidRPr="002A2BF0">
        <w:rPr>
          <w:rFonts w:ascii="Arial" w:eastAsia="Times New Roman" w:hAnsi="Arial" w:cs="Arial"/>
          <w:sz w:val="23"/>
          <w:szCs w:val="23"/>
          <w:lang w:val="en-US" w:eastAsia="de-DE"/>
        </w:rPr>
        <w:t>18 patients (60%) had an elevated lactate dehydrogenase (LDH, median 491.0, range 295.0 – 999.0 in U/l, normal range 240 – 480 U/l). The lowest value for patients classified as having COVID-19 Stage 2 was 387 U/l. However, most patients with COVID-19 Stage 2 in the pilot study had values &gt; 400 U/I, which was chosen as the cut-off value.</w:t>
      </w:r>
    </w:p>
    <w:p w14:paraId="20B5BC4D" w14:textId="77777777" w:rsidR="00964A07" w:rsidRDefault="00964A07" w:rsidP="00964A07">
      <w:pPr>
        <w:rPr>
          <w:rFonts w:eastAsia="Times New Roman" w:cs="Arial"/>
          <w:sz w:val="23"/>
          <w:szCs w:val="23"/>
          <w:lang w:val="en-US" w:eastAsia="de-DE"/>
        </w:rPr>
      </w:pPr>
    </w:p>
    <w:p w14:paraId="7E52C1ED" w14:textId="62D501DF" w:rsidR="00964A07" w:rsidRDefault="00964A07" w:rsidP="00964A07">
      <w:pPr>
        <w:rPr>
          <w:rFonts w:eastAsia="Times New Roman" w:cs="Arial"/>
          <w:sz w:val="23"/>
          <w:szCs w:val="23"/>
          <w:lang w:val="en-US" w:eastAsia="de-DE"/>
        </w:rPr>
      </w:pPr>
      <w:r w:rsidRPr="002A2BF0">
        <w:rPr>
          <w:rFonts w:eastAsia="Times New Roman" w:cs="Arial"/>
          <w:sz w:val="23"/>
          <w:szCs w:val="23"/>
          <w:lang w:val="en-US" w:eastAsia="de-DE"/>
        </w:rPr>
        <w:t xml:space="preserve">CRP measurements and a differential blood count are routinely determined in every patient presenting with signs of inflammation in the ER of the University Hospital Zurich. </w:t>
      </w:r>
    </w:p>
    <w:p w14:paraId="47E6ABCB" w14:textId="77777777" w:rsidR="00964A07" w:rsidRPr="002A2BF0" w:rsidRDefault="00964A07" w:rsidP="00964A07">
      <w:pPr>
        <w:rPr>
          <w:rFonts w:eastAsia="Times New Roman" w:cs="Arial"/>
          <w:sz w:val="23"/>
          <w:szCs w:val="23"/>
          <w:lang w:val="en-US" w:eastAsia="de-DE"/>
        </w:rPr>
      </w:pPr>
      <w:r w:rsidRPr="002A2BF0">
        <w:rPr>
          <w:rFonts w:eastAsia="Times New Roman" w:cs="Arial"/>
          <w:sz w:val="23"/>
          <w:szCs w:val="23"/>
          <w:lang w:val="en-US" w:eastAsia="de-DE"/>
        </w:rPr>
        <w:t>We observed that 26 patients in the pilot population (87%) had unilateral or bilateral pulmonary infiltrates in conventional radiography as confirmed by radiologists. Coincidentally, 26 patients (87%) presented with fever (median 38,6, range 36.4 – 39.7). However, not all patients with pulmonary infiltrates had fever.</w:t>
      </w:r>
    </w:p>
    <w:p w14:paraId="775954FF" w14:textId="77777777" w:rsidR="00964A07" w:rsidRPr="002A2BF0" w:rsidRDefault="00964A07" w:rsidP="00964A07">
      <w:pPr>
        <w:rPr>
          <w:rFonts w:eastAsia="Times New Roman" w:cs="Arial"/>
          <w:sz w:val="23"/>
          <w:szCs w:val="23"/>
          <w:lang w:val="en-US" w:eastAsia="de-DE"/>
        </w:rPr>
      </w:pPr>
      <w:r w:rsidRPr="002A2BF0">
        <w:rPr>
          <w:rFonts w:eastAsia="Times New Roman" w:cs="Arial"/>
          <w:sz w:val="23"/>
          <w:szCs w:val="23"/>
          <w:lang w:val="en-US" w:eastAsia="de-DE"/>
        </w:rPr>
        <w:t>The patients in the pilot population could be initially classified to either COVID-19 Stage I (N = 4) or Stage II (N = 26) at the moment of hospitalization.</w:t>
      </w:r>
    </w:p>
    <w:p w14:paraId="391EBB11" w14:textId="77777777" w:rsidR="00964A07" w:rsidRPr="002A2BF0" w:rsidRDefault="00964A07" w:rsidP="00964A07">
      <w:pPr>
        <w:rPr>
          <w:rFonts w:eastAsia="Times New Roman" w:cs="Arial"/>
          <w:sz w:val="23"/>
          <w:szCs w:val="23"/>
          <w:lang w:val="en-US" w:eastAsia="de-DE"/>
        </w:rPr>
      </w:pPr>
      <w:r w:rsidRPr="002A2BF0">
        <w:rPr>
          <w:rFonts w:eastAsia="Times New Roman" w:cs="Arial"/>
          <w:sz w:val="23"/>
          <w:szCs w:val="23"/>
          <w:lang w:val="en-US" w:eastAsia="de-DE"/>
        </w:rPr>
        <w:t>When the question of an ER triage score arose, literature searches for typical COVID-19-associated laboratory parameters as described were performed and early published studies (references 3 – 5 in the manuscript)</w:t>
      </w:r>
      <w:r w:rsidRPr="002A2BF0">
        <w:rPr>
          <w:rFonts w:eastAsia="Times New Roman" w:cs="Arial"/>
          <w:sz w:val="23"/>
          <w:szCs w:val="23"/>
          <w:lang w:val="en-US" w:eastAsia="de-DE"/>
        </w:rPr>
        <w:fldChar w:fldCharType="begin" w:fldLock="1"/>
      </w:r>
      <w:r w:rsidRPr="002A2BF0">
        <w:rPr>
          <w:rFonts w:eastAsia="Times New Roman" w:cs="Arial"/>
          <w:sz w:val="23"/>
          <w:szCs w:val="23"/>
          <w:lang w:val="en-US" w:eastAsia="de-DE"/>
        </w:rPr>
        <w:instrText>ADDIN CSL_CITATION {"citationItems":[{"id":"ITEM-1","itemData":{"DOI":"10.1016/S0140-6736(20)30566-3","ISSN":"0140-6736","abstract":"Summary 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 Interpretation The potential risk factors of older age, high SOFA score, and d-dimer greater than 1 μg/L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of National Science and Technology on New Drug Creation and Development.","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container-title":"The Lancet","id":"ITEM-1","issue":"20","issued":{"date-parts":[["2020"]]},"page":"1-9","publisher":"Elsevier Ltd","title":"Clinical course and risk factors for mortality of adult inpatients with COVID-19 in Wuhan , China : a retrospective cohort study","type":"article-journal","volume":"6736"},"uris":["http://www.mendeley.com/documents/?uuid=8ec83caa-42eb-46b0-b789-e7dcf5beae58"]},{"id":"ITEM-2","itemData":{"DOI":"10.1016/j.tmaid.2020.101623","ISSN":"14778939","PMID":"32179124","abstract":"INTRODUCTION An epidemic of Coronavirus Disease 2019 (COVID-19) began in December 2019 in China leading to a Public Health Emergency of International Concern (PHEIC). Clinical, laboratory, and imaging features have been partially characterized in some observational studies. No systematic reviews on COVID-19 have been published to date. METHODS We performed a systematic literature review with meta-analysis, using three databases to assess clinical, laboratory, imaging features, and outcomes of COVID-19 confirmed cases. Observational studies and also case reports, were included, and analyzed separately. We performed a random-effects model meta-analysis to calculate the pooled prevalence and 95% confidence interval (95%CI). RESULTS 660 articles were retrieved for the time frame (1/1/2020-2/23/2020). After screening, 27 articles were selected for full-text assessment, 19 being finally included for qualitative and quantitative analyses. Additionally, 39 case report articles were included and analyzed separately. For 656 patients, fever (88.7%, 95%CI 84.5-92.9%), cough (57.6%, 40.8-74.4%) and dyspnea (45.6%, 10.9-80.4%) were the most prevalent manifestations. Among the patients, 20.3% (95%CI 10.0-30.6%) required intensive care unit (ICU), 32.8% presented with acute respiratory distress syndrome (ARDS) (95%CI 13.7-51.8), 6.2% (95%CI 3.1-9.3) with shock. Some 13.9% (95%CI 6.2-21.5%) of hospitalized patients had fatal outcomes (case fatality rate, CFR). CONCLUSION COVID-19 brings a huge burden to healthcare facilities, especially in patients with comorbidities. ICU was required for approximately 20% of polymorbid, COVID-19 infected patients and hospitalization was associated with a CFR of over 13%. As this virus spreads globally, countries need to urgently prepare human resources, infrastructure and facilities to treat severe COVID-19.","author":[{"dropping-particle":"","family":"Rodriguez-Morales","given":"Alfonso J.","non-dropping-particle":"","parse-names":false,"suffix":""},{"dropping-particle":"","family":"Cardona-Ospina","given":"Jaime A.","non-dropping-particle":"","parse-names":false,"suffix":""},{"dropping-particle":"","family":"Gutiérrez-Ocampo","given":"Estefanía","non-dropping-particle":"","parse-names":false,"suffix":""},{"dropping-particle":"","family":"Villamizar-Peña","given":"Rhuvi","non-dropping-particle":"","parse-names":false,"suffix":""},{"dropping-particle":"","family":"Holguin-Rivera","given":"Yeimer","non-dropping-particle":"","parse-names":false,"suffix":""},{"dropping-particle":"","family":"Escalera-Antezana","given":"Juan Pablo","non-dropping-particle":"","parse-names":false,"suffix":""},{"dropping-particle":"","family":"Alvarado-Arnez","given":"Lucia Elena","non-dropping-particle":"","parse-names":false,"suffix":""},{"dropping-particle":"","family":"Bonilla-Aldana","given":"D. Katterine","non-dropping-particle":"","parse-names":false,"suffix":""},{"dropping-particle":"","family":"Franco-Paredes","given":"Carlos","non-dropping-particle":"","parse-names":false,"suffix":""},{"dropping-particle":"","family":"Henao-Martinez","given":"Andrés F.","non-dropping-particle":"","parse-names":false,"suffix":""},{"dropping-particle":"","family":"Paniz-Mondolfi","given":"Alberto","non-dropping-particle":"","parse-names":false,"suffix":""},{"dropping-particle":"","family":"Lagos-Grisales","given":"Guillermo J.","non-dropping-particle":"","parse-names":false,"suffix":""},{"dropping-particle":"","family":"Ramírez-Vallejo","given":"Eduardo","non-dropping-particle":"","parse-names":false,"suffix":""},{"dropping-particle":"","family":"Suárez","given":"Jose A.","non-dropping-particle":"","parse-names":false,"suffix":""},{"dropping-particle":"","family":"Zambrano","given":"Lysien I.","non-dropping-particle":"","parse-names":false,"suffix":""},{"dropping-particle":"","family":"Villamil-Gómez","given":"Wilmer E.","non-dropping-particle":"","parse-names":false,"suffix":""},{"dropping-particle":"","family":"Balbin-Ramon","given":"Graciela J.","non-dropping-particle":"","parse-names":false,"suffix":""},{"dropping-particle":"","family":"Rabaan","given":"Ali A.","non-dropping-particle":"","parse-names":false,"suffix":""},{"dropping-particle":"","family":"Harapan","given":"Harapan","non-dropping-particle":"","parse-names":false,"suffix":""},{"dropping-particle":"","family":"Dhama","given":"Kuldeep","non-dropping-particle":"","parse-names":false,"suffix":""},{"dropping-particle":"","family":"Nishiura","given":"Hiroshi","non-dropping-particle":"","parse-names":false,"suffix":""},{"dropping-particle":"","family":"Kataoka","given":"Hiromitsu","non-dropping-particle":"","parse-names":false,"suffix":""},{"dropping-particle":"","family":"Ahmad","given":"Tauseef","non-dropping-particle":"","parse-names":false,"suffix":""},{"dropping-particle":"","family":"Sah","given":"Ranjit","non-dropping-particle":"","parse-names":false,"suffix":""}],"container-title":"Travel Medicine and Infectious Disease","id":"ITEM-2","issue":"February","issued":{"date-parts":[["2020"]]},"page":"101623","publisher":"Elsevier","title":"Clinical, laboratory and imaging features of COVID-19: A systematic review and meta-analysis","type":"article-journal"},"uris":["http://www.mendeley.com/documents/?uuid=f7df189e-de86-40e5-a557-0c1443fdc904"]},{"id":"ITEM-3","itemData":{"DOI":"10.1172/JCI137244","abstract":"Background Since late December, 2019, an outbreak of pneumonia cases caused by the severe acute respiratory syndrome coronavirus 2 (SARS-CoV-2) emerged in Wuhan, and continued to spread throughout China and across the globe. To date, few data on immunologic features of Coronavirus Disease 2019 (COVID-19) have been reported. Methods In this single-centre retrospective study, a total of 21 patients with pneumonia who were laboratory-confirmed to be infected with SARS-CoV-2 in Wuhan Tongji hospital were included from Dec 19, 2019 to Jan 27, 2020. The immunologic characteristics as well as their clinical, laboratory, radiological features were compared between 11 severe cases and 10 moderate cases. Results Of the 21 patients with COVID-19, only 4 (19%) had a history of exposure to the Huanan seafood market. 7 (33.3%) patients had underlying conditions. The average age of severe and moderate cases was 63.9 and 51.4 years, 10 (90.9%) severe cases and 7 (70.0%) moderate cases were male. Common clinical manifestations including fever (100%, 100%), cough (70%, 90%), fatigue (100%, 70%) and myalgia (50%, 30%) in severe cases and moderate cases. PaO2/FiO2 ratio was significantly lower in severe cases (122.9) than moderate cases (366.2). Lymphocyte counts were significantly lower in severe cases (7000 million/L) than moderate cases (11000 million/L). Alanine aminotransferase, lactate dehydrogenase levels, high-sensitivity C-reactive protein and ferritin were significantly higher in severe cases (41.4 U/L, 567.2 U/L, 135.2 mg/L and 1734.4 ug/L) than moderate cases (17.6 U/L, 234.4 U/L, 51.4 mg/L and 880.2 ug /L). IL-2R, TNF-α and IL-10 concentrations on admission were significantly higher in severe cases (1202.4 pg/mL, 10.9 pg/mL and 10.9 pg/mL) than moderate cases (441.7 pg/mL, 7.5 pg/mL and 6.6 pg/mL). Absolute number of total T lymphocytes, CD4+T cells and CD8+T cells decreased in nearly all the patients, and were significantly lower in severe cases (332.5, 185.6 and 124.3 million/L) than moderate cases (676.5, 359.2 and 272.0 million/L). The expressions of IFN-γ by CD4+T cells tended to be lower in severe cases (14.6%) than moderate cases (23.6%). Conclusion The SARS-CoV-2 infection may affect primarily T lymphocytes, particularly CD4+T cells, resulting in significant decrease in number as well as IFN-γ production, which may be associated with disease severity. Together with clinical characteristics, early immunologic indicators including diminished T lymphocyte…","author":[{"dropping-particle":"","family":"Chen","given":"Guang","non-dropping-particle":"","parse-names":false,"suffix":""},{"dropping-particle":"","family":"Wu","given":"Di","non-dropping-particle":"","parse-names":false,"suffix":""},{"dropping-particle":"","family":"Guo","given":"Wei","non-dropping-particle":"","parse-names":false,"suffix":""},{"dropping-particle":"","family":"Cao","given":"Yong","non-dropping-particle":"","parse-names":false,"suffix":""},{"dropping-particle":"","family":"Huang","given":"Da","non-dropping-particle":"","parse-names":false,"suffix":""},{"dropping-particle":"","family":"Wang","given":"Hongwu","non-dropping-particle":"","parse-names":false,"suffix":""},{"dropping-particle":"","family":"Wang","given":"Tao","non-dropping-particle":"","parse-names":false,"suffix":""},{"dropping-particle":"","family":"Zhang","given":"Xiaoyun","non-dropping-particle":"","parse-names":false,"suffix":""},{"dropping-particle":"","family":"Chen","given":"Huilong","non-dropping-particle":"","parse-names":false,"suffix":""},{"dropping-particle":"","family":"Yu","given":"Haijing","non-dropping-particle":"","parse-names":false,"suffix":""},{"dropping-particle":"","family":"Zhang","given":"Xiaoping","non-dropping-particle":"","parse-names":false,"suffix":""},{"dropping-particle":"","family":"Zhang","given":"Minxia","non-dropping-particle":"","parse-names":false,"suffix":""},{"dropping-particle":"","family":"Wu","given":"Shiji","non-dropping-particle":"","parse-names":false,"suffix":""},{"dropping-particle":"","family":"Song","given":"Jianxin","non-dropping-particle":"","parse-names":false,"suffix":""},{"dropping-particle":"","family":"Chen","given":"Tao","non-dropping-particle":"","parse-names":false,"suffix":""},{"dropping-particle":"","family":"Han","given":"Meifang","non-dropping-particle":"","parse-names":false,"suffix":""},{"dropping-particle":"","family":"Li","given":"Shusheng","non-dropping-particle":"","parse-names":false,"suffix":""},{"dropping-particle":"","family":"Luo","given":"Xiaoping","non-dropping-particle":"","parse-names":false,"suffix":""},{"dropping-particle":"","family":"Zhao","given":"Jianping","non-dropping-particle":"","parse-names":false,"suffix":""},{"dropping-particle":"","family":"Ning","given":"Qin","non-dropping-particle":"","parse-names":false,"suffix":""}],"container-title":"J Clin Invest. 2020.","id":"ITEM-3","issue":"1095","issued":{"date-parts":[["2020"]]},"page":"2020.02.16.20023903","title":"Clinical and immunologic features in severe and moderate forms of Coronavirus Disease 2019","type":"article-journal"},"uris":["http://www.mendeley.com/documents/?uuid=18260e0b-2822-4cbd-9578-99ad03cfadac"]}],"mendeley":{"formattedCitation":"&lt;sup&gt;1–3&lt;/sup&gt;","plainTextFormattedCitation":"1–3","previouslyFormattedCitation":"&lt;sup&gt;1–3&lt;/sup&gt;"},"properties":{"noteIndex":0},"schema":"https://github.com/citation-style-language/schema/raw/master/csl-citation.json"}</w:instrText>
      </w:r>
      <w:r w:rsidRPr="002A2BF0">
        <w:rPr>
          <w:rFonts w:eastAsia="Times New Roman" w:cs="Arial"/>
          <w:sz w:val="23"/>
          <w:szCs w:val="23"/>
          <w:lang w:val="en-US" w:eastAsia="de-DE"/>
        </w:rPr>
        <w:fldChar w:fldCharType="separate"/>
      </w:r>
      <w:r w:rsidRPr="002A2BF0">
        <w:rPr>
          <w:rFonts w:eastAsia="Times New Roman" w:cs="Arial"/>
          <w:noProof/>
          <w:sz w:val="23"/>
          <w:szCs w:val="23"/>
          <w:vertAlign w:val="superscript"/>
          <w:lang w:val="en-US" w:eastAsia="de-DE"/>
        </w:rPr>
        <w:t>1–3</w:t>
      </w:r>
      <w:r w:rsidRPr="002A2BF0">
        <w:rPr>
          <w:rFonts w:eastAsia="Times New Roman" w:cs="Arial"/>
          <w:sz w:val="23"/>
          <w:szCs w:val="23"/>
          <w:lang w:val="en-US" w:eastAsia="de-DE"/>
        </w:rPr>
        <w:fldChar w:fldCharType="end"/>
      </w:r>
      <w:r w:rsidRPr="002A2BF0">
        <w:rPr>
          <w:rFonts w:eastAsia="Times New Roman" w:cs="Arial"/>
          <w:sz w:val="23"/>
          <w:szCs w:val="23"/>
          <w:lang w:val="en-US" w:eastAsia="de-DE"/>
        </w:rPr>
        <w:t xml:space="preserve"> confirmed our observational findings as characteristics of COVID-19.</w:t>
      </w:r>
    </w:p>
    <w:p w14:paraId="5409D739" w14:textId="0B144C97" w:rsidR="00964A07" w:rsidRPr="00964A07" w:rsidRDefault="00964A07" w:rsidP="00964A07">
      <w:pPr>
        <w:rPr>
          <w:rFonts w:eastAsia="Times New Roman" w:cs="Arial"/>
          <w:sz w:val="23"/>
          <w:szCs w:val="23"/>
          <w:lang w:val="en-US" w:eastAsia="de-DE"/>
        </w:rPr>
      </w:pPr>
      <w:r w:rsidRPr="002A2BF0">
        <w:rPr>
          <w:rFonts w:eastAsia="Times New Roman" w:cs="Arial"/>
          <w:sz w:val="23"/>
          <w:szCs w:val="23"/>
          <w:lang w:val="en-US" w:eastAsia="de-DE"/>
        </w:rPr>
        <w:t xml:space="preserve">Based on the described observations and literature searches, the mentioned laboratory parameters, </w:t>
      </w:r>
      <w:r>
        <w:rPr>
          <w:rFonts w:eastAsia="Times New Roman" w:cs="Arial"/>
          <w:sz w:val="23"/>
          <w:szCs w:val="23"/>
          <w:lang w:val="en-US" w:eastAsia="de-DE"/>
        </w:rPr>
        <w:t xml:space="preserve">pulmonary </w:t>
      </w:r>
      <w:r w:rsidRPr="002A2BF0">
        <w:rPr>
          <w:rFonts w:eastAsia="Times New Roman" w:cs="Arial"/>
          <w:sz w:val="23"/>
          <w:szCs w:val="23"/>
          <w:lang w:val="en-US" w:eastAsia="de-DE"/>
        </w:rPr>
        <w:t>infiltrates as a sign of inflammation and fever were included in the emerging score. 5 of 30 patients mentioned actively an attenuation of taste or smell. As this COVID-19-associated symptom was not yet widely recognized, but already discussed in the literature</w:t>
      </w:r>
      <w:r w:rsidRPr="002A2BF0">
        <w:rPr>
          <w:rFonts w:eastAsia="Times New Roman" w:cs="Arial"/>
          <w:sz w:val="23"/>
          <w:szCs w:val="23"/>
          <w:lang w:val="en-US" w:eastAsia="de-DE"/>
        </w:rPr>
        <w:fldChar w:fldCharType="begin" w:fldLock="1"/>
      </w:r>
      <w:r w:rsidRPr="002A2BF0">
        <w:rPr>
          <w:rFonts w:eastAsia="Times New Roman" w:cs="Arial"/>
          <w:sz w:val="23"/>
          <w:szCs w:val="23"/>
          <w:lang w:val="en-US" w:eastAsia="de-DE"/>
        </w:rPr>
        <w:instrText>ADDIN CSL_CITATION {"citationItems":[{"id":"ITEM-1","itemData":{"DOI":"10.1007/s00405-020-05965-1","ISBN":"0123456789","ISSN":"1434-4726","PMID":"32253535","abstract":"OBJECTIVE To investigate the occurrence of olfactory and gustatory dysfunctions in patients with laboratory-confirmed COVID-19 infection. METHODS Patients with laboratory-confirmed COVID-19 infection were recruited from 12 European hospitals. The following epidemiological and clinical outcomes have been studied: age, sex, ethnicity, comorbidities, and general and otolaryngological symptoms. Patients completed olfactory and gustatory questionnaires based on the smell and taste component of the National Health and Nutrition Examination Survey, and the short version of the Questionnaire of Olfactory Disorders-Negative Statements (sQOD-NS). RESULTS A total of 417 mild-to-moderate COVID-19 patients completed the study (263 females). The most prevalent general symptoms consisted of cough, myalgia, and loss of appetite. Face pain and nasal obstruction were the most disease-related otolaryngological symptoms. 85.6% and 88.0% of patients reported olfactory and gustatory dysfunctions, respectively. There was a significant association between both disorders (p &lt; 0.001). Olfactory dysfunction (OD) appeared before the other symptoms in 11.8% of cases. The sQO-NS scores were significantly lower in patients with anosmia compared with normosmic or hyposmic individuals (p = 0.001). Among the 18.2% of patients without nasal obstruction or rhinorrhea, 79.7% were hyposmic or anosmic. The early olfactory recovery rate was 44.0%. Females were significantly more affected by olfactory and gustatory dysfunctions than males (p = 0.001). CONCLUSION Olfactory and gustatory disorders are prevalent symptoms in European COVID-19 patients, who may not have nasal symptoms. The sudden anosmia or ageusia need to be recognized by the international scientific community as important symptoms of the COVID-19 infection.","author":[{"dropping-particle":"","family":"Lechien","given":"Jerome R","non-dropping-particle":"","parse-names":false,"suffix":""},{"dropping-particle":"","family":"Chiesa-Estomba","given":"Carlos M","non-dropping-particle":"","parse-names":false,"suffix":""},{"dropping-particle":"","family":"Siati","given":"Daniele R","non-dropping-particle":"De","parse-names":false,"suffix":""},{"dropping-particle":"","family":"Horoi","given":"Mihaela","non-dropping-particle":"","parse-names":false,"suffix":""},{"dropping-particle":"","family":"Bon","given":"Serge D","non-dropping-particle":"Le","parse-names":false,"suffix":""},{"dropping-particle":"","family":"Rodriguez","given":"Alexandra","non-dropping-particle":"","parse-names":false,"suffix":""},{"dropping-particle":"","family":"Dequanter","given":"Didier","non-dropping-particle":"","parse-names":false,"suffix":""},{"dropping-particle":"","family":"Blecic","given":"Serge","non-dropping-particle":"","parse-names":false,"suffix":""},{"dropping-particle":"","family":"Afia","given":"Fahd","non-dropping-particle":"El","parse-names":false,"suffix":""},{"dropping-particle":"","family":"Distinguin","given":"Lea","non-dropping-particle":"","parse-names":false,"suffix":""},{"dropping-particle":"","family":"Chekkoury-Idrissi","given":"Younes","non-dropping-particle":"","parse-names":false,"suffix":""},{"dropping-particle":"","family":"Hans","given":"Stéphane","non-dropping-particle":"","parse-names":false,"suffix":""},{"dropping-particle":"","family":"Delgado","given":"Irene Lopez","non-dropping-particle":"","parse-names":false,"suffix":""},{"dropping-particle":"","family":"Calvo-Henriquez","given":"Christian","non-dropping-particle":"","parse-names":false,"suffix":""},{"dropping-particle":"","family":"Lavigne","given":"Philippe","non-dropping-particle":"","parse-names":false,"suffix":""},{"dropping-particle":"","family":"Falanga","given":"Chiara","non-dropping-particle":"","parse-names":false,"suffix":""},{"dropping-particle":"","family":"Barillari","given":"Maria Rosaria","non-dropping-particle":"","parse-names":false,"suffix":""},{"dropping-particle":"","family":"Cammaroto","given":"Giovanni","non-dropping-particle":"","parse-names":false,"suffix":""},{"dropping-particle":"","family":"Khalife","given":"Mohamad","non-dropping-particle":"","parse-names":false,"suffix":""},{"dropping-particle":"","family":"Leich","given":"Pierre","non-dropping-particle":"","parse-names":false,"suffix":""},{"dropping-particle":"","family":"Souchay","given":"Christel","non-dropping-particle":"","parse-names":false,"suffix":""},{"dropping-particle":"","family":"Rossi","given":"Camelia","non-dropping-particle":"","parse-names":false,"suffix":""},{"dropping-particle":"","family":"Journe","given":"Fabrice","non-dropping-particle":"","parse-names":false,"suffix":""},{"dropping-particle":"","family":"Hsieh","given":"Julien","non-dropping-particle":"","parse-names":false,"suffix":""},{"dropping-particle":"","family":"Edjlali","given":"Myriam","non-dropping-particle":"","parse-names":false,"suffix":""},{"dropping-particle":"","family":"Carlier","given":"Robert","non-dropping-particle":"","parse-names":false,"suffix":""},{"dropping-particle":"","family":"Ris","given":"Laurence","non-dropping-particle":"","parse-names":false,"suffix":""},{"dropping-particle":"","family":"Lovato","given":"Andrea","non-dropping-particle":"","parse-names":false,"suffix":""},{"dropping-particle":"","family":"Filippis","given":"Cosimo","non-dropping-particle":"De","parse-names":false,"suffix":""},{"dropping-particle":"","family":"Coppee","given":"Frederique","non-dropping-particle":"","parse-names":false,"suffix":""},{"dropping-particle":"","family":"Fakhry","given":"Nicolas","non-dropping-particle":"","parse-names":false,"suffix":""},{"dropping-particle":"","family":"Ayad","given":"Tareck","non-dropping-particle":"","parse-names":false,"suffix":""},{"dropping-particle":"","family":"Saussez","given":"Sven","non-dropping-particle":"","parse-names":false,"suffix":""}],"container-title":"European archives of oto-rhino-laryngology : official journal of the European Federation of Oto-Rhino-Laryngological Societies (EUFOS) : affiliated with the German Society for Oto-Rhino-Laryngology - Head and Neck Surgery","id":"ITEM-1","issue":"0123456789","issued":{"date-parts":[["2020"]]},"publisher":"Springer Berlin Heidelberg","title":"Olfactory and gustatory dysfunctions as a clinical presentation of mild-to-moderate forms of the coronavirus disease (COVID-19): a multicenter European study.","type":"article-journal","volume":"2"},"uris":["http://www.mendeley.com/documents/?uuid=50943f2a-36df-4db5-8ae4-363018342807"]}],"mendeley":{"formattedCitation":"&lt;sup&gt;4&lt;/sup&gt;","plainTextFormattedCitation":"4","previouslyFormattedCitation":"&lt;sup&gt;4&lt;/sup&gt;"},"properties":{"noteIndex":0},"schema":"https://github.com/citation-style-language/schema/raw/master/csl-citation.json"}</w:instrText>
      </w:r>
      <w:r w:rsidRPr="002A2BF0">
        <w:rPr>
          <w:rFonts w:eastAsia="Times New Roman" w:cs="Arial"/>
          <w:sz w:val="23"/>
          <w:szCs w:val="23"/>
          <w:lang w:val="en-US" w:eastAsia="de-DE"/>
        </w:rPr>
        <w:fldChar w:fldCharType="separate"/>
      </w:r>
      <w:r w:rsidRPr="002A2BF0">
        <w:rPr>
          <w:rFonts w:eastAsia="Times New Roman" w:cs="Arial"/>
          <w:noProof/>
          <w:sz w:val="23"/>
          <w:szCs w:val="23"/>
          <w:vertAlign w:val="superscript"/>
          <w:lang w:val="en-US" w:eastAsia="de-DE"/>
        </w:rPr>
        <w:t>4</w:t>
      </w:r>
      <w:r w:rsidRPr="002A2BF0">
        <w:rPr>
          <w:rFonts w:eastAsia="Times New Roman" w:cs="Arial"/>
          <w:sz w:val="23"/>
          <w:szCs w:val="23"/>
          <w:lang w:val="en-US" w:eastAsia="de-DE"/>
        </w:rPr>
        <w:fldChar w:fldCharType="end"/>
      </w:r>
      <w:r w:rsidRPr="002A2BF0">
        <w:rPr>
          <w:rFonts w:eastAsia="Times New Roman" w:cs="Arial"/>
          <w:sz w:val="23"/>
          <w:szCs w:val="23"/>
          <w:lang w:val="en-US" w:eastAsia="de-DE"/>
        </w:rPr>
        <w:t>, it was not routinely asked by attending physicians but included into the</w:t>
      </w:r>
      <w:r>
        <w:rPr>
          <w:rFonts w:eastAsia="Times New Roman" w:cs="Arial"/>
          <w:sz w:val="23"/>
          <w:szCs w:val="23"/>
          <w:lang w:val="en-US" w:eastAsia="de-DE"/>
        </w:rPr>
        <w:t xml:space="preserve"> emerging</w:t>
      </w:r>
      <w:r w:rsidRPr="002A2BF0">
        <w:rPr>
          <w:rFonts w:eastAsia="Times New Roman" w:cs="Arial"/>
          <w:sz w:val="23"/>
          <w:szCs w:val="23"/>
          <w:lang w:val="en-US" w:eastAsia="de-DE"/>
        </w:rPr>
        <w:t xml:space="preserve"> triage score as more evidence about smell and taste </w:t>
      </w:r>
      <w:r w:rsidRPr="002A2BF0">
        <w:rPr>
          <w:rFonts w:eastAsia="Times New Roman" w:cs="Arial"/>
          <w:sz w:val="23"/>
          <w:szCs w:val="23"/>
          <w:lang w:val="en-US" w:eastAsia="de-DE"/>
        </w:rPr>
        <w:lastRenderedPageBreak/>
        <w:t>alterations in COVID-19 were published. To make the triage score easy to use and to calculate by attending ER physicians during the COVID-19 pandemic, each component was weighted equally with 1 point (thus the score range of 0 to 6 points) and the acronym ‘AIFELL’ was coined.</w:t>
      </w:r>
    </w:p>
    <w:sectPr w:rsidR="00964A07" w:rsidRPr="00964A07" w:rsidSect="00DE39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0DE1"/>
    <w:multiLevelType w:val="hybridMultilevel"/>
    <w:tmpl w:val="4FF8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FE"/>
    <w:rsid w:val="000F3157"/>
    <w:rsid w:val="003C10B1"/>
    <w:rsid w:val="003D059F"/>
    <w:rsid w:val="006B37E9"/>
    <w:rsid w:val="008303FE"/>
    <w:rsid w:val="00964A07"/>
    <w:rsid w:val="00A0225F"/>
    <w:rsid w:val="00A2222E"/>
    <w:rsid w:val="00A94BAC"/>
    <w:rsid w:val="00DE3990"/>
    <w:rsid w:val="00F117CB"/>
    <w:rsid w:val="00F70204"/>
    <w:rsid w:val="00FA75F9"/>
  </w:rsids>
  <m:mathPr>
    <m:mathFont m:val="Cambria Math"/>
    <m:brkBin m:val="before"/>
    <m:brkBinSub m:val="--"/>
    <m:smallFrac m:val="0"/>
    <m:dispDef/>
    <m:lMargin m:val="0"/>
    <m:rMargin m:val="0"/>
    <m:defJc m:val="centerGroup"/>
    <m:wrapIndent m:val="1440"/>
    <m:intLim m:val="subSup"/>
    <m:naryLim m:val="undOvr"/>
  </m:mathPr>
  <w:themeFontLang w:val="en-I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736C"/>
  <w15:chartTrackingRefBased/>
  <w15:docId w15:val="{DAA2B4A5-9CEE-3A48-B84A-02ADD91A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FE"/>
    <w:pPr>
      <w:spacing w:after="160" w:line="259" w:lineRule="auto"/>
    </w:pPr>
    <w:rPr>
      <w:rFonts w:ascii="Arial" w:hAnsi="Arial"/>
      <w:sz w:val="20"/>
      <w:szCs w:val="22"/>
      <w:lang w:val="de-CH"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02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0204"/>
    <w:rPr>
      <w:rFonts w:ascii="Times New Roman" w:hAnsi="Times New Roman" w:cs="Times New Roman"/>
      <w:sz w:val="18"/>
      <w:szCs w:val="18"/>
      <w:lang w:val="de-CH" w:bidi="ar-SA"/>
    </w:rPr>
  </w:style>
  <w:style w:type="paragraph" w:styleId="ListParagraph">
    <w:name w:val="List Paragraph"/>
    <w:basedOn w:val="Normal"/>
    <w:uiPriority w:val="34"/>
    <w:qFormat/>
    <w:rsid w:val="00964A07"/>
    <w:pPr>
      <w:spacing w:after="0" w:line="240" w:lineRule="auto"/>
      <w:ind w:left="720"/>
      <w:contextualSpacing/>
    </w:pPr>
    <w:rPr>
      <w:rFonts w:asciiTheme="minorHAnsi" w:hAnsi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4A0E3-3AD9-432B-9061-B92236E9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4585</Words>
  <Characters>26138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Levenfus</dc:creator>
  <cp:keywords/>
  <dc:description/>
  <cp:lastModifiedBy>Norkey Bhutia</cp:lastModifiedBy>
  <cp:revision>2</cp:revision>
  <dcterms:created xsi:type="dcterms:W3CDTF">2020-08-19T04:54:00Z</dcterms:created>
  <dcterms:modified xsi:type="dcterms:W3CDTF">2020-08-19T04:54:00Z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c8d6a34b-b3e2-314d-abde-721e85909605</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http://www.zotero.org/styles/bmj</vt:lpwstr>
  </property>
  <property fmtid="{D5CDD505-2E9C-101B-9397-08002B2CF9AE}" pid="12" name="Mendeley Recent Style Name 3_1">
    <vt:lpwstr>BMJ</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http://www.zotero.org/styles/human-mutation</vt:lpwstr>
  </property>
  <property fmtid="{D5CDD505-2E9C-101B-9397-08002B2CF9AE}" pid="16" name="Mendeley Recent Style Name 5_1">
    <vt:lpwstr>Human Mutation</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