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CC8D" w14:textId="77777777" w:rsidR="008A1EDA" w:rsidRPr="0003445A" w:rsidRDefault="008A1EDA" w:rsidP="008A1EDA">
      <w:pPr>
        <w:pStyle w:val="Heading1"/>
        <w:rPr>
          <w:rFonts w:eastAsia="Arial Unicode MS"/>
        </w:rPr>
      </w:pPr>
      <w:r>
        <w:rPr>
          <w:rFonts w:eastAsia="Arial Unicode MS"/>
        </w:rPr>
        <w:t>Supplementary material</w:t>
      </w:r>
    </w:p>
    <w:p w14:paraId="227E0921" w14:textId="77777777" w:rsidR="008A1EDA" w:rsidRPr="0003445A" w:rsidRDefault="008A1EDA" w:rsidP="008A1EDA">
      <w:pPr>
        <w:pStyle w:val="Heading2"/>
      </w:pPr>
      <w:r w:rsidRPr="006563E3">
        <w:t xml:space="preserve">Supplementary Table </w:t>
      </w:r>
      <w:r w:rsidRPr="0003445A">
        <w:t xml:space="preserve">1. Estimated incidence of herpes zoster in Spanish adults aged ≥ 50 years in different regional general practitioner (GP) networks </w:t>
      </w:r>
    </w:p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971"/>
        <w:gridCol w:w="1393"/>
        <w:gridCol w:w="1600"/>
        <w:gridCol w:w="898"/>
        <w:gridCol w:w="1323"/>
        <w:gridCol w:w="1464"/>
        <w:gridCol w:w="1323"/>
        <w:gridCol w:w="1311"/>
        <w:gridCol w:w="1771"/>
      </w:tblGrid>
      <w:tr w:rsidR="008A1EDA" w:rsidRPr="007A63C2" w14:paraId="079A7239" w14:textId="77777777" w:rsidTr="00DE4BFE">
        <w:trPr>
          <w:trHeight w:val="228"/>
        </w:trPr>
        <w:tc>
          <w:tcPr>
            <w:tcW w:w="1551" w:type="dxa"/>
            <w:vMerge w:val="restart"/>
            <w:vAlign w:val="center"/>
          </w:tcPr>
          <w:p w14:paraId="5830EA8A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Age group (years)</w:t>
            </w:r>
          </w:p>
        </w:tc>
        <w:tc>
          <w:tcPr>
            <w:tcW w:w="3964" w:type="dxa"/>
            <w:gridSpan w:val="3"/>
          </w:tcPr>
          <w:p w14:paraId="67A288C5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Barcelona</w:t>
            </w:r>
          </w:p>
        </w:tc>
        <w:tc>
          <w:tcPr>
            <w:tcW w:w="3685" w:type="dxa"/>
            <w:gridSpan w:val="3"/>
          </w:tcPr>
          <w:p w14:paraId="6165E93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Madrid</w:t>
            </w:r>
          </w:p>
        </w:tc>
        <w:tc>
          <w:tcPr>
            <w:tcW w:w="4405" w:type="dxa"/>
            <w:gridSpan w:val="3"/>
          </w:tcPr>
          <w:p w14:paraId="1DB0182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CSISP Valencia</w:t>
            </w:r>
          </w:p>
        </w:tc>
      </w:tr>
      <w:tr w:rsidR="008A1EDA" w:rsidRPr="007A63C2" w14:paraId="4A5EF795" w14:textId="77777777" w:rsidTr="00DE4BFE">
        <w:trPr>
          <w:trHeight w:val="412"/>
        </w:trPr>
        <w:tc>
          <w:tcPr>
            <w:tcW w:w="1551" w:type="dxa"/>
            <w:vMerge/>
          </w:tcPr>
          <w:p w14:paraId="4B1CAC14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</w:p>
        </w:tc>
        <w:tc>
          <w:tcPr>
            <w:tcW w:w="971" w:type="dxa"/>
          </w:tcPr>
          <w:p w14:paraId="26025E06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N</w:t>
            </w:r>
          </w:p>
        </w:tc>
        <w:tc>
          <w:tcPr>
            <w:tcW w:w="1393" w:type="dxa"/>
            <w:vAlign w:val="center"/>
          </w:tcPr>
          <w:p w14:paraId="43DDCF17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Incidence per 1</w:t>
            </w:r>
            <w:r>
              <w:rPr>
                <w:b/>
                <w:szCs w:val="24"/>
              </w:rPr>
              <w:t>,</w:t>
            </w:r>
            <w:r w:rsidRPr="00AA698F">
              <w:rPr>
                <w:b/>
                <w:szCs w:val="24"/>
              </w:rPr>
              <w:t>000 PY</w:t>
            </w:r>
          </w:p>
        </w:tc>
        <w:tc>
          <w:tcPr>
            <w:tcW w:w="1600" w:type="dxa"/>
            <w:vAlign w:val="center"/>
          </w:tcPr>
          <w:p w14:paraId="2F5E8710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95% CI</w:t>
            </w:r>
          </w:p>
        </w:tc>
        <w:tc>
          <w:tcPr>
            <w:tcW w:w="898" w:type="dxa"/>
          </w:tcPr>
          <w:p w14:paraId="5870454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N</w:t>
            </w:r>
          </w:p>
        </w:tc>
        <w:tc>
          <w:tcPr>
            <w:tcW w:w="1323" w:type="dxa"/>
            <w:vAlign w:val="center"/>
          </w:tcPr>
          <w:p w14:paraId="661DC3A6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Incidence per 1</w:t>
            </w:r>
            <w:r>
              <w:rPr>
                <w:b/>
                <w:szCs w:val="24"/>
              </w:rPr>
              <w:t>,</w:t>
            </w:r>
            <w:r w:rsidRPr="00AA698F">
              <w:rPr>
                <w:b/>
                <w:szCs w:val="24"/>
              </w:rPr>
              <w:t>000 PY</w:t>
            </w:r>
          </w:p>
        </w:tc>
        <w:tc>
          <w:tcPr>
            <w:tcW w:w="1464" w:type="dxa"/>
            <w:vAlign w:val="center"/>
          </w:tcPr>
          <w:p w14:paraId="1EE7ACDF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95% CI</w:t>
            </w:r>
          </w:p>
        </w:tc>
        <w:tc>
          <w:tcPr>
            <w:tcW w:w="1323" w:type="dxa"/>
          </w:tcPr>
          <w:p w14:paraId="38DF9A43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N</w:t>
            </w:r>
          </w:p>
        </w:tc>
        <w:tc>
          <w:tcPr>
            <w:tcW w:w="1311" w:type="dxa"/>
            <w:vAlign w:val="center"/>
          </w:tcPr>
          <w:p w14:paraId="752DDF7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Incidence per 1</w:t>
            </w:r>
            <w:r>
              <w:rPr>
                <w:b/>
                <w:szCs w:val="24"/>
              </w:rPr>
              <w:t>,</w:t>
            </w:r>
            <w:r w:rsidRPr="00AA698F">
              <w:rPr>
                <w:b/>
                <w:szCs w:val="24"/>
              </w:rPr>
              <w:t>000 PY</w:t>
            </w:r>
          </w:p>
        </w:tc>
        <w:tc>
          <w:tcPr>
            <w:tcW w:w="1771" w:type="dxa"/>
            <w:vAlign w:val="center"/>
          </w:tcPr>
          <w:p w14:paraId="7BE2E45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95% CI</w:t>
            </w:r>
          </w:p>
        </w:tc>
      </w:tr>
      <w:tr w:rsidR="008A1EDA" w:rsidRPr="007A63C2" w14:paraId="4BB69A56" w14:textId="77777777" w:rsidTr="00DE4BFE">
        <w:trPr>
          <w:trHeight w:val="394"/>
        </w:trPr>
        <w:tc>
          <w:tcPr>
            <w:tcW w:w="1551" w:type="dxa"/>
            <w:vAlign w:val="center"/>
          </w:tcPr>
          <w:p w14:paraId="384CF375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 xml:space="preserve">50–54 </w:t>
            </w:r>
          </w:p>
        </w:tc>
        <w:tc>
          <w:tcPr>
            <w:tcW w:w="971" w:type="dxa"/>
          </w:tcPr>
          <w:p w14:paraId="7B24B1A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15</w:t>
            </w:r>
          </w:p>
        </w:tc>
        <w:tc>
          <w:tcPr>
            <w:tcW w:w="1393" w:type="dxa"/>
          </w:tcPr>
          <w:p w14:paraId="49C07849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2.13</w:t>
            </w:r>
          </w:p>
        </w:tc>
        <w:tc>
          <w:tcPr>
            <w:tcW w:w="1600" w:type="dxa"/>
          </w:tcPr>
          <w:p w14:paraId="77D364E7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1.19–3.51</w:t>
            </w:r>
          </w:p>
        </w:tc>
        <w:tc>
          <w:tcPr>
            <w:tcW w:w="898" w:type="dxa"/>
          </w:tcPr>
          <w:p w14:paraId="03D2F0B3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21</w:t>
            </w:r>
          </w:p>
        </w:tc>
        <w:tc>
          <w:tcPr>
            <w:tcW w:w="1323" w:type="dxa"/>
          </w:tcPr>
          <w:p w14:paraId="4E68C36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2.55</w:t>
            </w:r>
          </w:p>
        </w:tc>
        <w:tc>
          <w:tcPr>
            <w:tcW w:w="1464" w:type="dxa"/>
          </w:tcPr>
          <w:p w14:paraId="241CAE4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1.58–3.90</w:t>
            </w:r>
          </w:p>
        </w:tc>
        <w:tc>
          <w:tcPr>
            <w:tcW w:w="1323" w:type="dxa"/>
          </w:tcPr>
          <w:p w14:paraId="7B573A5A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8</w:t>
            </w:r>
          </w:p>
        </w:tc>
        <w:tc>
          <w:tcPr>
            <w:tcW w:w="1311" w:type="dxa"/>
          </w:tcPr>
          <w:p w14:paraId="5C6676FE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3.89</w:t>
            </w:r>
          </w:p>
        </w:tc>
        <w:tc>
          <w:tcPr>
            <w:tcW w:w="1771" w:type="dxa"/>
          </w:tcPr>
          <w:p w14:paraId="61EFE87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1.68–7.66</w:t>
            </w:r>
          </w:p>
        </w:tc>
      </w:tr>
      <w:tr w:rsidR="008A1EDA" w:rsidRPr="007A63C2" w14:paraId="462C5234" w14:textId="77777777" w:rsidTr="00DE4BFE">
        <w:trPr>
          <w:trHeight w:val="403"/>
        </w:trPr>
        <w:tc>
          <w:tcPr>
            <w:tcW w:w="1551" w:type="dxa"/>
            <w:vAlign w:val="center"/>
          </w:tcPr>
          <w:p w14:paraId="374BC569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55–59</w:t>
            </w:r>
          </w:p>
        </w:tc>
        <w:tc>
          <w:tcPr>
            <w:tcW w:w="971" w:type="dxa"/>
          </w:tcPr>
          <w:p w14:paraId="70E123C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18</w:t>
            </w:r>
          </w:p>
        </w:tc>
        <w:tc>
          <w:tcPr>
            <w:tcW w:w="1393" w:type="dxa"/>
          </w:tcPr>
          <w:p w14:paraId="0825C8C9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2.87</w:t>
            </w:r>
          </w:p>
        </w:tc>
        <w:tc>
          <w:tcPr>
            <w:tcW w:w="1600" w:type="dxa"/>
          </w:tcPr>
          <w:p w14:paraId="2C946B83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1.70–4.54</w:t>
            </w:r>
          </w:p>
        </w:tc>
        <w:tc>
          <w:tcPr>
            <w:tcW w:w="898" w:type="dxa"/>
          </w:tcPr>
          <w:p w14:paraId="54ED45AC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33</w:t>
            </w:r>
          </w:p>
        </w:tc>
        <w:tc>
          <w:tcPr>
            <w:tcW w:w="1323" w:type="dxa"/>
          </w:tcPr>
          <w:p w14:paraId="2D96C375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4.59</w:t>
            </w:r>
          </w:p>
        </w:tc>
        <w:tc>
          <w:tcPr>
            <w:tcW w:w="1464" w:type="dxa"/>
          </w:tcPr>
          <w:p w14:paraId="0BD52F8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3.16–6.45</w:t>
            </w:r>
          </w:p>
        </w:tc>
        <w:tc>
          <w:tcPr>
            <w:tcW w:w="1323" w:type="dxa"/>
          </w:tcPr>
          <w:p w14:paraId="0C8D2796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12</w:t>
            </w:r>
          </w:p>
        </w:tc>
        <w:tc>
          <w:tcPr>
            <w:tcW w:w="1311" w:type="dxa"/>
          </w:tcPr>
          <w:p w14:paraId="1E345B4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7.51</w:t>
            </w:r>
          </w:p>
        </w:tc>
        <w:tc>
          <w:tcPr>
            <w:tcW w:w="1771" w:type="dxa"/>
          </w:tcPr>
          <w:p w14:paraId="599F0FC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3.88–13.13</w:t>
            </w:r>
          </w:p>
        </w:tc>
      </w:tr>
      <w:tr w:rsidR="008A1EDA" w:rsidRPr="007A63C2" w14:paraId="711134A5" w14:textId="77777777" w:rsidTr="00DE4BFE">
        <w:trPr>
          <w:trHeight w:val="394"/>
        </w:trPr>
        <w:tc>
          <w:tcPr>
            <w:tcW w:w="1551" w:type="dxa"/>
            <w:vAlign w:val="center"/>
          </w:tcPr>
          <w:p w14:paraId="2D5A6EBB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60–64</w:t>
            </w:r>
          </w:p>
        </w:tc>
        <w:tc>
          <w:tcPr>
            <w:tcW w:w="971" w:type="dxa"/>
          </w:tcPr>
          <w:p w14:paraId="0156CD9C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18</w:t>
            </w:r>
          </w:p>
        </w:tc>
        <w:tc>
          <w:tcPr>
            <w:tcW w:w="1393" w:type="dxa"/>
          </w:tcPr>
          <w:p w14:paraId="7A1A8CB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3.26</w:t>
            </w:r>
          </w:p>
        </w:tc>
        <w:tc>
          <w:tcPr>
            <w:tcW w:w="1600" w:type="dxa"/>
          </w:tcPr>
          <w:p w14:paraId="67947D40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1.93–5.15</w:t>
            </w:r>
          </w:p>
        </w:tc>
        <w:tc>
          <w:tcPr>
            <w:tcW w:w="898" w:type="dxa"/>
          </w:tcPr>
          <w:p w14:paraId="4695FDE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29</w:t>
            </w:r>
          </w:p>
        </w:tc>
        <w:tc>
          <w:tcPr>
            <w:tcW w:w="1323" w:type="dxa"/>
          </w:tcPr>
          <w:p w14:paraId="033A7837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4.5</w:t>
            </w:r>
            <w:r>
              <w:t>0</w:t>
            </w:r>
          </w:p>
        </w:tc>
        <w:tc>
          <w:tcPr>
            <w:tcW w:w="1464" w:type="dxa"/>
          </w:tcPr>
          <w:p w14:paraId="75227BA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3.01–6.46</w:t>
            </w:r>
          </w:p>
        </w:tc>
        <w:tc>
          <w:tcPr>
            <w:tcW w:w="1323" w:type="dxa"/>
          </w:tcPr>
          <w:p w14:paraId="46EF36F9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11</w:t>
            </w:r>
          </w:p>
        </w:tc>
        <w:tc>
          <w:tcPr>
            <w:tcW w:w="1311" w:type="dxa"/>
          </w:tcPr>
          <w:p w14:paraId="621CD5EE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8.25</w:t>
            </w:r>
          </w:p>
        </w:tc>
        <w:tc>
          <w:tcPr>
            <w:tcW w:w="1771" w:type="dxa"/>
          </w:tcPr>
          <w:p w14:paraId="074805BF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4.12–14.75</w:t>
            </w:r>
          </w:p>
        </w:tc>
      </w:tr>
      <w:tr w:rsidR="008A1EDA" w:rsidRPr="007A63C2" w14:paraId="74CF1B76" w14:textId="77777777" w:rsidTr="00DE4BFE">
        <w:trPr>
          <w:trHeight w:val="403"/>
        </w:trPr>
        <w:tc>
          <w:tcPr>
            <w:tcW w:w="1551" w:type="dxa"/>
            <w:vAlign w:val="center"/>
          </w:tcPr>
          <w:p w14:paraId="3C1D89FD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65–69</w:t>
            </w:r>
          </w:p>
        </w:tc>
        <w:tc>
          <w:tcPr>
            <w:tcW w:w="971" w:type="dxa"/>
          </w:tcPr>
          <w:p w14:paraId="5443860D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22</w:t>
            </w:r>
          </w:p>
        </w:tc>
        <w:tc>
          <w:tcPr>
            <w:tcW w:w="1393" w:type="dxa"/>
          </w:tcPr>
          <w:p w14:paraId="3D7A841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4.00</w:t>
            </w:r>
          </w:p>
        </w:tc>
        <w:tc>
          <w:tcPr>
            <w:tcW w:w="1600" w:type="dxa"/>
          </w:tcPr>
          <w:p w14:paraId="2029C790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2.51–6.06</w:t>
            </w:r>
          </w:p>
        </w:tc>
        <w:tc>
          <w:tcPr>
            <w:tcW w:w="898" w:type="dxa"/>
          </w:tcPr>
          <w:p w14:paraId="7DD9A00C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43</w:t>
            </w:r>
          </w:p>
        </w:tc>
        <w:tc>
          <w:tcPr>
            <w:tcW w:w="1323" w:type="dxa"/>
          </w:tcPr>
          <w:p w14:paraId="20DDEA2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7.03</w:t>
            </w:r>
          </w:p>
        </w:tc>
        <w:tc>
          <w:tcPr>
            <w:tcW w:w="1464" w:type="dxa"/>
          </w:tcPr>
          <w:p w14:paraId="7C6D263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5.08–9.46</w:t>
            </w:r>
          </w:p>
        </w:tc>
        <w:tc>
          <w:tcPr>
            <w:tcW w:w="1323" w:type="dxa"/>
          </w:tcPr>
          <w:p w14:paraId="025F3D4F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12</w:t>
            </w:r>
          </w:p>
        </w:tc>
        <w:tc>
          <w:tcPr>
            <w:tcW w:w="1311" w:type="dxa"/>
          </w:tcPr>
          <w:p w14:paraId="1ABFBDF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8.88</w:t>
            </w:r>
          </w:p>
        </w:tc>
        <w:tc>
          <w:tcPr>
            <w:tcW w:w="1771" w:type="dxa"/>
          </w:tcPr>
          <w:p w14:paraId="48E78466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4.59–15.50</w:t>
            </w:r>
          </w:p>
        </w:tc>
      </w:tr>
      <w:tr w:rsidR="008A1EDA" w:rsidRPr="007A63C2" w14:paraId="3C8F3E47" w14:textId="77777777" w:rsidTr="00DE4BFE">
        <w:trPr>
          <w:trHeight w:val="394"/>
        </w:trPr>
        <w:tc>
          <w:tcPr>
            <w:tcW w:w="1551" w:type="dxa"/>
            <w:vAlign w:val="center"/>
          </w:tcPr>
          <w:p w14:paraId="485D78F9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70–74</w:t>
            </w:r>
          </w:p>
        </w:tc>
        <w:tc>
          <w:tcPr>
            <w:tcW w:w="971" w:type="dxa"/>
          </w:tcPr>
          <w:p w14:paraId="44F6D31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23</w:t>
            </w:r>
          </w:p>
        </w:tc>
        <w:tc>
          <w:tcPr>
            <w:tcW w:w="1393" w:type="dxa"/>
          </w:tcPr>
          <w:p w14:paraId="4C0C9250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4.92</w:t>
            </w:r>
          </w:p>
        </w:tc>
        <w:tc>
          <w:tcPr>
            <w:tcW w:w="1600" w:type="dxa"/>
          </w:tcPr>
          <w:p w14:paraId="1955DE0F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3.12–7.39</w:t>
            </w:r>
          </w:p>
        </w:tc>
        <w:tc>
          <w:tcPr>
            <w:tcW w:w="898" w:type="dxa"/>
          </w:tcPr>
          <w:p w14:paraId="0E34948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33</w:t>
            </w:r>
          </w:p>
        </w:tc>
        <w:tc>
          <w:tcPr>
            <w:tcW w:w="1323" w:type="dxa"/>
          </w:tcPr>
          <w:p w14:paraId="1231F567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7.17</w:t>
            </w:r>
          </w:p>
        </w:tc>
        <w:tc>
          <w:tcPr>
            <w:tcW w:w="1464" w:type="dxa"/>
          </w:tcPr>
          <w:p w14:paraId="21A03069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4.94–10.07</w:t>
            </w:r>
          </w:p>
        </w:tc>
        <w:tc>
          <w:tcPr>
            <w:tcW w:w="1323" w:type="dxa"/>
          </w:tcPr>
          <w:p w14:paraId="196DE445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9</w:t>
            </w:r>
          </w:p>
        </w:tc>
        <w:tc>
          <w:tcPr>
            <w:tcW w:w="1311" w:type="dxa"/>
          </w:tcPr>
          <w:p w14:paraId="27DAE06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7.64</w:t>
            </w:r>
          </w:p>
        </w:tc>
        <w:tc>
          <w:tcPr>
            <w:tcW w:w="1771" w:type="dxa"/>
          </w:tcPr>
          <w:p w14:paraId="12E028F0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3.49–14.50</w:t>
            </w:r>
          </w:p>
        </w:tc>
      </w:tr>
      <w:tr w:rsidR="008A1EDA" w:rsidRPr="007A63C2" w14:paraId="692FCD05" w14:textId="77777777" w:rsidTr="00DE4BFE">
        <w:trPr>
          <w:trHeight w:val="394"/>
        </w:trPr>
        <w:tc>
          <w:tcPr>
            <w:tcW w:w="1551" w:type="dxa"/>
            <w:vAlign w:val="center"/>
          </w:tcPr>
          <w:p w14:paraId="5E550162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75–79</w:t>
            </w:r>
          </w:p>
        </w:tc>
        <w:tc>
          <w:tcPr>
            <w:tcW w:w="971" w:type="dxa"/>
          </w:tcPr>
          <w:p w14:paraId="7E22F366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21</w:t>
            </w:r>
          </w:p>
        </w:tc>
        <w:tc>
          <w:tcPr>
            <w:tcW w:w="1393" w:type="dxa"/>
          </w:tcPr>
          <w:p w14:paraId="1DE0985A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5.66</w:t>
            </w:r>
          </w:p>
        </w:tc>
        <w:tc>
          <w:tcPr>
            <w:tcW w:w="1600" w:type="dxa"/>
          </w:tcPr>
          <w:p w14:paraId="4C4177C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3.50–8.65</w:t>
            </w:r>
          </w:p>
        </w:tc>
        <w:tc>
          <w:tcPr>
            <w:tcW w:w="898" w:type="dxa"/>
          </w:tcPr>
          <w:p w14:paraId="069C16C3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26</w:t>
            </w:r>
          </w:p>
        </w:tc>
        <w:tc>
          <w:tcPr>
            <w:tcW w:w="1323" w:type="dxa"/>
          </w:tcPr>
          <w:p w14:paraId="2D21DCAE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6.11</w:t>
            </w:r>
          </w:p>
        </w:tc>
        <w:tc>
          <w:tcPr>
            <w:tcW w:w="1464" w:type="dxa"/>
          </w:tcPr>
          <w:p w14:paraId="071BCEA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3.99–8.95</w:t>
            </w:r>
          </w:p>
        </w:tc>
        <w:tc>
          <w:tcPr>
            <w:tcW w:w="1323" w:type="dxa"/>
          </w:tcPr>
          <w:p w14:paraId="50D30B5F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11</w:t>
            </w:r>
          </w:p>
        </w:tc>
        <w:tc>
          <w:tcPr>
            <w:tcW w:w="1311" w:type="dxa"/>
          </w:tcPr>
          <w:p w14:paraId="4B681247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10.1</w:t>
            </w:r>
            <w:r>
              <w:t>0</w:t>
            </w:r>
          </w:p>
        </w:tc>
        <w:tc>
          <w:tcPr>
            <w:tcW w:w="1771" w:type="dxa"/>
          </w:tcPr>
          <w:p w14:paraId="729214A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5.04–18.07</w:t>
            </w:r>
          </w:p>
        </w:tc>
      </w:tr>
      <w:tr w:rsidR="008A1EDA" w:rsidRPr="007A63C2" w14:paraId="459E42D3" w14:textId="77777777" w:rsidTr="00DE4BFE">
        <w:trPr>
          <w:trHeight w:val="69"/>
        </w:trPr>
        <w:tc>
          <w:tcPr>
            <w:tcW w:w="1551" w:type="dxa"/>
            <w:vAlign w:val="center"/>
          </w:tcPr>
          <w:p w14:paraId="69D91E0B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 w:rsidRPr="00AA698F">
              <w:rPr>
                <w:b/>
                <w:szCs w:val="24"/>
              </w:rPr>
              <w:t>≥80</w:t>
            </w:r>
          </w:p>
        </w:tc>
        <w:tc>
          <w:tcPr>
            <w:tcW w:w="971" w:type="dxa"/>
          </w:tcPr>
          <w:p w14:paraId="4962750C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30</w:t>
            </w:r>
          </w:p>
        </w:tc>
        <w:tc>
          <w:tcPr>
            <w:tcW w:w="1393" w:type="dxa"/>
          </w:tcPr>
          <w:p w14:paraId="61311A29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4.06</w:t>
            </w:r>
          </w:p>
        </w:tc>
        <w:tc>
          <w:tcPr>
            <w:tcW w:w="1600" w:type="dxa"/>
          </w:tcPr>
          <w:p w14:paraId="33C577B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2.74–5.79</w:t>
            </w:r>
          </w:p>
        </w:tc>
        <w:tc>
          <w:tcPr>
            <w:tcW w:w="898" w:type="dxa"/>
          </w:tcPr>
          <w:p w14:paraId="398E01F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50</w:t>
            </w:r>
          </w:p>
        </w:tc>
        <w:tc>
          <w:tcPr>
            <w:tcW w:w="1323" w:type="dxa"/>
          </w:tcPr>
          <w:p w14:paraId="17ED545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7.23</w:t>
            </w:r>
          </w:p>
        </w:tc>
        <w:tc>
          <w:tcPr>
            <w:tcW w:w="1464" w:type="dxa"/>
          </w:tcPr>
          <w:p w14:paraId="06C8722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5.37–9.54</w:t>
            </w:r>
          </w:p>
        </w:tc>
        <w:tc>
          <w:tcPr>
            <w:tcW w:w="1323" w:type="dxa"/>
          </w:tcPr>
          <w:p w14:paraId="52CF397F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14</w:t>
            </w:r>
          </w:p>
        </w:tc>
        <w:tc>
          <w:tcPr>
            <w:tcW w:w="1311" w:type="dxa"/>
          </w:tcPr>
          <w:p w14:paraId="72DDB159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8.61</w:t>
            </w:r>
          </w:p>
        </w:tc>
        <w:tc>
          <w:tcPr>
            <w:tcW w:w="1771" w:type="dxa"/>
          </w:tcPr>
          <w:p w14:paraId="3DE998F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4.71–14.45</w:t>
            </w:r>
          </w:p>
        </w:tc>
      </w:tr>
      <w:tr w:rsidR="008A1EDA" w:rsidRPr="007A63C2" w14:paraId="367C5A74" w14:textId="77777777" w:rsidTr="00DE4BFE">
        <w:trPr>
          <w:trHeight w:val="394"/>
        </w:trPr>
        <w:tc>
          <w:tcPr>
            <w:tcW w:w="1551" w:type="dxa"/>
            <w:vAlign w:val="center"/>
          </w:tcPr>
          <w:p w14:paraId="63768599" w14:textId="77777777" w:rsidR="008A1EDA" w:rsidRPr="00AA698F" w:rsidRDefault="008A1EDA" w:rsidP="00DE4BFE">
            <w:pPr>
              <w:spacing w:after="12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All </w:t>
            </w:r>
            <w:r w:rsidRPr="00E645F5">
              <w:rPr>
                <w:b/>
                <w:szCs w:val="24"/>
              </w:rPr>
              <w:t>≥</w:t>
            </w:r>
            <w:r>
              <w:rPr>
                <w:b/>
                <w:szCs w:val="24"/>
              </w:rPr>
              <w:t>5</w:t>
            </w:r>
            <w:r w:rsidRPr="00E645F5">
              <w:rPr>
                <w:b/>
                <w:szCs w:val="24"/>
              </w:rPr>
              <w:t>0</w:t>
            </w:r>
          </w:p>
        </w:tc>
        <w:tc>
          <w:tcPr>
            <w:tcW w:w="971" w:type="dxa"/>
          </w:tcPr>
          <w:p w14:paraId="54F01C77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147</w:t>
            </w:r>
          </w:p>
        </w:tc>
        <w:tc>
          <w:tcPr>
            <w:tcW w:w="1393" w:type="dxa"/>
          </w:tcPr>
          <w:p w14:paraId="1A80F1ED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3.67</w:t>
            </w:r>
          </w:p>
        </w:tc>
        <w:tc>
          <w:tcPr>
            <w:tcW w:w="1600" w:type="dxa"/>
          </w:tcPr>
          <w:p w14:paraId="5FCDCBC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787511">
              <w:t>3.10–4.31</w:t>
            </w:r>
          </w:p>
        </w:tc>
        <w:tc>
          <w:tcPr>
            <w:tcW w:w="898" w:type="dxa"/>
          </w:tcPr>
          <w:p w14:paraId="750F00A8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235</w:t>
            </w:r>
          </w:p>
        </w:tc>
        <w:tc>
          <w:tcPr>
            <w:tcW w:w="1323" w:type="dxa"/>
          </w:tcPr>
          <w:p w14:paraId="5B9920CB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5.37</w:t>
            </w:r>
          </w:p>
        </w:tc>
        <w:tc>
          <w:tcPr>
            <w:tcW w:w="1464" w:type="dxa"/>
          </w:tcPr>
          <w:p w14:paraId="1C8BFE04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F389D">
              <w:t>4.71–6.10</w:t>
            </w:r>
          </w:p>
        </w:tc>
        <w:tc>
          <w:tcPr>
            <w:tcW w:w="1323" w:type="dxa"/>
          </w:tcPr>
          <w:p w14:paraId="419C930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77</w:t>
            </w:r>
          </w:p>
        </w:tc>
        <w:tc>
          <w:tcPr>
            <w:tcW w:w="1311" w:type="dxa"/>
          </w:tcPr>
          <w:p w14:paraId="2EC06601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7.52</w:t>
            </w:r>
          </w:p>
        </w:tc>
        <w:tc>
          <w:tcPr>
            <w:tcW w:w="1771" w:type="dxa"/>
          </w:tcPr>
          <w:p w14:paraId="261609A2" w14:textId="77777777" w:rsidR="008A1EDA" w:rsidRPr="00AA698F" w:rsidRDefault="008A1EDA" w:rsidP="00DE4BFE">
            <w:pPr>
              <w:spacing w:after="120" w:line="240" w:lineRule="auto"/>
              <w:jc w:val="center"/>
              <w:rPr>
                <w:szCs w:val="24"/>
              </w:rPr>
            </w:pPr>
            <w:r w:rsidRPr="0017785B">
              <w:t>5.94–9.40</w:t>
            </w:r>
          </w:p>
        </w:tc>
      </w:tr>
    </w:tbl>
    <w:p w14:paraId="5BA6DC5F" w14:textId="77777777" w:rsidR="008A1EDA" w:rsidRPr="00AB338C" w:rsidRDefault="008A1EDA" w:rsidP="008A1EDA">
      <w:pPr>
        <w:spacing w:before="240" w:after="120"/>
        <w:rPr>
          <w:szCs w:val="24"/>
        </w:rPr>
      </w:pPr>
      <w:r w:rsidRPr="00A76516">
        <w:rPr>
          <w:szCs w:val="24"/>
        </w:rPr>
        <w:t xml:space="preserve">CI = Exact Poisson confidence interval; </w:t>
      </w:r>
      <w:r>
        <w:rPr>
          <w:rFonts w:eastAsia="Calibri"/>
          <w:szCs w:val="24"/>
        </w:rPr>
        <w:t xml:space="preserve">CSISP = </w:t>
      </w:r>
      <w:r w:rsidRPr="003C33DF">
        <w:rPr>
          <w:rFonts w:eastAsia="Arial Unicode MS"/>
          <w:szCs w:val="24"/>
          <w:shd w:val="clear" w:color="auto" w:fill="FFFFFF"/>
        </w:rPr>
        <w:t xml:space="preserve">Centro Superior de </w:t>
      </w:r>
      <w:proofErr w:type="spellStart"/>
      <w:r w:rsidRPr="003C33DF">
        <w:rPr>
          <w:rFonts w:eastAsia="Arial Unicode MS"/>
          <w:szCs w:val="24"/>
          <w:shd w:val="clear" w:color="auto" w:fill="FFFFFF"/>
        </w:rPr>
        <w:t>Investigacion</w:t>
      </w:r>
      <w:proofErr w:type="spellEnd"/>
      <w:r w:rsidRPr="003C33DF">
        <w:rPr>
          <w:rFonts w:eastAsia="Arial Unicode MS"/>
          <w:szCs w:val="24"/>
          <w:shd w:val="clear" w:color="auto" w:fill="FFFFFF"/>
        </w:rPr>
        <w:t xml:space="preserve"> </w:t>
      </w:r>
      <w:proofErr w:type="spellStart"/>
      <w:r w:rsidRPr="003C33DF">
        <w:rPr>
          <w:rFonts w:eastAsia="Arial Unicode MS"/>
          <w:szCs w:val="24"/>
          <w:shd w:val="clear" w:color="auto" w:fill="FFFFFF"/>
        </w:rPr>
        <w:t>en</w:t>
      </w:r>
      <w:proofErr w:type="spellEnd"/>
      <w:r w:rsidRPr="003C33DF">
        <w:rPr>
          <w:rFonts w:eastAsia="Arial Unicode MS"/>
          <w:szCs w:val="24"/>
          <w:shd w:val="clear" w:color="auto" w:fill="FFFFFF"/>
        </w:rPr>
        <w:t xml:space="preserve"> </w:t>
      </w:r>
      <w:proofErr w:type="spellStart"/>
      <w:r w:rsidRPr="003C33DF">
        <w:rPr>
          <w:rFonts w:eastAsia="Arial Unicode MS"/>
          <w:szCs w:val="24"/>
          <w:shd w:val="clear" w:color="auto" w:fill="FFFFFF"/>
        </w:rPr>
        <w:t>Salud</w:t>
      </w:r>
      <w:proofErr w:type="spellEnd"/>
      <w:r w:rsidRPr="003C33DF">
        <w:rPr>
          <w:rFonts w:eastAsia="Arial Unicode MS"/>
          <w:szCs w:val="24"/>
          <w:shd w:val="clear" w:color="auto" w:fill="FFFFFF"/>
        </w:rPr>
        <w:t xml:space="preserve"> </w:t>
      </w:r>
      <w:proofErr w:type="spellStart"/>
      <w:r w:rsidRPr="003C33DF">
        <w:rPr>
          <w:rFonts w:eastAsia="Arial Unicode MS"/>
          <w:szCs w:val="24"/>
          <w:shd w:val="clear" w:color="auto" w:fill="FFFFFF"/>
        </w:rPr>
        <w:t>Pública</w:t>
      </w:r>
      <w:proofErr w:type="spellEnd"/>
      <w:r>
        <w:rPr>
          <w:rFonts w:eastAsia="Arial Unicode MS"/>
          <w:szCs w:val="24"/>
          <w:shd w:val="clear" w:color="auto" w:fill="FFFFFF"/>
        </w:rPr>
        <w:t>;</w:t>
      </w:r>
      <w:r w:rsidRPr="00A76516">
        <w:rPr>
          <w:szCs w:val="24"/>
        </w:rPr>
        <w:t xml:space="preserve"> N = number of patients; PY = person-years</w:t>
      </w:r>
      <w:r>
        <w:rPr>
          <w:rFonts w:eastAsia="Calibri"/>
          <w:sz w:val="28"/>
          <w:szCs w:val="28"/>
        </w:rPr>
        <w:br w:type="page"/>
      </w:r>
    </w:p>
    <w:p w14:paraId="2B610640" w14:textId="77777777" w:rsidR="008A1EDA" w:rsidRDefault="008A1EDA" w:rsidP="008A1EDA">
      <w:pPr>
        <w:pStyle w:val="Heading2"/>
      </w:pPr>
      <w:r w:rsidRPr="006563E3">
        <w:lastRenderedPageBreak/>
        <w:t xml:space="preserve">Supplementary Figure </w:t>
      </w:r>
      <w:r>
        <w:t>1</w:t>
      </w:r>
      <w:r w:rsidRPr="00641F79">
        <w:t xml:space="preserve">. ZBPI </w:t>
      </w:r>
      <w:r>
        <w:t>questionnaire compliance across the study period (ATP cohort)</w:t>
      </w:r>
    </w:p>
    <w:p w14:paraId="443981A4" w14:textId="77777777" w:rsidR="008A1EDA" w:rsidRDefault="008A1EDA" w:rsidP="008A1EDA">
      <w:pPr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4C96E1E7" wp14:editId="53652F5C">
            <wp:extent cx="8599510" cy="4533900"/>
            <wp:effectExtent l="0" t="0" r="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 1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" t="4478" r="4514" b="4678"/>
                    <a:stretch/>
                  </pic:blipFill>
                  <pic:spPr bwMode="auto">
                    <a:xfrm>
                      <a:off x="0" y="0"/>
                      <a:ext cx="8602329" cy="453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F59DA" w14:textId="77777777" w:rsidR="008A1EDA" w:rsidRPr="0003445A" w:rsidRDefault="008A1EDA" w:rsidP="008A1EDA">
      <w:pPr>
        <w:rPr>
          <w:bCs/>
        </w:rPr>
      </w:pPr>
      <w:r w:rsidRPr="00B45272">
        <w:rPr>
          <w:rFonts w:eastAsia="Calibri"/>
          <w:szCs w:val="24"/>
        </w:rPr>
        <w:t xml:space="preserve">ATP = According to protocol; YOA = </w:t>
      </w:r>
      <w:r>
        <w:rPr>
          <w:rFonts w:eastAsia="Calibri"/>
          <w:szCs w:val="24"/>
        </w:rPr>
        <w:t>Y</w:t>
      </w:r>
      <w:r w:rsidRPr="00B45272">
        <w:rPr>
          <w:rFonts w:eastAsia="Calibri"/>
          <w:szCs w:val="24"/>
        </w:rPr>
        <w:t xml:space="preserve">ears of age; ZBPI = </w:t>
      </w:r>
      <w:r>
        <w:rPr>
          <w:rFonts w:eastAsia="Calibri"/>
          <w:szCs w:val="24"/>
        </w:rPr>
        <w:t>Z</w:t>
      </w:r>
      <w:r w:rsidRPr="00B45272">
        <w:rPr>
          <w:rFonts w:eastAsia="Calibri"/>
          <w:szCs w:val="24"/>
        </w:rPr>
        <w:t>oster brief pain inventory</w:t>
      </w:r>
    </w:p>
    <w:p w14:paraId="61A0D7E8" w14:textId="77777777" w:rsidR="00813ED0" w:rsidRDefault="00600312"/>
    <w:sectPr w:rsidR="00813ED0" w:rsidSect="008A1EDA">
      <w:pgSz w:w="15840" w:h="12240" w:orient="landscape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DA"/>
    <w:rsid w:val="00471943"/>
    <w:rsid w:val="00600312"/>
    <w:rsid w:val="006F7357"/>
    <w:rsid w:val="00851BFE"/>
    <w:rsid w:val="008A1EDA"/>
    <w:rsid w:val="00933E32"/>
    <w:rsid w:val="00D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0302"/>
  <w15:chartTrackingRefBased/>
  <w15:docId w15:val="{DA1B8F97-452A-4BBE-9514-D73F5B7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DA"/>
    <w:pPr>
      <w:spacing w:after="24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EDA"/>
    <w:pPr>
      <w:spacing w:after="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1EDA"/>
    <w:pPr>
      <w:outlineLvl w:val="1"/>
    </w:pPr>
    <w:rPr>
      <w:rFonts w:eastAsia="Arial Unicode MS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EDA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A1EDA"/>
    <w:rPr>
      <w:rFonts w:ascii="Times New Roman" w:eastAsia="Arial Unicode MS" w:hAnsi="Times New Roman" w:cs="Times New Roman"/>
      <w:b/>
      <w:i/>
      <w:iCs/>
      <w:sz w:val="26"/>
      <w:szCs w:val="26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A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Chaves Rodriguez</dc:creator>
  <cp:keywords/>
  <dc:description/>
  <cp:lastModifiedBy>ian</cp:lastModifiedBy>
  <cp:revision>2</cp:revision>
  <dcterms:created xsi:type="dcterms:W3CDTF">2021-11-22T15:24:00Z</dcterms:created>
  <dcterms:modified xsi:type="dcterms:W3CDTF">2021-11-22T15:24:00Z</dcterms:modified>
</cp:coreProperties>
</file>