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AE" w:rsidRDefault="002977AE" w:rsidP="002977AE">
      <w:pPr>
        <w:pStyle w:val="Sinespaciado"/>
        <w:spacing w:after="0" w:line="360" w:lineRule="auto"/>
        <w:rPr>
          <w:rFonts w:ascii="Arial" w:hAnsi="Arial" w:cs="Arial"/>
          <w:szCs w:val="20"/>
        </w:rPr>
      </w:pPr>
      <w:r>
        <w:rPr>
          <w:rFonts w:ascii="Arial" w:hAnsi="Arial" w:cs="Arial"/>
          <w:b/>
          <w:sz w:val="24"/>
        </w:rPr>
        <w:t>S</w:t>
      </w:r>
      <w:r>
        <w:rPr>
          <w:rFonts w:ascii="Arial" w:hAnsi="Arial" w:cs="Arial"/>
          <w:b/>
          <w:szCs w:val="20"/>
        </w:rPr>
        <w:t>UPLEMENTO ONLINE.</w:t>
      </w:r>
    </w:p>
    <w:p w:rsidR="002977AE" w:rsidRDefault="002977AE" w:rsidP="002977AE">
      <w:pPr>
        <w:spacing w:line="360" w:lineRule="auto"/>
        <w:rPr>
          <w:rFonts w:ascii="Arial" w:hAnsi="Arial" w:cs="Arial"/>
          <w:b/>
        </w:rPr>
      </w:pPr>
      <w:proofErr w:type="spellStart"/>
      <w:proofErr w:type="gramStart"/>
      <w:r>
        <w:rPr>
          <w:rFonts w:ascii="Arial" w:hAnsi="Arial" w:cs="Arial"/>
          <w:b/>
        </w:rPr>
        <w:t>Tabla</w:t>
      </w:r>
      <w:proofErr w:type="spellEnd"/>
      <w:r>
        <w:rPr>
          <w:rFonts w:ascii="Arial" w:hAnsi="Arial" w:cs="Arial"/>
          <w:b/>
        </w:rPr>
        <w:t xml:space="preserve"> 1S.</w:t>
      </w:r>
      <w:proofErr w:type="gramEnd"/>
      <w:r>
        <w:rPr>
          <w:rFonts w:ascii="Arial" w:hAnsi="Arial" w:cs="Arial"/>
          <w:b/>
        </w:rPr>
        <w:t xml:space="preserve">  </w:t>
      </w:r>
      <w:proofErr w:type="spellStart"/>
      <w:r>
        <w:rPr>
          <w:rFonts w:ascii="Arial" w:hAnsi="Arial" w:cs="Arial"/>
          <w:b/>
        </w:rPr>
        <w:t>Características</w:t>
      </w:r>
      <w:proofErr w:type="spellEnd"/>
      <w:r>
        <w:rPr>
          <w:rFonts w:ascii="Arial" w:hAnsi="Arial" w:cs="Arial"/>
          <w:b/>
        </w:rPr>
        <w:t xml:space="preserve"> y </w:t>
      </w:r>
      <w:proofErr w:type="spellStart"/>
      <w:r>
        <w:rPr>
          <w:rFonts w:ascii="Arial" w:hAnsi="Arial" w:cs="Arial"/>
          <w:b/>
        </w:rPr>
        <w:t>resultados</w:t>
      </w:r>
      <w:proofErr w:type="spellEnd"/>
      <w:r>
        <w:rPr>
          <w:rFonts w:ascii="Arial" w:hAnsi="Arial" w:cs="Arial"/>
          <w:b/>
        </w:rPr>
        <w:t xml:space="preserve"> de los </w:t>
      </w:r>
      <w:proofErr w:type="spellStart"/>
      <w:r>
        <w:rPr>
          <w:rFonts w:ascii="Arial" w:hAnsi="Arial" w:cs="Arial"/>
          <w:b/>
        </w:rPr>
        <w:t>estudios</w:t>
      </w:r>
      <w:proofErr w:type="spellEnd"/>
      <w:r>
        <w:rPr>
          <w:rFonts w:ascii="Arial" w:hAnsi="Arial" w:cs="Arial"/>
          <w:b/>
        </w:rPr>
        <w:t xml:space="preserve"> de </w:t>
      </w:r>
      <w:proofErr w:type="spellStart"/>
      <w:r>
        <w:rPr>
          <w:rFonts w:ascii="Arial" w:hAnsi="Arial" w:cs="Arial"/>
          <w:b/>
        </w:rPr>
        <w:t>comparación</w:t>
      </w:r>
      <w:proofErr w:type="spellEnd"/>
      <w:r>
        <w:rPr>
          <w:rFonts w:ascii="Arial" w:hAnsi="Arial" w:cs="Arial"/>
          <w:b/>
        </w:rPr>
        <w:t xml:space="preserve"> </w:t>
      </w:r>
      <w:proofErr w:type="spellStart"/>
      <w:r>
        <w:rPr>
          <w:rFonts w:ascii="Arial" w:hAnsi="Arial" w:cs="Arial"/>
          <w:b/>
        </w:rPr>
        <w:t>directa</w:t>
      </w:r>
      <w:proofErr w:type="spellEnd"/>
      <w:r>
        <w:rPr>
          <w:rFonts w:ascii="Arial" w:hAnsi="Arial" w:cs="Arial"/>
          <w:b/>
        </w:rPr>
        <w:t xml:space="preserve"> entre la EBUS-TBNA y la </w:t>
      </w:r>
      <w:proofErr w:type="spellStart"/>
      <w:r>
        <w:rPr>
          <w:rFonts w:ascii="Arial" w:hAnsi="Arial" w:cs="Arial"/>
          <w:b/>
        </w:rPr>
        <w:t>mediastinoscopia</w:t>
      </w:r>
      <w:proofErr w:type="spellEnd"/>
      <w:r>
        <w:rPr>
          <w:rFonts w:ascii="Arial" w:hAnsi="Arial" w:cs="Arial"/>
          <w:b/>
        </w:rPr>
        <w:t xml:space="preserve"> </w:t>
      </w:r>
      <w:proofErr w:type="spellStart"/>
      <w:r>
        <w:rPr>
          <w:rFonts w:ascii="Arial" w:hAnsi="Arial" w:cs="Arial"/>
          <w:b/>
        </w:rPr>
        <w:t>para</w:t>
      </w:r>
      <w:proofErr w:type="spellEnd"/>
      <w:r>
        <w:rPr>
          <w:rFonts w:ascii="Arial" w:hAnsi="Arial" w:cs="Arial"/>
          <w:b/>
        </w:rPr>
        <w:t xml:space="preserve"> la </w:t>
      </w:r>
      <w:proofErr w:type="spellStart"/>
      <w:r>
        <w:rPr>
          <w:rFonts w:ascii="Arial" w:hAnsi="Arial" w:cs="Arial"/>
          <w:b/>
        </w:rPr>
        <w:t>estadificación</w:t>
      </w:r>
      <w:proofErr w:type="spellEnd"/>
      <w:r>
        <w:rPr>
          <w:rFonts w:ascii="Arial" w:hAnsi="Arial" w:cs="Arial"/>
          <w:b/>
        </w:rPr>
        <w:t xml:space="preserve"> </w:t>
      </w:r>
      <w:proofErr w:type="spellStart"/>
      <w:r>
        <w:rPr>
          <w:rFonts w:ascii="Arial" w:hAnsi="Arial" w:cs="Arial"/>
          <w:b/>
        </w:rPr>
        <w:t>mediastínica</w:t>
      </w:r>
      <w:proofErr w:type="spellEnd"/>
      <w:r>
        <w:rPr>
          <w:rFonts w:ascii="Arial" w:hAnsi="Arial" w:cs="Arial"/>
          <w:b/>
        </w:rPr>
        <w:t xml:space="preserve"> </w:t>
      </w:r>
      <w:proofErr w:type="gramStart"/>
      <w:r>
        <w:rPr>
          <w:rFonts w:ascii="Arial" w:hAnsi="Arial" w:cs="Arial"/>
          <w:b/>
        </w:rPr>
        <w:t>del</w:t>
      </w:r>
      <w:proofErr w:type="gramEnd"/>
      <w:r>
        <w:rPr>
          <w:rFonts w:ascii="Arial" w:hAnsi="Arial" w:cs="Arial"/>
          <w:b/>
        </w:rPr>
        <w:t xml:space="preserve"> </w:t>
      </w:r>
      <w:proofErr w:type="spellStart"/>
      <w:r>
        <w:rPr>
          <w:rFonts w:ascii="Arial" w:hAnsi="Arial" w:cs="Arial"/>
          <w:b/>
        </w:rPr>
        <w:t>cáncer</w:t>
      </w:r>
      <w:proofErr w:type="spellEnd"/>
      <w:r>
        <w:rPr>
          <w:rFonts w:ascii="Arial" w:hAnsi="Arial" w:cs="Arial"/>
          <w:b/>
        </w:rPr>
        <w:t xml:space="preserve"> de </w:t>
      </w:r>
      <w:proofErr w:type="spellStart"/>
      <w:r>
        <w:rPr>
          <w:rFonts w:ascii="Arial" w:hAnsi="Arial" w:cs="Arial"/>
          <w:b/>
        </w:rPr>
        <w:t>pulmón</w:t>
      </w:r>
      <w:proofErr w:type="spellEnd"/>
      <w:r>
        <w:rPr>
          <w:rFonts w:ascii="Arial" w:hAnsi="Arial" w:cs="Arial"/>
          <w:b/>
        </w:rPr>
        <w:t>.</w:t>
      </w:r>
    </w:p>
    <w:p w:rsidR="002977AE" w:rsidRDefault="002977AE" w:rsidP="002977AE">
      <w:pPr>
        <w:spacing w:line="360" w:lineRule="auto"/>
        <w:rPr>
          <w:rFonts w:ascii="Arial" w:hAnsi="Arial" w:cs="Arial"/>
          <w:b/>
        </w:rPr>
      </w:pPr>
    </w:p>
    <w:tbl>
      <w:tblPr>
        <w:tblW w:w="8717" w:type="dxa"/>
        <w:jc w:val="center"/>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1239"/>
        <w:gridCol w:w="1134"/>
        <w:gridCol w:w="850"/>
        <w:gridCol w:w="993"/>
        <w:gridCol w:w="992"/>
      </w:tblGrid>
      <w:tr w:rsidR="002977AE" w:rsidTr="00E653B3">
        <w:trPr>
          <w:cantSplit/>
          <w:trHeight w:val="250"/>
          <w:jc w:val="center"/>
        </w:trPr>
        <w:tc>
          <w:tcPr>
            <w:tcW w:w="1950" w:type="dxa"/>
            <w:vMerge w:val="restart"/>
            <w:vAlign w:val="center"/>
          </w:tcPr>
          <w:p w:rsidR="002977AE" w:rsidRDefault="002977AE" w:rsidP="00E653B3">
            <w:pPr>
              <w:spacing w:line="360" w:lineRule="auto"/>
              <w:jc w:val="center"/>
              <w:rPr>
                <w:rFonts w:ascii="Arial" w:hAnsi="Arial" w:cs="Arial"/>
                <w:b/>
                <w:sz w:val="20"/>
              </w:rPr>
            </w:pPr>
            <w:proofErr w:type="spellStart"/>
            <w:r>
              <w:rPr>
                <w:rFonts w:ascii="Arial" w:hAnsi="Arial" w:cs="Arial"/>
                <w:b/>
                <w:sz w:val="20"/>
              </w:rPr>
              <w:t>Autor</w:t>
            </w:r>
            <w:proofErr w:type="spellEnd"/>
            <w:r>
              <w:rPr>
                <w:rFonts w:ascii="Arial" w:hAnsi="Arial" w:cs="Arial"/>
                <w:b/>
                <w:sz w:val="20"/>
              </w:rPr>
              <w:t xml:space="preserve">, </w:t>
            </w:r>
            <w:proofErr w:type="spellStart"/>
            <w:r>
              <w:rPr>
                <w:rFonts w:ascii="Arial" w:hAnsi="Arial" w:cs="Arial"/>
                <w:b/>
                <w:sz w:val="20"/>
              </w:rPr>
              <w:t>año</w:t>
            </w:r>
            <w:proofErr w:type="spellEnd"/>
          </w:p>
        </w:tc>
        <w:tc>
          <w:tcPr>
            <w:tcW w:w="1559" w:type="dxa"/>
            <w:vMerge w:val="restart"/>
            <w:vAlign w:val="center"/>
          </w:tcPr>
          <w:p w:rsidR="002977AE" w:rsidRDefault="002977AE" w:rsidP="00E653B3">
            <w:pPr>
              <w:spacing w:line="360" w:lineRule="auto"/>
              <w:jc w:val="center"/>
              <w:rPr>
                <w:rFonts w:ascii="Arial" w:hAnsi="Arial" w:cs="Arial"/>
                <w:b/>
                <w:sz w:val="20"/>
              </w:rPr>
            </w:pPr>
            <w:proofErr w:type="spellStart"/>
            <w:r>
              <w:rPr>
                <w:rFonts w:ascii="Arial" w:hAnsi="Arial" w:cs="Arial"/>
                <w:b/>
                <w:sz w:val="20"/>
              </w:rPr>
              <w:t>Diseño</w:t>
            </w:r>
            <w:proofErr w:type="spellEnd"/>
            <w:r>
              <w:rPr>
                <w:rFonts w:ascii="Arial" w:hAnsi="Arial" w:cs="Arial"/>
                <w:b/>
                <w:sz w:val="20"/>
              </w:rPr>
              <w:t xml:space="preserve"> </w:t>
            </w:r>
          </w:p>
        </w:tc>
        <w:tc>
          <w:tcPr>
            <w:tcW w:w="1239" w:type="dxa"/>
            <w:vMerge w:val="restart"/>
            <w:vAlign w:val="center"/>
          </w:tcPr>
          <w:p w:rsidR="002977AE" w:rsidRDefault="002977AE" w:rsidP="00E653B3">
            <w:pPr>
              <w:jc w:val="center"/>
              <w:rPr>
                <w:rFonts w:ascii="Arial" w:hAnsi="Arial" w:cs="Arial"/>
                <w:b/>
                <w:sz w:val="20"/>
              </w:rPr>
            </w:pPr>
            <w:r>
              <w:rPr>
                <w:rFonts w:ascii="Arial" w:hAnsi="Arial" w:cs="Arial"/>
                <w:b/>
                <w:sz w:val="20"/>
              </w:rPr>
              <w:t xml:space="preserve">Nº de </w:t>
            </w:r>
            <w:proofErr w:type="spellStart"/>
            <w:r>
              <w:rPr>
                <w:rFonts w:ascii="Arial" w:hAnsi="Arial" w:cs="Arial"/>
                <w:b/>
                <w:sz w:val="20"/>
              </w:rPr>
              <w:t>pacientes</w:t>
            </w:r>
            <w:proofErr w:type="spellEnd"/>
          </w:p>
        </w:tc>
        <w:tc>
          <w:tcPr>
            <w:tcW w:w="1984" w:type="dxa"/>
            <w:gridSpan w:val="2"/>
            <w:tcBorders>
              <w:bottom w:val="single" w:sz="4" w:space="0" w:color="auto"/>
            </w:tcBorders>
            <w:vAlign w:val="center"/>
          </w:tcPr>
          <w:p w:rsidR="002977AE" w:rsidRDefault="002977AE" w:rsidP="00E653B3">
            <w:pPr>
              <w:spacing w:line="360" w:lineRule="auto"/>
              <w:jc w:val="center"/>
              <w:rPr>
                <w:rFonts w:ascii="Arial" w:hAnsi="Arial" w:cs="Arial"/>
                <w:b/>
                <w:sz w:val="20"/>
              </w:rPr>
            </w:pPr>
            <w:r>
              <w:rPr>
                <w:rFonts w:ascii="Arial" w:hAnsi="Arial" w:cs="Arial"/>
                <w:b/>
                <w:sz w:val="20"/>
              </w:rPr>
              <w:t>S (%)</w:t>
            </w:r>
          </w:p>
        </w:tc>
        <w:tc>
          <w:tcPr>
            <w:tcW w:w="1985" w:type="dxa"/>
            <w:gridSpan w:val="2"/>
            <w:tcBorders>
              <w:bottom w:val="single" w:sz="4" w:space="0" w:color="auto"/>
            </w:tcBorders>
            <w:vAlign w:val="center"/>
          </w:tcPr>
          <w:p w:rsidR="002977AE" w:rsidRDefault="002977AE" w:rsidP="00E653B3">
            <w:pPr>
              <w:spacing w:line="360" w:lineRule="auto"/>
              <w:jc w:val="center"/>
              <w:rPr>
                <w:rFonts w:ascii="Arial" w:hAnsi="Arial" w:cs="Arial"/>
                <w:b/>
                <w:sz w:val="20"/>
              </w:rPr>
            </w:pPr>
            <w:r>
              <w:rPr>
                <w:rFonts w:ascii="Arial" w:hAnsi="Arial" w:cs="Arial"/>
                <w:b/>
                <w:sz w:val="20"/>
              </w:rPr>
              <w:t>RPN</w:t>
            </w:r>
          </w:p>
        </w:tc>
      </w:tr>
      <w:tr w:rsidR="002977AE" w:rsidTr="00E653B3">
        <w:trPr>
          <w:cantSplit/>
          <w:trHeight w:val="240"/>
          <w:jc w:val="center"/>
        </w:trPr>
        <w:tc>
          <w:tcPr>
            <w:tcW w:w="1950" w:type="dxa"/>
            <w:vMerge/>
            <w:vAlign w:val="center"/>
          </w:tcPr>
          <w:p w:rsidR="002977AE" w:rsidRDefault="002977AE" w:rsidP="00E653B3">
            <w:pPr>
              <w:spacing w:line="360" w:lineRule="auto"/>
              <w:jc w:val="center"/>
              <w:rPr>
                <w:rFonts w:ascii="Arial" w:hAnsi="Arial" w:cs="Arial"/>
                <w:b/>
                <w:sz w:val="20"/>
              </w:rPr>
            </w:pPr>
          </w:p>
        </w:tc>
        <w:tc>
          <w:tcPr>
            <w:tcW w:w="1559" w:type="dxa"/>
            <w:vMerge/>
            <w:vAlign w:val="center"/>
          </w:tcPr>
          <w:p w:rsidR="002977AE" w:rsidRDefault="002977AE" w:rsidP="00E653B3">
            <w:pPr>
              <w:spacing w:line="360" w:lineRule="auto"/>
              <w:jc w:val="center"/>
              <w:rPr>
                <w:rFonts w:ascii="Arial" w:hAnsi="Arial" w:cs="Arial"/>
                <w:b/>
                <w:sz w:val="20"/>
              </w:rPr>
            </w:pPr>
          </w:p>
        </w:tc>
        <w:tc>
          <w:tcPr>
            <w:tcW w:w="1239" w:type="dxa"/>
            <w:vMerge/>
            <w:vAlign w:val="center"/>
          </w:tcPr>
          <w:p w:rsidR="002977AE" w:rsidRDefault="002977AE" w:rsidP="00E653B3">
            <w:pPr>
              <w:jc w:val="center"/>
              <w:rPr>
                <w:rFonts w:ascii="Arial" w:hAnsi="Arial" w:cs="Arial"/>
                <w:sz w:val="20"/>
              </w:rPr>
            </w:pPr>
          </w:p>
        </w:tc>
        <w:tc>
          <w:tcPr>
            <w:tcW w:w="1134" w:type="dxa"/>
            <w:tcBorders>
              <w:top w:val="single" w:sz="4" w:space="0" w:color="auto"/>
              <w:right w:val="single" w:sz="4" w:space="0" w:color="auto"/>
            </w:tcBorders>
            <w:vAlign w:val="center"/>
          </w:tcPr>
          <w:p w:rsidR="002977AE" w:rsidRDefault="002977AE" w:rsidP="00E653B3">
            <w:pPr>
              <w:spacing w:line="360" w:lineRule="auto"/>
              <w:jc w:val="center"/>
              <w:rPr>
                <w:rFonts w:ascii="Arial" w:hAnsi="Arial" w:cs="Arial"/>
                <w:b/>
                <w:sz w:val="20"/>
              </w:rPr>
            </w:pPr>
            <w:r>
              <w:rPr>
                <w:rFonts w:ascii="Arial" w:hAnsi="Arial" w:cs="Arial"/>
                <w:b/>
                <w:sz w:val="20"/>
              </w:rPr>
              <w:t>EBUS</w:t>
            </w:r>
          </w:p>
        </w:tc>
        <w:tc>
          <w:tcPr>
            <w:tcW w:w="850" w:type="dxa"/>
            <w:tcBorders>
              <w:top w:val="single" w:sz="4" w:space="0" w:color="auto"/>
              <w:left w:val="single" w:sz="4" w:space="0" w:color="auto"/>
            </w:tcBorders>
            <w:vAlign w:val="center"/>
          </w:tcPr>
          <w:p w:rsidR="002977AE" w:rsidRDefault="002977AE" w:rsidP="00E653B3">
            <w:pPr>
              <w:spacing w:line="360" w:lineRule="auto"/>
              <w:jc w:val="center"/>
              <w:rPr>
                <w:rFonts w:ascii="Arial" w:hAnsi="Arial" w:cs="Arial"/>
                <w:b/>
                <w:sz w:val="20"/>
              </w:rPr>
            </w:pPr>
            <w:r>
              <w:rPr>
                <w:rFonts w:ascii="Arial" w:hAnsi="Arial" w:cs="Arial"/>
                <w:b/>
                <w:sz w:val="20"/>
              </w:rPr>
              <w:t>MED.</w:t>
            </w:r>
          </w:p>
        </w:tc>
        <w:tc>
          <w:tcPr>
            <w:tcW w:w="993" w:type="dxa"/>
            <w:tcBorders>
              <w:top w:val="single" w:sz="4" w:space="0" w:color="auto"/>
              <w:right w:val="single" w:sz="4" w:space="0" w:color="auto"/>
            </w:tcBorders>
            <w:vAlign w:val="center"/>
          </w:tcPr>
          <w:p w:rsidR="002977AE" w:rsidRDefault="002977AE" w:rsidP="00E653B3">
            <w:pPr>
              <w:spacing w:line="360" w:lineRule="auto"/>
              <w:jc w:val="center"/>
              <w:rPr>
                <w:rFonts w:ascii="Arial" w:hAnsi="Arial" w:cs="Arial"/>
                <w:b/>
                <w:sz w:val="20"/>
              </w:rPr>
            </w:pPr>
            <w:r>
              <w:rPr>
                <w:rFonts w:ascii="Arial" w:hAnsi="Arial" w:cs="Arial"/>
                <w:b/>
                <w:sz w:val="20"/>
              </w:rPr>
              <w:t>EBUS</w:t>
            </w:r>
          </w:p>
        </w:tc>
        <w:tc>
          <w:tcPr>
            <w:tcW w:w="992" w:type="dxa"/>
            <w:tcBorders>
              <w:top w:val="single" w:sz="4" w:space="0" w:color="auto"/>
              <w:left w:val="single" w:sz="4" w:space="0" w:color="auto"/>
            </w:tcBorders>
            <w:vAlign w:val="center"/>
          </w:tcPr>
          <w:p w:rsidR="002977AE" w:rsidRDefault="002977AE" w:rsidP="00E653B3">
            <w:pPr>
              <w:spacing w:line="360" w:lineRule="auto"/>
              <w:jc w:val="center"/>
              <w:rPr>
                <w:rFonts w:ascii="Arial" w:hAnsi="Arial" w:cs="Arial"/>
                <w:b/>
                <w:sz w:val="20"/>
              </w:rPr>
            </w:pPr>
            <w:r>
              <w:rPr>
                <w:rFonts w:ascii="Arial" w:hAnsi="Arial" w:cs="Arial"/>
                <w:b/>
                <w:sz w:val="20"/>
              </w:rPr>
              <w:t>MED.</w:t>
            </w:r>
          </w:p>
        </w:tc>
      </w:tr>
      <w:tr w:rsidR="002977AE" w:rsidTr="00E653B3">
        <w:trPr>
          <w:cantSplit/>
          <w:trHeight w:val="579"/>
          <w:jc w:val="center"/>
        </w:trPr>
        <w:tc>
          <w:tcPr>
            <w:tcW w:w="1950" w:type="dxa"/>
            <w:vAlign w:val="center"/>
          </w:tcPr>
          <w:p w:rsidR="002977AE" w:rsidRDefault="002977AE" w:rsidP="00E653B3">
            <w:pPr>
              <w:spacing w:line="360" w:lineRule="auto"/>
              <w:rPr>
                <w:rFonts w:ascii="Arial" w:hAnsi="Arial" w:cs="Arial"/>
                <w:sz w:val="20"/>
              </w:rPr>
            </w:pPr>
            <w:r>
              <w:rPr>
                <w:rFonts w:ascii="Arial" w:hAnsi="Arial" w:cs="Arial"/>
                <w:sz w:val="20"/>
              </w:rPr>
              <w:t xml:space="preserve">Ernst, 2008 </w:t>
            </w:r>
            <w:r>
              <w:rPr>
                <w:rFonts w:ascii="Arial" w:hAnsi="Arial" w:cs="Arial"/>
                <w:sz w:val="20"/>
              </w:rPr>
              <w:fldChar w:fldCharType="begin"/>
            </w:r>
            <w:r>
              <w:rPr>
                <w:rFonts w:ascii="Arial" w:hAnsi="Arial" w:cs="Arial"/>
                <w:sz w:val="20"/>
              </w:rPr>
              <w:instrText xml:space="preserve"> ADDIN ZOTERO_ITEM CSL_CITATION {"citationID":"1b95ml8m2n","properties":{"formattedCitation":"(26)","plainCitation":"(26)"},"citationItems":[{"id":69,"uris":["http://zotero.org/users/local/InV67C9x/items/G7VPNHKH"],"uri":["http://zotero.org/users/local/InV67C9x/items/G7VPNHKH"],"itemData":{"id":69,"type":"article-journal","title":"Diagnosis of mediastinal adenopathy-real-time endobronchial ultrasound guided needle aspiration versus mediastinoscopy","container-title":"Journal of Thoracic Oncology: Official Publication of the International Association for the Study of Lung Cancer","page":"577-582","volume":"3","issue":"6","source":"PubMed","abstract":"BACKGROUND: Real-time endobronchial ultrasound has increased the accuracy of conventional transbronchial needle aspiration biopsy in sampling mediastinal lymph nodes. Nevertheless, direct comparisons with mediastinoscopy are not available to determine the role of endobronchial ultrasound in pathologic staging.\nOBJECTIVES: To compare the diagnostic yield of endobronchial ultrasound against cervical mediastinoscopy in the diagnosis and staging of radiologically enlarged mediastinal lymph nodes stations accessible by both modalities in patients with suspected nonsmall cell lung cancer.\nMETHODS: Prospective, crossover trial with surgical lymph node dissection used as the accepted standard. Biopsy results of paratracheal and subcarinal lymph nodes were compared.\nRESULTS: Sixty-six patients with a mean age 60 +/- 10 years were studied. The prevalence of malignancy was 89% (59/66 cases). Endobronchial ultrasound had a higher overall diagnostic yield (91%) compared with mediastinoscopy (78%; p = 0.007) in the per lymph node analysis. There was disagreement in the yield between the two procedures in the subcarinal lymph nodes (24%; p = 0.011). There were no significant differences in the yield at other lymph node stations. The sensitivity, specificity, and negative predictive value of endobronchial ultrasound were 87, 100, and 78%, respectively. The sensitivity, specificity, and negative predictive value of mediastinoscopy were 68, 100, and 59%, respectively. No significant differences were found between endobronchial ultrasound (93%) and mediastinoscopy (82%; p = 0.083) in determining true pathologic N stage (per patient analysis).\nCONCLUSIONS: In suspected nonsmall cell lung cancer, endobronchial ultrasound may be preferred in the histologic sampling of paratracheal and subcarinal mediastinal adenopathy because the diagnostic yield can surpass mediastinoscopy.","DOI":"10.1097/JTO.0b013e3181753b5e","ISSN":"1556-1380","note":"PMID: 18520794","journalAbbreviation":"J Thorac Oncol","language":"eng","author":[{"family":"Ernst","given":"Armin"},{"family":"Anantham","given":"Devanand"},{"family":"Eberhardt","given":"Ralf"},{"family":"Krasnik","given":"Mark"},{"family":"Herth","given":"Felix J. F."}],"issued":{"date-parts":[["2008",6]]},"PMID":"18520794"}}],"schema":"https://github.com/citation-style-language/schema/raw/master/csl-citation.json"} </w:instrText>
            </w:r>
            <w:r>
              <w:rPr>
                <w:rFonts w:ascii="Arial" w:hAnsi="Arial" w:cs="Arial"/>
                <w:sz w:val="20"/>
              </w:rPr>
              <w:fldChar w:fldCharType="separate"/>
            </w:r>
            <w:r>
              <w:rPr>
                <w:rFonts w:ascii="Arial" w:hAnsi="Arial" w:cs="Arial"/>
                <w:sz w:val="20"/>
              </w:rPr>
              <w:t>(26)</w:t>
            </w:r>
            <w:r>
              <w:rPr>
                <w:rFonts w:ascii="Arial" w:hAnsi="Arial" w:cs="Arial"/>
                <w:sz w:val="20"/>
              </w:rPr>
              <w:fldChar w:fldCharType="end"/>
            </w:r>
          </w:p>
        </w:tc>
        <w:tc>
          <w:tcPr>
            <w:tcW w:w="1559" w:type="dxa"/>
            <w:vAlign w:val="center"/>
          </w:tcPr>
          <w:p w:rsidR="002977AE" w:rsidRDefault="002977AE" w:rsidP="00E653B3">
            <w:pPr>
              <w:spacing w:line="360" w:lineRule="auto"/>
              <w:jc w:val="center"/>
              <w:rPr>
                <w:rFonts w:ascii="Arial" w:hAnsi="Arial" w:cs="Arial"/>
                <w:sz w:val="20"/>
              </w:rPr>
            </w:pPr>
            <w:r>
              <w:rPr>
                <w:rFonts w:ascii="Arial" w:hAnsi="Arial" w:cs="Arial"/>
                <w:sz w:val="20"/>
              </w:rPr>
              <w:t>Prospectivo</w:t>
            </w:r>
            <w:r>
              <w:rPr>
                <w:rFonts w:ascii="Arial" w:hAnsi="Arial" w:cs="Arial"/>
                <w:sz w:val="20"/>
                <w:vertAlign w:val="superscript"/>
              </w:rPr>
              <w:t>1</w:t>
            </w:r>
          </w:p>
        </w:tc>
        <w:tc>
          <w:tcPr>
            <w:tcW w:w="1239" w:type="dxa"/>
            <w:vAlign w:val="center"/>
          </w:tcPr>
          <w:p w:rsidR="002977AE" w:rsidRDefault="002977AE" w:rsidP="00E653B3">
            <w:pPr>
              <w:jc w:val="center"/>
              <w:rPr>
                <w:rFonts w:ascii="Arial" w:hAnsi="Arial" w:cs="Arial"/>
                <w:sz w:val="20"/>
              </w:rPr>
            </w:pPr>
            <w:r>
              <w:rPr>
                <w:rFonts w:ascii="Arial" w:hAnsi="Arial" w:cs="Arial"/>
                <w:sz w:val="20"/>
              </w:rPr>
              <w:t>66</w:t>
            </w:r>
          </w:p>
        </w:tc>
        <w:tc>
          <w:tcPr>
            <w:tcW w:w="1134" w:type="dxa"/>
            <w:tcBorders>
              <w:righ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87</w:t>
            </w:r>
          </w:p>
        </w:tc>
        <w:tc>
          <w:tcPr>
            <w:tcW w:w="850" w:type="dxa"/>
            <w:tcBorders>
              <w:lef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68</w:t>
            </w:r>
          </w:p>
        </w:tc>
        <w:tc>
          <w:tcPr>
            <w:tcW w:w="993" w:type="dxa"/>
            <w:tcBorders>
              <w:righ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0,13</w:t>
            </w:r>
          </w:p>
        </w:tc>
        <w:tc>
          <w:tcPr>
            <w:tcW w:w="992" w:type="dxa"/>
            <w:tcBorders>
              <w:lef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0,32</w:t>
            </w:r>
          </w:p>
        </w:tc>
      </w:tr>
      <w:tr w:rsidR="002977AE" w:rsidTr="00E653B3">
        <w:trPr>
          <w:cantSplit/>
          <w:trHeight w:val="583"/>
          <w:jc w:val="center"/>
        </w:trPr>
        <w:tc>
          <w:tcPr>
            <w:tcW w:w="1950" w:type="dxa"/>
            <w:vAlign w:val="center"/>
          </w:tcPr>
          <w:p w:rsidR="002977AE" w:rsidRDefault="002977AE" w:rsidP="00E653B3">
            <w:pPr>
              <w:spacing w:line="360" w:lineRule="auto"/>
              <w:rPr>
                <w:rFonts w:ascii="Arial" w:hAnsi="Arial" w:cs="Arial"/>
                <w:sz w:val="20"/>
              </w:rPr>
            </w:pPr>
            <w:proofErr w:type="spellStart"/>
            <w:r>
              <w:rPr>
                <w:rFonts w:ascii="Arial" w:hAnsi="Arial" w:cs="Arial"/>
                <w:sz w:val="20"/>
              </w:rPr>
              <w:t>Yasufuku</w:t>
            </w:r>
            <w:proofErr w:type="spellEnd"/>
            <w:r>
              <w:rPr>
                <w:rFonts w:ascii="Arial" w:hAnsi="Arial" w:cs="Arial"/>
                <w:sz w:val="20"/>
              </w:rPr>
              <w:t>, 2011</w:t>
            </w:r>
            <w:r>
              <w:rPr>
                <w:rFonts w:ascii="Arial" w:hAnsi="Arial" w:cs="Arial"/>
                <w:sz w:val="20"/>
                <w:vertAlign w:val="superscript"/>
              </w:rPr>
              <w:t>1</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ADDIN ZOTERO_ITEM CSL_CITATION {"citationID":"1g5si7ff1j","properties":{"formattedCitation":"(27)","plainCitation":"(27)"},"citationItems":[{"id":71,"uris":["http://zotero.org/users/local/InV67C9x/items/FN59GXFS"],"uri":["http://zotero.org/users/local/InV67C9x/items/FN59GXFS"],"itemData":{"id":71,"type":"article-journal","title":"A prospective controlled trial of endobronchial ultrasound-guided transbronchial needle aspiration compared with mediastinoscopy for mediastinal lymph node staging of lung cancer","container-title":"The Journal of Thoracic and Cardiovascular Surgery","page":"1393-1400.e1","volume":"142","issue":"6","source":"PubMed","abstract":"OBJECTIVE: The study objective was to compare endobronchial ultrasound-guided transbronchial needle aspiration (EBUS-TBNA) with mediastinoscopy for mediastinal lymph node staging of potentially resectable non-small cell lung cancer.\nMETHODS: Patients with confirmed or suspected non-small cell lung cancer who required mediastinoscopy to determine suitability for lung cancer resection were entered into the trial. All patients underwent EBUS-TBNA followed by mediastinoscopy under general anesthesia. If both were negative for N2 or N3 disease, the patient underwent pulmonary resection and mediastinal lymphadenectomy.\nRESULTS: Between July 2006 and August 2010, 190 patients were registered in the study, 159 enrolled, and 153 were eligible for analysis. EBUS-TBNA and mediastinoscopy sampled an average of 3 and 4 lymph node stations per patient, respectively. The mean short axis of the lymph node biopsied by EBUS-TBNA was 6.9 ± 2.9 mm. The prevalence of N2/N3 disease was 35% (53/153). There was excellent agreement between EBUS-TBNA and mediastinoscopy for mediastinal staging in 136 patients (91%; Kappa, 0.8; 95% confidence interval, 0.7-0.9). Specificity and positive predictive value for both techniques were 100%. The sensitivity, negative predictive value, and diagnostic accuracy for mediastinal lymph node staging for EBUS-TBNA and mediastinoscopy were 81%, 91%, 93%, and 79%, 90%, 93%, respectively. No significant differences were found between EBUS-TBNA and mediastinoscopy in determining the true pathologic N stage (McNemar's test, P = .78). There were no complications from EBUS-TBNA. Minor complications from mediastinoscopy were observed in 4 patients (2.6%).\nCONCLUSIONS: EBUS-TBNA and mediastinoscopy achieve similar results for the mediastinal staging of lung cancer. As performed in this study, EBUS-TBNA can replace mediastinoscopy in patients with potentially resectable non-small cell lung cancer.","DOI":"10.1016/j.jtcvs.2011.08.037","ISSN":"1097-685X","note":"PMID: 21963329","journalAbbreviation":"J. Thorac. Cardiovasc. Surg.","language":"eng","author":[{"family":"Yasufuku","given":"Kazuhiro"},{"family":"Pierre","given":"Andrew"},{"family":"Darling","given":"Gail"},{"family":"de Perrot","given":"Marc"},{"family":"Waddell","given":"Thomas"},{"family":"Johnston","given":"Michael"},{"family":"da Cunha Santos","given":"Gilda"},{"family":"Geddie","given":"William"},{"family":"Boerner","given":"Scott"},{"family":"Le","given":"Lisa W."},{"family":"Keshavjee","given":"Shaf"}],"issued":{"date-parts":[["2011",12]]},"PMID":"21963329"}}],"schema":"https://github.com/citation-style-language/schema/raw/master/csl-citation.json"} </w:instrText>
            </w:r>
            <w:r>
              <w:rPr>
                <w:rFonts w:ascii="Arial" w:hAnsi="Arial" w:cs="Arial"/>
                <w:sz w:val="20"/>
              </w:rPr>
              <w:fldChar w:fldCharType="separate"/>
            </w:r>
            <w:r>
              <w:rPr>
                <w:rFonts w:ascii="Arial" w:hAnsi="Arial" w:cs="Arial"/>
                <w:sz w:val="20"/>
              </w:rPr>
              <w:t>(27)</w:t>
            </w:r>
            <w:r>
              <w:rPr>
                <w:rFonts w:ascii="Arial" w:hAnsi="Arial" w:cs="Arial"/>
                <w:sz w:val="20"/>
              </w:rPr>
              <w:fldChar w:fldCharType="end"/>
            </w:r>
          </w:p>
        </w:tc>
        <w:tc>
          <w:tcPr>
            <w:tcW w:w="1559" w:type="dxa"/>
            <w:vAlign w:val="center"/>
          </w:tcPr>
          <w:p w:rsidR="002977AE" w:rsidRDefault="002977AE" w:rsidP="00E653B3">
            <w:pPr>
              <w:spacing w:line="360" w:lineRule="auto"/>
              <w:jc w:val="center"/>
              <w:rPr>
                <w:rFonts w:ascii="Arial" w:hAnsi="Arial" w:cs="Arial"/>
                <w:sz w:val="20"/>
              </w:rPr>
            </w:pPr>
            <w:r>
              <w:rPr>
                <w:rFonts w:ascii="Arial" w:hAnsi="Arial" w:cs="Arial"/>
                <w:sz w:val="20"/>
              </w:rPr>
              <w:t>Prospectivo</w:t>
            </w:r>
            <w:r>
              <w:rPr>
                <w:rFonts w:ascii="Arial" w:hAnsi="Arial" w:cs="Arial"/>
                <w:sz w:val="20"/>
                <w:vertAlign w:val="superscript"/>
              </w:rPr>
              <w:t>1</w:t>
            </w:r>
          </w:p>
        </w:tc>
        <w:tc>
          <w:tcPr>
            <w:tcW w:w="1239" w:type="dxa"/>
            <w:vAlign w:val="center"/>
          </w:tcPr>
          <w:p w:rsidR="002977AE" w:rsidRDefault="002977AE" w:rsidP="00E653B3">
            <w:pPr>
              <w:jc w:val="center"/>
              <w:rPr>
                <w:rFonts w:ascii="Arial" w:hAnsi="Arial" w:cs="Arial"/>
                <w:sz w:val="20"/>
              </w:rPr>
            </w:pPr>
            <w:r>
              <w:rPr>
                <w:rFonts w:ascii="Arial" w:hAnsi="Arial" w:cs="Arial"/>
                <w:sz w:val="20"/>
              </w:rPr>
              <w:t>153</w:t>
            </w:r>
          </w:p>
        </w:tc>
        <w:tc>
          <w:tcPr>
            <w:tcW w:w="1134" w:type="dxa"/>
            <w:tcBorders>
              <w:righ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81</w:t>
            </w:r>
            <w:r>
              <w:rPr>
                <w:rFonts w:ascii="Arial" w:hAnsi="Arial" w:cs="Arial"/>
                <w:sz w:val="20"/>
                <w:vertAlign w:val="superscript"/>
              </w:rPr>
              <w:t>3</w:t>
            </w:r>
          </w:p>
        </w:tc>
        <w:tc>
          <w:tcPr>
            <w:tcW w:w="850" w:type="dxa"/>
            <w:tcBorders>
              <w:lef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79</w:t>
            </w:r>
            <w:r>
              <w:rPr>
                <w:rFonts w:ascii="Arial" w:hAnsi="Arial" w:cs="Arial"/>
                <w:sz w:val="20"/>
                <w:vertAlign w:val="superscript"/>
              </w:rPr>
              <w:t>3</w:t>
            </w:r>
          </w:p>
        </w:tc>
        <w:tc>
          <w:tcPr>
            <w:tcW w:w="993" w:type="dxa"/>
            <w:tcBorders>
              <w:righ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0,19</w:t>
            </w:r>
            <w:r>
              <w:rPr>
                <w:rFonts w:ascii="Arial" w:hAnsi="Arial" w:cs="Arial"/>
                <w:sz w:val="20"/>
                <w:vertAlign w:val="superscript"/>
              </w:rPr>
              <w:t>3</w:t>
            </w:r>
          </w:p>
        </w:tc>
        <w:tc>
          <w:tcPr>
            <w:tcW w:w="992" w:type="dxa"/>
            <w:tcBorders>
              <w:lef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0,21</w:t>
            </w:r>
            <w:r>
              <w:rPr>
                <w:rFonts w:ascii="Arial" w:hAnsi="Arial" w:cs="Arial"/>
                <w:sz w:val="20"/>
                <w:vertAlign w:val="superscript"/>
              </w:rPr>
              <w:t>3</w:t>
            </w:r>
          </w:p>
        </w:tc>
      </w:tr>
      <w:tr w:rsidR="002977AE" w:rsidTr="00E653B3">
        <w:trPr>
          <w:cantSplit/>
          <w:trHeight w:val="569"/>
          <w:jc w:val="center"/>
        </w:trPr>
        <w:tc>
          <w:tcPr>
            <w:tcW w:w="1950" w:type="dxa"/>
            <w:vAlign w:val="center"/>
          </w:tcPr>
          <w:p w:rsidR="002977AE" w:rsidRDefault="002977AE" w:rsidP="00E653B3">
            <w:pPr>
              <w:spacing w:line="360" w:lineRule="auto"/>
              <w:rPr>
                <w:rFonts w:ascii="Arial" w:hAnsi="Arial" w:cs="Arial"/>
                <w:sz w:val="20"/>
              </w:rPr>
            </w:pPr>
            <w:r>
              <w:rPr>
                <w:rFonts w:ascii="Arial" w:hAnsi="Arial" w:cs="Arial"/>
                <w:sz w:val="20"/>
              </w:rPr>
              <w:t xml:space="preserve">Um, 20115 </w:t>
            </w:r>
            <w:r>
              <w:rPr>
                <w:rFonts w:ascii="Arial" w:hAnsi="Arial" w:cs="Arial"/>
                <w:sz w:val="20"/>
              </w:rPr>
              <w:fldChar w:fldCharType="begin"/>
            </w:r>
            <w:r>
              <w:rPr>
                <w:rFonts w:ascii="Arial" w:hAnsi="Arial" w:cs="Arial"/>
                <w:sz w:val="20"/>
              </w:rPr>
              <w:instrText xml:space="preserve"> ADDIN ZOTERO_ITEM CSL_CITATION {"citationID":"pjs73n0je","properties":{"formattedCitation":"(28)","plainCitation":"(28)"},"citationItems":[{"id":73,"uris":["http://zotero.org/users/local/InV67C9x/items/KMF7NGBB"],"uri":["http://zotero.org/users/local/InV67C9x/items/KMF7NGBB"],"itemData":{"id":73,"type":"article-journal","title":"Endobronchial ultrasound versus mediastinoscopy for mediastinal nodal staging of non-small-cell lung cancer","container-title":"Journal of Thoracic Oncology: Official Publication of the International Association for the Study of Lung Cancer","page":"331-337","volume":"10","issue":"2","source":"PubMed","abstract":"INTRODUCTION: Correct mediastinal staging is critical for determination of the most appropriate management strategy in patients with non-small-cell lung cancer (NSCLC). The purpose of this study was to compare the diagnostic performance of endobronchial ultrasound-guided transbronchial needle aspiration (EBUS-TBNA) with that of mediastinoscopy in patients with NSCLC.\nMETHODS: A prospective trial was conducted in a tertiary referral center in Korea. Patients with histologically proven NSCLC and suspicion for N1, N2, or N3 metastasis were enrolled. Each patient underwent EBUS-TBNA followed by mediastinoscopy. Surgical resection and complete lymph node dissection were conducted in patients for whom no evidence of mediastinal metastasis was apparent after mediastinoscopy.\nRESULTS: In total, 138 patients underwent EBUS-TBNA and 127 completed both EBUS-TBNA and mediastinoscopy. N2/N3 disease was confirmed in 59.1% of the patients. The diagnostic sensitivity, specificity, accuracy, positive predictive value, and negative predictive value (NPV) of EBUS-TBNA on a per-person analysis were 88.0%, 100%, 92.9%, 100%, and 85.2%, respectively. The diagnostic sensitivity, specificity, accuracy, positive predictive value, and NPV of mediastinoscopy on a per-person analysis were 81.3%, 100%, 89.0%, 100%, and 78.8%, respectively. Significant differences in the sensitivity, accuracy, and NPV were evident between EBUS-TBNA and mediastinoscopy (p &lt; 0.005).\nCONCLUSIONS: EBUS-TBNA was superior to mediastinoscopy in terms of its diagnostic performance for mediastinal staging of cN1-3 NSCLC. Because EBUS-TBNA is both less invasive and affords superior diagnostic sensitivity, it should be the first-line procedure performed in patients with NSCLC.","DOI":"10.1097/JTO.0000000000000388","ISSN":"1556-1380","note":"PMID: 25611227","journalAbbreviation":"J Thorac Oncol","language":"eng","author":[{"family":"Um","given":"Sang-Won"},{"family":"Kim","given":"Hong Kwan"},{"family":"Jung","given":"Sin-Ho"},{"family":"Han","given":"Joungho"},{"family":"Lee","given":"Kyung Jong"},{"family":"Park","given":"Hye Yun"},{"family":"Choi","given":"Yong Soo"},{"family":"Shim","given":"Young Mog"},{"family":"Ahn","given":"Myung-Ju"},{"family":"Park","given":"Keunchil"},{"family":"Ahn","given":"Yong Chan"},{"family":"Choi","given":"Joon Young"},{"family":"Lee","given":"Kyung Soo"},{"family":"Suh","given":"Gee Young"},{"family":"Chung","given":"Man Pyo"},{"family":"Kwon","given":"O. Jung"},{"family":"Kim","given":"Jhingook"},{"family":"Kim","given":"Hojoong"}],"issued":{"date-parts":[["2015",2]]},"PMID":"25611227"}}],"schema":"https://github.com/citation-style-language/schema/raw/master/csl-citation.json"} </w:instrText>
            </w:r>
            <w:r>
              <w:rPr>
                <w:rFonts w:ascii="Arial" w:hAnsi="Arial" w:cs="Arial"/>
                <w:sz w:val="20"/>
              </w:rPr>
              <w:fldChar w:fldCharType="separate"/>
            </w:r>
            <w:r>
              <w:rPr>
                <w:rFonts w:ascii="Arial" w:hAnsi="Arial" w:cs="Arial"/>
                <w:sz w:val="20"/>
              </w:rPr>
              <w:t>(28)</w:t>
            </w:r>
            <w:r>
              <w:rPr>
                <w:rFonts w:ascii="Arial" w:hAnsi="Arial" w:cs="Arial"/>
                <w:sz w:val="20"/>
              </w:rPr>
              <w:fldChar w:fldCharType="end"/>
            </w:r>
          </w:p>
        </w:tc>
        <w:tc>
          <w:tcPr>
            <w:tcW w:w="1559" w:type="dxa"/>
            <w:vAlign w:val="center"/>
          </w:tcPr>
          <w:p w:rsidR="002977AE" w:rsidRDefault="002977AE" w:rsidP="00E653B3">
            <w:pPr>
              <w:spacing w:line="360" w:lineRule="auto"/>
              <w:jc w:val="center"/>
              <w:rPr>
                <w:rFonts w:ascii="Arial" w:hAnsi="Arial" w:cs="Arial"/>
                <w:sz w:val="20"/>
              </w:rPr>
            </w:pPr>
            <w:r>
              <w:rPr>
                <w:rFonts w:ascii="Arial" w:hAnsi="Arial" w:cs="Arial"/>
                <w:sz w:val="20"/>
              </w:rPr>
              <w:t>Prospectivo</w:t>
            </w:r>
            <w:r>
              <w:rPr>
                <w:rFonts w:ascii="Arial" w:hAnsi="Arial" w:cs="Arial"/>
                <w:sz w:val="20"/>
                <w:vertAlign w:val="superscript"/>
              </w:rPr>
              <w:t>2</w:t>
            </w:r>
          </w:p>
        </w:tc>
        <w:tc>
          <w:tcPr>
            <w:tcW w:w="1239" w:type="dxa"/>
            <w:vAlign w:val="center"/>
          </w:tcPr>
          <w:p w:rsidR="002977AE" w:rsidRDefault="002977AE" w:rsidP="00E653B3">
            <w:pPr>
              <w:jc w:val="center"/>
              <w:rPr>
                <w:rFonts w:ascii="Arial" w:hAnsi="Arial" w:cs="Arial"/>
                <w:sz w:val="20"/>
              </w:rPr>
            </w:pPr>
            <w:r>
              <w:rPr>
                <w:rFonts w:ascii="Arial" w:hAnsi="Arial" w:cs="Arial"/>
                <w:sz w:val="20"/>
              </w:rPr>
              <w:t>127</w:t>
            </w:r>
          </w:p>
        </w:tc>
        <w:tc>
          <w:tcPr>
            <w:tcW w:w="1134" w:type="dxa"/>
            <w:tcBorders>
              <w:righ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88</w:t>
            </w:r>
          </w:p>
        </w:tc>
        <w:tc>
          <w:tcPr>
            <w:tcW w:w="850" w:type="dxa"/>
            <w:tcBorders>
              <w:lef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81</w:t>
            </w:r>
          </w:p>
        </w:tc>
        <w:tc>
          <w:tcPr>
            <w:tcW w:w="993" w:type="dxa"/>
            <w:tcBorders>
              <w:righ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0,12</w:t>
            </w:r>
          </w:p>
        </w:tc>
        <w:tc>
          <w:tcPr>
            <w:tcW w:w="992" w:type="dxa"/>
            <w:tcBorders>
              <w:left w:val="single" w:sz="4" w:space="0" w:color="auto"/>
            </w:tcBorders>
            <w:vAlign w:val="center"/>
          </w:tcPr>
          <w:p w:rsidR="002977AE" w:rsidRDefault="002977AE" w:rsidP="00E653B3">
            <w:pPr>
              <w:spacing w:line="360" w:lineRule="auto"/>
              <w:jc w:val="center"/>
              <w:rPr>
                <w:rFonts w:ascii="Arial" w:hAnsi="Arial" w:cs="Arial"/>
                <w:sz w:val="20"/>
              </w:rPr>
            </w:pPr>
            <w:r>
              <w:rPr>
                <w:rFonts w:ascii="Arial" w:hAnsi="Arial" w:cs="Arial"/>
                <w:sz w:val="20"/>
              </w:rPr>
              <w:t>0,19</w:t>
            </w:r>
          </w:p>
        </w:tc>
      </w:tr>
    </w:tbl>
    <w:p w:rsidR="002977AE" w:rsidRDefault="002977AE" w:rsidP="002977AE">
      <w:pPr>
        <w:spacing w:line="360" w:lineRule="auto"/>
        <w:rPr>
          <w:rFonts w:ascii="Arial" w:hAnsi="Arial" w:cs="Arial"/>
          <w:sz w:val="20"/>
        </w:rPr>
      </w:pPr>
      <w:r>
        <w:rPr>
          <w:rFonts w:ascii="Arial" w:hAnsi="Arial" w:cs="Arial"/>
          <w:sz w:val="20"/>
        </w:rPr>
        <w:t>MED</w:t>
      </w:r>
      <w:proofErr w:type="gramStart"/>
      <w:r>
        <w:rPr>
          <w:rFonts w:ascii="Arial" w:hAnsi="Arial" w:cs="Arial"/>
          <w:sz w:val="20"/>
        </w:rPr>
        <w:t>.=</w:t>
      </w:r>
      <w:proofErr w:type="gramEnd"/>
      <w:r>
        <w:rPr>
          <w:rFonts w:ascii="Arial" w:hAnsi="Arial" w:cs="Arial"/>
          <w:sz w:val="20"/>
        </w:rPr>
        <w:t xml:space="preserve"> </w:t>
      </w:r>
      <w:proofErr w:type="spellStart"/>
      <w:r>
        <w:rPr>
          <w:rFonts w:ascii="Arial" w:hAnsi="Arial" w:cs="Arial"/>
          <w:sz w:val="20"/>
        </w:rPr>
        <w:t>Mediastinoscopia</w:t>
      </w:r>
      <w:proofErr w:type="spellEnd"/>
      <w:r>
        <w:rPr>
          <w:rFonts w:ascii="Arial" w:hAnsi="Arial" w:cs="Arial"/>
          <w:sz w:val="20"/>
        </w:rPr>
        <w:t>.</w:t>
      </w:r>
    </w:p>
    <w:p w:rsidR="002977AE" w:rsidRDefault="002977AE" w:rsidP="002977AE">
      <w:pPr>
        <w:spacing w:line="360" w:lineRule="auto"/>
        <w:rPr>
          <w:rFonts w:ascii="Arial" w:hAnsi="Arial" w:cs="Arial"/>
          <w:sz w:val="20"/>
        </w:rPr>
      </w:pPr>
      <w:r>
        <w:rPr>
          <w:rFonts w:ascii="Arial" w:hAnsi="Arial" w:cs="Arial"/>
          <w:sz w:val="20"/>
        </w:rPr>
        <w:t xml:space="preserve">S = </w:t>
      </w:r>
      <w:proofErr w:type="spellStart"/>
      <w:r>
        <w:rPr>
          <w:rFonts w:ascii="Arial" w:hAnsi="Arial" w:cs="Arial"/>
          <w:sz w:val="20"/>
        </w:rPr>
        <w:t>Sensibilidad</w:t>
      </w:r>
      <w:proofErr w:type="spellEnd"/>
    </w:p>
    <w:p w:rsidR="002977AE" w:rsidRDefault="002977AE" w:rsidP="002977AE">
      <w:pPr>
        <w:spacing w:line="360" w:lineRule="auto"/>
        <w:rPr>
          <w:rFonts w:ascii="Arial" w:hAnsi="Arial" w:cs="Arial"/>
          <w:sz w:val="20"/>
        </w:rPr>
      </w:pPr>
      <w:r>
        <w:rPr>
          <w:rFonts w:ascii="Arial" w:hAnsi="Arial" w:cs="Arial"/>
          <w:sz w:val="20"/>
        </w:rPr>
        <w:t xml:space="preserve">RPN = </w:t>
      </w:r>
      <w:proofErr w:type="spellStart"/>
      <w:r>
        <w:rPr>
          <w:rFonts w:ascii="Arial" w:hAnsi="Arial" w:cs="Arial"/>
          <w:sz w:val="20"/>
        </w:rPr>
        <w:t>Razón</w:t>
      </w:r>
      <w:proofErr w:type="spellEnd"/>
      <w:r>
        <w:rPr>
          <w:rFonts w:ascii="Arial" w:hAnsi="Arial" w:cs="Arial"/>
          <w:sz w:val="20"/>
        </w:rPr>
        <w:t xml:space="preserve"> de </w:t>
      </w:r>
      <w:proofErr w:type="spellStart"/>
      <w:r>
        <w:rPr>
          <w:rFonts w:ascii="Arial" w:hAnsi="Arial" w:cs="Arial"/>
          <w:sz w:val="20"/>
        </w:rPr>
        <w:t>probabilidad</w:t>
      </w:r>
      <w:proofErr w:type="spellEnd"/>
      <w:r>
        <w:rPr>
          <w:rFonts w:ascii="Arial" w:hAnsi="Arial" w:cs="Arial"/>
          <w:sz w:val="20"/>
        </w:rPr>
        <w:t xml:space="preserve"> </w:t>
      </w:r>
      <w:proofErr w:type="spellStart"/>
      <w:r>
        <w:rPr>
          <w:rFonts w:ascii="Arial" w:hAnsi="Arial" w:cs="Arial"/>
          <w:sz w:val="20"/>
        </w:rPr>
        <w:t>negativa</w:t>
      </w:r>
      <w:proofErr w:type="spellEnd"/>
    </w:p>
    <w:p w:rsidR="002977AE" w:rsidRDefault="002977AE" w:rsidP="002977AE">
      <w:pPr>
        <w:spacing w:line="360" w:lineRule="auto"/>
        <w:rPr>
          <w:rFonts w:ascii="Arial" w:hAnsi="Arial" w:cs="Arial"/>
          <w:sz w:val="20"/>
        </w:rPr>
      </w:pPr>
      <w:r>
        <w:rPr>
          <w:rFonts w:ascii="Arial" w:hAnsi="Arial" w:cs="Arial"/>
          <w:sz w:val="20"/>
          <w:vertAlign w:val="superscript"/>
        </w:rPr>
        <w:t>1</w:t>
      </w:r>
      <w:r>
        <w:rPr>
          <w:rFonts w:ascii="Arial" w:hAnsi="Arial" w:cs="Arial"/>
          <w:sz w:val="20"/>
        </w:rPr>
        <w:t xml:space="preserve">EBUS y </w:t>
      </w:r>
      <w:proofErr w:type="spellStart"/>
      <w:r>
        <w:rPr>
          <w:rFonts w:ascii="Arial" w:hAnsi="Arial" w:cs="Arial"/>
          <w:sz w:val="20"/>
        </w:rPr>
        <w:t>mediastinoscopia</w:t>
      </w:r>
      <w:proofErr w:type="spellEnd"/>
      <w:r>
        <w:rPr>
          <w:rFonts w:ascii="Arial" w:hAnsi="Arial" w:cs="Arial"/>
          <w:sz w:val="20"/>
        </w:rPr>
        <w:t xml:space="preserve"> </w:t>
      </w:r>
      <w:proofErr w:type="spellStart"/>
      <w:r>
        <w:rPr>
          <w:rFonts w:ascii="Arial" w:hAnsi="Arial" w:cs="Arial"/>
          <w:sz w:val="20"/>
        </w:rPr>
        <w:t>realizadas</w:t>
      </w:r>
      <w:proofErr w:type="spellEnd"/>
      <w:r>
        <w:rPr>
          <w:rFonts w:ascii="Arial" w:hAnsi="Arial" w:cs="Arial"/>
          <w:sz w:val="20"/>
        </w:rPr>
        <w:t xml:space="preserve"> el </w:t>
      </w:r>
      <w:proofErr w:type="spellStart"/>
      <w:r>
        <w:rPr>
          <w:rFonts w:ascii="Arial" w:hAnsi="Arial" w:cs="Arial"/>
          <w:sz w:val="20"/>
        </w:rPr>
        <w:t>mismo</w:t>
      </w:r>
      <w:proofErr w:type="spellEnd"/>
      <w:r>
        <w:rPr>
          <w:rFonts w:ascii="Arial" w:hAnsi="Arial" w:cs="Arial"/>
          <w:sz w:val="20"/>
        </w:rPr>
        <w:t xml:space="preserve"> </w:t>
      </w:r>
      <w:proofErr w:type="spellStart"/>
      <w:r>
        <w:rPr>
          <w:rFonts w:ascii="Arial" w:hAnsi="Arial" w:cs="Arial"/>
          <w:sz w:val="20"/>
        </w:rPr>
        <w:t>día</w:t>
      </w:r>
      <w:proofErr w:type="spellEnd"/>
      <w:r>
        <w:rPr>
          <w:rFonts w:ascii="Arial" w:hAnsi="Arial" w:cs="Arial"/>
          <w:sz w:val="20"/>
        </w:rPr>
        <w:t xml:space="preserve"> y en </w:t>
      </w:r>
      <w:proofErr w:type="spellStart"/>
      <w:r>
        <w:rPr>
          <w:rFonts w:ascii="Arial" w:hAnsi="Arial" w:cs="Arial"/>
          <w:sz w:val="20"/>
        </w:rPr>
        <w:t>quirófano</w:t>
      </w:r>
      <w:proofErr w:type="spellEnd"/>
      <w:r>
        <w:rPr>
          <w:rFonts w:ascii="Arial" w:hAnsi="Arial" w:cs="Arial"/>
          <w:sz w:val="20"/>
        </w:rPr>
        <w:t xml:space="preserve"> </w:t>
      </w:r>
    </w:p>
    <w:p w:rsidR="002977AE" w:rsidRDefault="002977AE" w:rsidP="002977AE">
      <w:pPr>
        <w:spacing w:line="360" w:lineRule="auto"/>
        <w:rPr>
          <w:rFonts w:ascii="Arial" w:hAnsi="Arial" w:cs="Arial"/>
          <w:sz w:val="20"/>
        </w:rPr>
      </w:pPr>
      <w:r>
        <w:rPr>
          <w:rFonts w:ascii="Arial" w:hAnsi="Arial" w:cs="Arial"/>
          <w:sz w:val="20"/>
          <w:vertAlign w:val="superscript"/>
        </w:rPr>
        <w:t>2</w:t>
      </w:r>
      <w:r>
        <w:rPr>
          <w:rFonts w:ascii="Arial" w:hAnsi="Arial" w:cs="Arial"/>
          <w:sz w:val="20"/>
        </w:rPr>
        <w:t xml:space="preserve">EBUS </w:t>
      </w:r>
      <w:proofErr w:type="spellStart"/>
      <w:r>
        <w:rPr>
          <w:rFonts w:ascii="Arial" w:hAnsi="Arial" w:cs="Arial"/>
          <w:sz w:val="20"/>
        </w:rPr>
        <w:t>realizado</w:t>
      </w:r>
      <w:proofErr w:type="spellEnd"/>
      <w:r>
        <w:rPr>
          <w:rFonts w:ascii="Arial" w:hAnsi="Arial" w:cs="Arial"/>
          <w:sz w:val="20"/>
        </w:rPr>
        <w:t xml:space="preserve"> en </w:t>
      </w:r>
      <w:proofErr w:type="spellStart"/>
      <w:r>
        <w:rPr>
          <w:rFonts w:ascii="Arial" w:hAnsi="Arial" w:cs="Arial"/>
          <w:sz w:val="20"/>
        </w:rPr>
        <w:t>sala</w:t>
      </w:r>
      <w:proofErr w:type="spellEnd"/>
      <w:r>
        <w:rPr>
          <w:rFonts w:ascii="Arial" w:hAnsi="Arial" w:cs="Arial"/>
          <w:sz w:val="20"/>
        </w:rPr>
        <w:t xml:space="preserve"> de </w:t>
      </w:r>
      <w:proofErr w:type="spellStart"/>
      <w:r>
        <w:rPr>
          <w:rFonts w:ascii="Arial" w:hAnsi="Arial" w:cs="Arial"/>
          <w:sz w:val="20"/>
        </w:rPr>
        <w:t>broncoscopias</w:t>
      </w:r>
      <w:proofErr w:type="spellEnd"/>
      <w:r>
        <w:rPr>
          <w:rFonts w:ascii="Arial" w:hAnsi="Arial" w:cs="Arial"/>
          <w:sz w:val="20"/>
        </w:rPr>
        <w:t xml:space="preserve"> y en </w:t>
      </w:r>
      <w:proofErr w:type="spellStart"/>
      <w:r>
        <w:rPr>
          <w:rFonts w:ascii="Arial" w:hAnsi="Arial" w:cs="Arial"/>
          <w:sz w:val="20"/>
        </w:rPr>
        <w:t>días</w:t>
      </w:r>
      <w:proofErr w:type="spellEnd"/>
      <w:r>
        <w:rPr>
          <w:rFonts w:ascii="Arial" w:hAnsi="Arial" w:cs="Arial"/>
          <w:sz w:val="20"/>
        </w:rPr>
        <w:t xml:space="preserve"> </w:t>
      </w:r>
      <w:proofErr w:type="spellStart"/>
      <w:r>
        <w:rPr>
          <w:rFonts w:ascii="Arial" w:hAnsi="Arial" w:cs="Arial"/>
          <w:sz w:val="20"/>
        </w:rPr>
        <w:t>previos</w:t>
      </w:r>
      <w:proofErr w:type="spellEnd"/>
      <w:r>
        <w:rPr>
          <w:rFonts w:ascii="Arial" w:hAnsi="Arial" w:cs="Arial"/>
          <w:sz w:val="20"/>
        </w:rPr>
        <w:t xml:space="preserve"> a la </w:t>
      </w:r>
      <w:proofErr w:type="spellStart"/>
      <w:r>
        <w:rPr>
          <w:rFonts w:ascii="Arial" w:hAnsi="Arial" w:cs="Arial"/>
          <w:sz w:val="20"/>
        </w:rPr>
        <w:t>mediastinoscopia</w:t>
      </w:r>
      <w:proofErr w:type="spellEnd"/>
    </w:p>
    <w:p w:rsidR="002977AE" w:rsidRDefault="002977AE" w:rsidP="002977AE">
      <w:pPr>
        <w:spacing w:line="360" w:lineRule="auto"/>
        <w:rPr>
          <w:rFonts w:ascii="Arial" w:hAnsi="Arial" w:cs="Arial"/>
          <w:sz w:val="20"/>
        </w:rPr>
      </w:pPr>
      <w:r>
        <w:rPr>
          <w:rFonts w:ascii="Arial" w:hAnsi="Arial" w:cs="Arial"/>
          <w:sz w:val="20"/>
          <w:vertAlign w:val="superscript"/>
        </w:rPr>
        <w:t>3</w:t>
      </w:r>
      <w:r>
        <w:rPr>
          <w:rFonts w:ascii="Arial" w:hAnsi="Arial" w:cs="Arial"/>
          <w:sz w:val="20"/>
        </w:rPr>
        <w:t xml:space="preserve">Diferencias no </w:t>
      </w:r>
      <w:proofErr w:type="spellStart"/>
      <w:r>
        <w:rPr>
          <w:rFonts w:ascii="Arial" w:hAnsi="Arial" w:cs="Arial"/>
          <w:sz w:val="20"/>
        </w:rPr>
        <w:t>significativas</w:t>
      </w:r>
      <w:proofErr w:type="spellEnd"/>
    </w:p>
    <w:p w:rsidR="00C0685C" w:rsidRDefault="002977AE">
      <w:bookmarkStart w:id="0" w:name="_GoBack"/>
      <w:bookmarkEnd w:id="0"/>
    </w:p>
    <w:sectPr w:rsidR="00C06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AE"/>
    <w:rsid w:val="00055B63"/>
    <w:rsid w:val="002977AE"/>
    <w:rsid w:val="00F04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A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espaciado">
    <w:name w:val="Sin espaciado"/>
    <w:qFormat/>
    <w:rsid w:val="002977AE"/>
    <w:pPr>
      <w:jc w:val="both"/>
    </w:pPr>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A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espaciado">
    <w:name w:val="Sin espaciado"/>
    <w:qFormat/>
    <w:rsid w:val="002977AE"/>
    <w:pPr>
      <w:jc w:val="both"/>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1553</Words>
  <Characters>8857</Characters>
  <Application>Microsoft Office Word</Application>
  <DocSecurity>0</DocSecurity>
  <Lines>73</Lines>
  <Paragraphs>20</Paragraphs>
  <ScaleCrop>false</ScaleCrop>
  <Company>Microsoft</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57058</dc:creator>
  <cp:lastModifiedBy>57058</cp:lastModifiedBy>
  <cp:revision>1</cp:revision>
  <dcterms:created xsi:type="dcterms:W3CDTF">2015-09-29T05:44:00Z</dcterms:created>
  <dcterms:modified xsi:type="dcterms:W3CDTF">2015-09-29T05:44:00Z</dcterms:modified>
</cp:coreProperties>
</file>