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A09" w:rsidRDefault="00EE7A09" w:rsidP="00EE7A09">
      <w:pPr>
        <w:pStyle w:val="Sinespaciado"/>
        <w:spacing w:after="0" w:line="360" w:lineRule="auto"/>
        <w:rPr>
          <w:rFonts w:ascii="Arial" w:hAnsi="Arial" w:cs="Arial"/>
          <w:b/>
        </w:rPr>
      </w:pPr>
      <w:r>
        <w:rPr>
          <w:rFonts w:ascii="Arial" w:hAnsi="Arial" w:cs="Arial"/>
          <w:b/>
        </w:rPr>
        <w:t xml:space="preserve">Tabla 2S. </w:t>
      </w:r>
      <w:proofErr w:type="spellStart"/>
      <w:r>
        <w:rPr>
          <w:rFonts w:ascii="Arial" w:hAnsi="Arial" w:cs="Arial"/>
          <w:b/>
        </w:rPr>
        <w:t>Estadificación</w:t>
      </w:r>
      <w:proofErr w:type="spellEnd"/>
      <w:r>
        <w:rPr>
          <w:rFonts w:ascii="Arial" w:hAnsi="Arial" w:cs="Arial"/>
          <w:b/>
        </w:rPr>
        <w:t xml:space="preserve"> </w:t>
      </w:r>
      <w:proofErr w:type="spellStart"/>
      <w:r>
        <w:rPr>
          <w:rFonts w:ascii="Arial" w:hAnsi="Arial" w:cs="Arial"/>
          <w:b/>
        </w:rPr>
        <w:t>mediastínica</w:t>
      </w:r>
      <w:proofErr w:type="spellEnd"/>
      <w:r>
        <w:rPr>
          <w:rFonts w:ascii="Arial" w:hAnsi="Arial" w:cs="Arial"/>
          <w:b/>
        </w:rPr>
        <w:t xml:space="preserve"> en el cáncer de pulmón no </w:t>
      </w:r>
      <w:proofErr w:type="spellStart"/>
      <w:r>
        <w:rPr>
          <w:rFonts w:ascii="Arial" w:hAnsi="Arial" w:cs="Arial"/>
          <w:b/>
        </w:rPr>
        <w:t>microcítico</w:t>
      </w:r>
      <w:proofErr w:type="spellEnd"/>
      <w:r>
        <w:rPr>
          <w:rFonts w:ascii="Arial" w:hAnsi="Arial" w:cs="Arial"/>
          <w:b/>
        </w:rPr>
        <w:t xml:space="preserve"> según las guías de práctica clínica.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1701"/>
        <w:gridCol w:w="1559"/>
        <w:gridCol w:w="1448"/>
      </w:tblGrid>
      <w:tr w:rsidR="00EE7A09" w:rsidTr="00E653B3">
        <w:trPr>
          <w:trHeight w:val="530"/>
        </w:trPr>
        <w:tc>
          <w:tcPr>
            <w:tcW w:w="3936" w:type="dxa"/>
            <w:vAlign w:val="center"/>
          </w:tcPr>
          <w:p w:rsidR="00EE7A09" w:rsidRDefault="00EE7A09" w:rsidP="00E653B3">
            <w:pPr>
              <w:spacing w:line="360" w:lineRule="auto"/>
              <w:jc w:val="center"/>
              <w:rPr>
                <w:rFonts w:ascii="Arial" w:hAnsi="Arial" w:cs="Arial"/>
                <w:sz w:val="20"/>
              </w:rPr>
            </w:pPr>
          </w:p>
        </w:tc>
        <w:tc>
          <w:tcPr>
            <w:tcW w:w="1701" w:type="dxa"/>
            <w:vAlign w:val="center"/>
          </w:tcPr>
          <w:p w:rsidR="00EE7A09" w:rsidRDefault="00EE7A09" w:rsidP="00E653B3">
            <w:pPr>
              <w:spacing w:line="360" w:lineRule="auto"/>
              <w:jc w:val="center"/>
              <w:rPr>
                <w:rFonts w:ascii="Arial" w:hAnsi="Arial" w:cs="Arial"/>
                <w:b/>
                <w:sz w:val="20"/>
              </w:rPr>
            </w:pPr>
            <w:r>
              <w:rPr>
                <w:rFonts w:ascii="Arial" w:hAnsi="Arial" w:cs="Arial"/>
                <w:b/>
                <w:sz w:val="20"/>
              </w:rPr>
              <w:t xml:space="preserve">SEPAR, 2011 </w:t>
            </w:r>
            <w:r>
              <w:rPr>
                <w:rFonts w:ascii="Arial" w:hAnsi="Arial" w:cs="Arial"/>
                <w:sz w:val="20"/>
              </w:rPr>
              <w:fldChar w:fldCharType="begin"/>
            </w:r>
            <w:r>
              <w:rPr>
                <w:rFonts w:ascii="Arial" w:hAnsi="Arial" w:cs="Arial"/>
                <w:sz w:val="20"/>
              </w:rPr>
              <w:instrText xml:space="preserve"> ADDIN ZOTERO_ITEM CSL_CITATION {"citationID":"2acjme18pe","properties":{"formattedCitation":"(22)","plainCitation":"(22)"},"citationItems":[{"id":63,"uris":["http://zotero.org/users/local/InV67C9x/items/XS59XZK3"],"uri":["http://zotero.org/users/local/InV67C9x/items/XS59XZK3"],"itemData":{"id":63,"type":"article-journal","title":"SEPAR guidelines for lung cancer staging","container-title":"Archivos De Bronconeumología","page":"454-465","volume":"47","issue":"9","source":"PubMed","abstract":"The latest tumour, lymph node and metastasis (TNM) classification by the International Association for the Study of Lung Cancer (IASLC), based on the analysis of patients from all over the world, has incorporated changes in the descriptors, especially those regarding tumor size, while proposing new group staging. A new lymph node map has also been developed with the intention of facilitating the classification of the \"N\" component. SEPAR recommends using this new classification. As for the procedures recommended for staging, in addition to the generalized use of computed tomography (CT), it points to the role of positron emission tomography (PET) or image fusion methods (PET/CT), which provide a better evaluation of the mediastinum and extrathoracic metastases. Endobronchial ultrasound (EBUS) and esophageal ultrasound (EUS) for obtaining cytohistological samples have been incorporated in the staging algorithm, and it emphasizes the importance of precise re-staging after induction treatment in order to make new therapeutic decisions. Comment is made on the foreseeable incorporation in the near future of molecular staging, and systematic lymph node dissection is recommended with the intention of making a more exact surgical-pathological classification.","DOI":"10.1016/j.arbres.2011.06.013","ISSN":"1579-2129","note":"PMID: 21824707","journalAbbreviation":"Arch. Bronconeumol.","language":"eng, spa","author":[{"family":"Sánchez de Cos","given":"Julio"},{"family":"Hernández","given":"Jesús Hernández"},{"family":"López","given":"Marcelo F. Jiménez"},{"family":"Sánchez","given":"Susana Padrones"},{"family":"Gratacós","given":"Antoni Rosell"},{"family":"Porta","given":"Ramón Rami"},{"family":"Sociedad Española Neumología y Cirugía Torácica","given":""}],"issued":{"date-parts":[["2011",9]]},"PMID":"21824707"}}],"schema":"https://github.com/citation-style-language/schema/raw/master/csl-citation.json"} </w:instrText>
            </w:r>
            <w:r>
              <w:rPr>
                <w:rFonts w:ascii="Arial" w:hAnsi="Arial" w:cs="Arial"/>
                <w:sz w:val="20"/>
              </w:rPr>
              <w:fldChar w:fldCharType="separate"/>
            </w:r>
            <w:r>
              <w:rPr>
                <w:rFonts w:ascii="Arial" w:hAnsi="Arial" w:cs="Arial"/>
                <w:sz w:val="20"/>
              </w:rPr>
              <w:t>(22)</w:t>
            </w:r>
            <w:r>
              <w:rPr>
                <w:rFonts w:ascii="Arial" w:hAnsi="Arial" w:cs="Arial"/>
                <w:sz w:val="20"/>
              </w:rPr>
              <w:fldChar w:fldCharType="end"/>
            </w:r>
          </w:p>
        </w:tc>
        <w:tc>
          <w:tcPr>
            <w:tcW w:w="1559" w:type="dxa"/>
            <w:vAlign w:val="center"/>
          </w:tcPr>
          <w:p w:rsidR="00EE7A09" w:rsidRDefault="00EE7A09" w:rsidP="00E653B3">
            <w:pPr>
              <w:spacing w:line="360" w:lineRule="auto"/>
              <w:jc w:val="center"/>
              <w:rPr>
                <w:rFonts w:ascii="Arial" w:hAnsi="Arial" w:cs="Arial"/>
                <w:b/>
                <w:sz w:val="20"/>
              </w:rPr>
            </w:pPr>
            <w:r>
              <w:rPr>
                <w:rFonts w:ascii="Arial" w:hAnsi="Arial" w:cs="Arial"/>
                <w:b/>
                <w:sz w:val="20"/>
              </w:rPr>
              <w:t xml:space="preserve">ACCP, 2013 </w:t>
            </w:r>
            <w:r>
              <w:rPr>
                <w:rFonts w:ascii="Arial" w:hAnsi="Arial" w:cs="Arial"/>
                <w:sz w:val="20"/>
              </w:rPr>
              <w:fldChar w:fldCharType="begin"/>
            </w:r>
            <w:r>
              <w:rPr>
                <w:rFonts w:ascii="Arial" w:hAnsi="Arial" w:cs="Arial"/>
                <w:sz w:val="20"/>
              </w:rPr>
              <w:instrText xml:space="preserve"> ADDIN ZOTERO_ITEM CSL_CITATION {"citationID":"1q03furig2","properties":{"formattedCitation":"(21)","plainCitation":"(21)"},"citationItems":[{"id":61,"uris":["http://zotero.org/users/local/InV67C9x/items/CU6IK2MF"],"uri":["http://zotero.org/users/local/InV67C9x/items/CU6IK2MF"],"itemData":{"id":61,"type":"article-journal","title":"Methods for staging non-small cell lung cancer: Diagnosis and management of lung cancer, 3rd ed: American College of Chest Physicians evidence-based clinical practice guidelines","container-title":"Chest","page":"e211S-50S","volume":"143","issue":"5 Suppl","source":"PubMed","abstract":"BACKGROUND: Correctly staging lung cancer is important because the treatment options and prognosis differ significantly by stage. Several noninvasive imaging studies and invasive tests are available. Understanding the accuracy, advantages, and disadvantages of the available methods for staging non-small cell lung cancer is critical to decision-making.\nMETHODS: Test accuracies for the available staging studies were updated from the second iteration of the American College of Chest Physicians Lung Cancer Guidelines. Systematic searches of the MEDLINE database were performed up to June 2012 with the inclusion of selected meta-analyses, practice guidelines, and reviews. Study designs and results are summarized in evidence tables.\nRESULTS: The sensitivity and specificity of CT scanning for identifying mediastinal lymph node metastasis were approximately 55% and 81%, respectively, confirming that CT scanning has limited ability either to rule in or exclude mediastinal metastasis. For PET scanning, estimates of sensitivity and specificity for identifying mediastinal metastasis were approximately 77% and 86%, respectively. These findings demonstrate that PET scanning is more accurate than CT scanning, but tissue biopsy is still required to confirm PET scan findings. The needle techniques endobronchial ultrasound-needle aspiration, endoscopic ultrasound-needle aspiration, and combined endobronchial ultrasound/endoscopic ultrasound-needle aspiration have sensitivities of approximately 89%, 89%, and 91%, respectively. In direct comparison with surgical staging, needle techniques have emerged as the best first diagnostic tools to obtain tissue. Based on randomized controlled trials, PET or PET-CT scanning is recommended for staging and to detect unsuspected metastatic disease and avoid noncurative resections.\nCONCLUSIONS: Since the last iteration of the staging guidelines, PET scanning has assumed a more prominent role both in its use prior to surgery and when evaluating for metastatic disease. Minimally invasive needle techniques to stage the mediastinum have become increasingly accepted and are the tests of first choice to confirm mediastinal disease in accessible lymph node stations. If negative, these needle techniques should be followed by surgical biopsy. All abnormal scans should be confirmed by tissue biopsy (by whatever method is available) to ensure accurate staging. Evidence suggests that more complete staging improves patient outcomes.","DOI":"10.1378/chest.12-2355","ISSN":"1931-3543","note":"PMID: 23649440","shortTitle":"Methods for staging non-small cell lung cancer","journalAbbreviation":"Chest","language":"eng","author":[{"family":"Silvestri","given":"Gerard A."},{"family":"Gonzalez","given":"Anne V."},{"family":"Jantz","given":"Michael A."},{"family":"Margolis","given":"Mitchell L."},{"family":"Gould","given":"Michael K."},{"family":"Tanoue","given":"Lynn T."},{"family":"Harris","given":"Loren J."},{"family":"Detterbeck","given":"Frank C."}],"issued":{"date-parts":[["2013",5]]},"PMID":"23649440"}}],"schema":"https://github.com/citation-style-language/schema/raw/master/csl-citation.json"} </w:instrText>
            </w:r>
            <w:r>
              <w:rPr>
                <w:rFonts w:ascii="Arial" w:hAnsi="Arial" w:cs="Arial"/>
                <w:sz w:val="20"/>
              </w:rPr>
              <w:fldChar w:fldCharType="separate"/>
            </w:r>
            <w:r>
              <w:rPr>
                <w:rFonts w:ascii="Arial" w:hAnsi="Arial" w:cs="Arial"/>
                <w:sz w:val="20"/>
              </w:rPr>
              <w:t>(21)</w:t>
            </w:r>
            <w:r>
              <w:rPr>
                <w:rFonts w:ascii="Arial" w:hAnsi="Arial" w:cs="Arial"/>
                <w:sz w:val="20"/>
              </w:rPr>
              <w:fldChar w:fldCharType="end"/>
            </w:r>
          </w:p>
        </w:tc>
        <w:tc>
          <w:tcPr>
            <w:tcW w:w="1448" w:type="dxa"/>
            <w:vAlign w:val="center"/>
          </w:tcPr>
          <w:p w:rsidR="00EE7A09" w:rsidRDefault="00EE7A09" w:rsidP="00E653B3">
            <w:pPr>
              <w:spacing w:line="360" w:lineRule="auto"/>
              <w:jc w:val="center"/>
              <w:rPr>
                <w:rFonts w:ascii="Arial" w:hAnsi="Arial" w:cs="Arial"/>
                <w:b/>
                <w:sz w:val="20"/>
              </w:rPr>
            </w:pPr>
            <w:r>
              <w:rPr>
                <w:rFonts w:ascii="Arial" w:hAnsi="Arial" w:cs="Arial"/>
                <w:b/>
                <w:sz w:val="20"/>
              </w:rPr>
              <w:t xml:space="preserve">ESTS, 2014 </w:t>
            </w:r>
            <w:r>
              <w:rPr>
                <w:rFonts w:ascii="Arial" w:hAnsi="Arial" w:cs="Arial"/>
                <w:sz w:val="20"/>
              </w:rPr>
              <w:fldChar w:fldCharType="begin"/>
            </w:r>
            <w:r>
              <w:rPr>
                <w:rFonts w:ascii="Arial" w:hAnsi="Arial" w:cs="Arial"/>
                <w:sz w:val="20"/>
              </w:rPr>
              <w:instrText xml:space="preserve"> ADDIN ZOTERO_ITEM CSL_CITATION {"citationID":"26gf47t0ig","properties":{"formattedCitation":"(23)","plainCitation":"(23)"},"citationItems":[{"id":59,"uris":["http://zotero.org/users/local/InV67C9x/items/SU2MTI2X"],"uri":["http://zotero.org/users/local/InV67C9x/items/SU2MTI2X"],"itemData":{"id":59,"type":"article-journal","title":"Revised ESTS guidelines for preoperative mediastinal lymph node staging for non-small-cell lung cancer","container-title":"European Journal of Cardio-Thoracic Surgery: Official Journal of the European Association for Cardio-Thoracic Surgery","page":"787-798","volume":"45","issue":"5","source":"PubMed","abstract":"Accurate preoperative staging and restaging of mediastinal lymph nodes in patients with potentially resectable non-small-cell lung cancer (NSCLC) is of paramount importance. In 2007, the European Society of Thoracic Surgeons (ESTS) published an algorithm on preoperative mediastinal staging integrating imaging, endoscopic and surgical techniques. In 2009, the International Association for the Study of Lung Cancer (IASLC) introduced a new lymph node map. Some changes in this map have an important impact on mediastinal staging. Moreover, more evidence of the different mediastinal staging technique has become available. Therefore, a revision of the ESTS guidelines was needed. In case of computed tomography (CT)-enlarged or positron emission tomography (PET)-positive mediastinal lymph nodes, tissue confirmation is indicated. Endosonography [endobronchial ultrasonography (EBUS)/esophageal ultrasonography (EUS)] with fine-needle aspiration (FNA) is the first choice (when available), since it is minimally invasive and has a high sensitivity to rule in mediastinal nodal disease. If negative, surgical staging with nodal dissection or biopsy is indicated. Video-assisted mediastinoscopy is preferred to mediastinoscopy. The combined use of endoscopic staging and surgical staging results in the highest accuracy. When there are no enlarged lymph nodes on CT and when there is no uptake in lymph nodes on PET or PET-CT, direct surgical resection with systematic nodal dissection is indicated for tumours ≤ 3 cm located in the outer third of the lung. In central tumours or N1 nodes, preoperative mediastinal staging is indicated. The choice between endoscopic staging with EBUS/EUS and FNA or video-assisted mediastinoscopy depends on local expertise to adhere to minimal requirements for staging. For tumours &gt;3 cm, preoperative mediastinal staging is advised, mainly in adenocarcinoma with high standardized uptake value. For restaging, invasive techniques providing histological information are advisable. Both endoscopic techniques and surgical procedures are available, but their negative predictive value is lower compared with the results obtained in baseline staging. An integrated strategy using endoscopic staging techniques to prove mediastinal nodal disease and mediastinoscopy to assess nodal response after induction therapy needs further study.","DOI":"10.1093/ejcts/ezu028","ISSN":"1873-734X","note":"PMID: 24578407","journalAbbreviation":"Eur J Cardiothorac Surg","language":"eng","author":[{"family":"De Leyn","given":"Paul"},{"family":"Dooms","given":"Christophe"},{"family":"Kuzdzal","given":"Jaroslaw"},{"family":"Lardinois","given":"Didier"},{"family":"Passlick","given":"Bernward"},{"family":"Rami-Porta","given":"Ramon"},{"family":"Turna","given":"Akif"},{"family":"Van Schil","given":"Paul"},{"family":"Venuta","given":"Frederico"},{"family":"Waller","given":"David"},{"family":"Weder","given":"Walter"},{"family":"Zielinski","given":"Marcin"}],"issued":{"date-parts":[["2014",5]]},"PMID":"24578407"}}],"schema":"https://github.com/citation-style-language/schema/raw/master/csl-citation.json"} </w:instrText>
            </w:r>
            <w:r>
              <w:rPr>
                <w:rFonts w:ascii="Arial" w:hAnsi="Arial" w:cs="Arial"/>
                <w:sz w:val="20"/>
              </w:rPr>
              <w:fldChar w:fldCharType="separate"/>
            </w:r>
            <w:r>
              <w:rPr>
                <w:rFonts w:ascii="Arial" w:hAnsi="Arial" w:cs="Arial"/>
                <w:sz w:val="20"/>
              </w:rPr>
              <w:t>(23)</w:t>
            </w:r>
            <w:r>
              <w:rPr>
                <w:rFonts w:ascii="Arial" w:hAnsi="Arial" w:cs="Arial"/>
                <w:sz w:val="20"/>
              </w:rPr>
              <w:fldChar w:fldCharType="end"/>
            </w:r>
          </w:p>
        </w:tc>
      </w:tr>
      <w:tr w:rsidR="00EE7A09" w:rsidTr="00E653B3">
        <w:tc>
          <w:tcPr>
            <w:tcW w:w="3936" w:type="dxa"/>
            <w:vAlign w:val="center"/>
          </w:tcPr>
          <w:p w:rsidR="00EE7A09" w:rsidRDefault="00EE7A09" w:rsidP="00E653B3">
            <w:pPr>
              <w:spacing w:line="360" w:lineRule="auto"/>
              <w:rPr>
                <w:rFonts w:ascii="Arial" w:hAnsi="Arial" w:cs="Arial"/>
                <w:sz w:val="20"/>
              </w:rPr>
            </w:pPr>
            <w:proofErr w:type="spellStart"/>
            <w:r>
              <w:rPr>
                <w:rFonts w:ascii="Arial" w:hAnsi="Arial" w:cs="Arial"/>
                <w:sz w:val="20"/>
              </w:rPr>
              <w:t>Adenopatía</w:t>
            </w:r>
            <w:proofErr w:type="spellEnd"/>
            <w:r>
              <w:rPr>
                <w:rFonts w:ascii="Arial" w:hAnsi="Arial" w:cs="Arial"/>
                <w:sz w:val="20"/>
              </w:rPr>
              <w:t xml:space="preserve"> </w:t>
            </w:r>
            <w:proofErr w:type="spellStart"/>
            <w:r>
              <w:rPr>
                <w:rFonts w:ascii="Arial" w:hAnsi="Arial" w:cs="Arial"/>
                <w:sz w:val="20"/>
              </w:rPr>
              <w:t>aumentada</w:t>
            </w:r>
            <w:proofErr w:type="spellEnd"/>
            <w:r>
              <w:rPr>
                <w:rFonts w:ascii="Arial" w:hAnsi="Arial" w:cs="Arial"/>
                <w:sz w:val="20"/>
              </w:rPr>
              <w:t xml:space="preserve"> de tamaño</w:t>
            </w:r>
            <w:r>
              <w:rPr>
                <w:rFonts w:ascii="Arial" w:hAnsi="Arial" w:cs="Arial"/>
                <w:sz w:val="20"/>
                <w:vertAlign w:val="superscript"/>
              </w:rPr>
              <w:t>1</w:t>
            </w:r>
          </w:p>
        </w:tc>
        <w:tc>
          <w:tcPr>
            <w:tcW w:w="1701" w:type="dxa"/>
            <w:shd w:val="clear" w:color="auto" w:fill="F2F2F2"/>
            <w:vAlign w:val="center"/>
          </w:tcPr>
          <w:p w:rsidR="00EE7A09" w:rsidRDefault="00EE7A09" w:rsidP="00E653B3">
            <w:pPr>
              <w:spacing w:line="360" w:lineRule="auto"/>
              <w:jc w:val="center"/>
              <w:rPr>
                <w:rFonts w:ascii="Arial" w:hAnsi="Arial" w:cs="Arial"/>
                <w:sz w:val="20"/>
              </w:rPr>
            </w:pPr>
            <w:r>
              <w:rPr>
                <w:rFonts w:ascii="Arial" w:hAnsi="Arial" w:cs="Arial"/>
                <w:sz w:val="20"/>
              </w:rPr>
              <w:t>+</w:t>
            </w:r>
          </w:p>
        </w:tc>
        <w:tc>
          <w:tcPr>
            <w:tcW w:w="1559" w:type="dxa"/>
            <w:shd w:val="clear" w:color="auto" w:fill="D9D9D9"/>
            <w:vAlign w:val="center"/>
          </w:tcPr>
          <w:p w:rsidR="00EE7A09" w:rsidRDefault="00EE7A09" w:rsidP="00E653B3">
            <w:pPr>
              <w:spacing w:line="360" w:lineRule="auto"/>
              <w:jc w:val="center"/>
              <w:rPr>
                <w:rFonts w:ascii="Arial" w:hAnsi="Arial" w:cs="Arial"/>
                <w:sz w:val="20"/>
              </w:rPr>
            </w:pPr>
            <w:r>
              <w:rPr>
                <w:rFonts w:ascii="Arial" w:hAnsi="Arial" w:cs="Arial"/>
                <w:sz w:val="20"/>
              </w:rPr>
              <w:t>+</w:t>
            </w:r>
          </w:p>
        </w:tc>
        <w:tc>
          <w:tcPr>
            <w:tcW w:w="1448" w:type="dxa"/>
            <w:shd w:val="clear" w:color="auto" w:fill="757575"/>
            <w:vAlign w:val="center"/>
          </w:tcPr>
          <w:p w:rsidR="00EE7A09" w:rsidRDefault="00EE7A09" w:rsidP="00E653B3">
            <w:pPr>
              <w:spacing w:line="360" w:lineRule="auto"/>
              <w:jc w:val="center"/>
              <w:rPr>
                <w:rFonts w:ascii="Arial" w:hAnsi="Arial" w:cs="Arial"/>
                <w:sz w:val="20"/>
              </w:rPr>
            </w:pPr>
            <w:r>
              <w:rPr>
                <w:rFonts w:ascii="Arial" w:hAnsi="Arial" w:cs="Arial"/>
                <w:sz w:val="20"/>
              </w:rPr>
              <w:t>+</w:t>
            </w:r>
          </w:p>
        </w:tc>
      </w:tr>
      <w:tr w:rsidR="00EE7A09" w:rsidTr="00E653B3">
        <w:tc>
          <w:tcPr>
            <w:tcW w:w="3936" w:type="dxa"/>
            <w:vAlign w:val="center"/>
          </w:tcPr>
          <w:p w:rsidR="00EE7A09" w:rsidRDefault="00EE7A09" w:rsidP="00E653B3">
            <w:pPr>
              <w:spacing w:line="360" w:lineRule="auto"/>
              <w:rPr>
                <w:rFonts w:ascii="Arial" w:hAnsi="Arial" w:cs="Arial"/>
                <w:sz w:val="20"/>
              </w:rPr>
            </w:pPr>
            <w:proofErr w:type="spellStart"/>
            <w:r>
              <w:rPr>
                <w:rFonts w:ascii="Arial" w:hAnsi="Arial" w:cs="Arial"/>
                <w:sz w:val="20"/>
              </w:rPr>
              <w:t>Adenopatía</w:t>
            </w:r>
            <w:proofErr w:type="spellEnd"/>
            <w:r>
              <w:rPr>
                <w:rFonts w:ascii="Arial" w:hAnsi="Arial" w:cs="Arial"/>
                <w:sz w:val="20"/>
              </w:rPr>
              <w:t xml:space="preserve"> </w:t>
            </w:r>
            <w:proofErr w:type="spellStart"/>
            <w:r>
              <w:rPr>
                <w:rFonts w:ascii="Arial" w:hAnsi="Arial" w:cs="Arial"/>
                <w:sz w:val="20"/>
              </w:rPr>
              <w:t>hipercaptante</w:t>
            </w:r>
            <w:proofErr w:type="spellEnd"/>
            <w:r>
              <w:rPr>
                <w:rFonts w:ascii="Arial" w:hAnsi="Arial" w:cs="Arial"/>
                <w:sz w:val="20"/>
              </w:rPr>
              <w:t xml:space="preserve"> en el PET</w:t>
            </w:r>
          </w:p>
        </w:tc>
        <w:tc>
          <w:tcPr>
            <w:tcW w:w="1701" w:type="dxa"/>
            <w:shd w:val="clear" w:color="auto" w:fill="F2F2F2"/>
            <w:vAlign w:val="center"/>
          </w:tcPr>
          <w:p w:rsidR="00EE7A09" w:rsidRDefault="00EE7A09" w:rsidP="00E653B3">
            <w:pPr>
              <w:spacing w:line="360" w:lineRule="auto"/>
              <w:jc w:val="center"/>
              <w:rPr>
                <w:rFonts w:ascii="Arial" w:hAnsi="Arial" w:cs="Arial"/>
                <w:sz w:val="20"/>
              </w:rPr>
            </w:pPr>
            <w:r>
              <w:rPr>
                <w:rFonts w:ascii="Arial" w:hAnsi="Arial" w:cs="Arial"/>
                <w:sz w:val="20"/>
              </w:rPr>
              <w:t>+</w:t>
            </w:r>
          </w:p>
        </w:tc>
        <w:tc>
          <w:tcPr>
            <w:tcW w:w="1559" w:type="dxa"/>
            <w:shd w:val="clear" w:color="auto" w:fill="D9D9D9"/>
            <w:vAlign w:val="center"/>
          </w:tcPr>
          <w:p w:rsidR="00EE7A09" w:rsidRDefault="00EE7A09" w:rsidP="00E653B3">
            <w:pPr>
              <w:spacing w:line="360" w:lineRule="auto"/>
              <w:jc w:val="center"/>
              <w:rPr>
                <w:rFonts w:ascii="Arial" w:hAnsi="Arial" w:cs="Arial"/>
                <w:sz w:val="20"/>
              </w:rPr>
            </w:pPr>
            <w:r>
              <w:rPr>
                <w:rFonts w:ascii="Arial" w:hAnsi="Arial" w:cs="Arial"/>
                <w:sz w:val="20"/>
              </w:rPr>
              <w:t>+</w:t>
            </w:r>
          </w:p>
        </w:tc>
        <w:tc>
          <w:tcPr>
            <w:tcW w:w="1448" w:type="dxa"/>
            <w:shd w:val="clear" w:color="auto" w:fill="757575"/>
            <w:vAlign w:val="center"/>
          </w:tcPr>
          <w:p w:rsidR="00EE7A09" w:rsidRDefault="00EE7A09" w:rsidP="00E653B3">
            <w:pPr>
              <w:spacing w:line="360" w:lineRule="auto"/>
              <w:jc w:val="center"/>
              <w:rPr>
                <w:rFonts w:ascii="Arial" w:hAnsi="Arial" w:cs="Arial"/>
                <w:sz w:val="20"/>
              </w:rPr>
            </w:pPr>
            <w:r>
              <w:rPr>
                <w:rFonts w:ascii="Arial" w:hAnsi="Arial" w:cs="Arial"/>
                <w:sz w:val="20"/>
              </w:rPr>
              <w:t>+</w:t>
            </w:r>
          </w:p>
        </w:tc>
      </w:tr>
      <w:tr w:rsidR="00EE7A09" w:rsidTr="00E653B3">
        <w:tc>
          <w:tcPr>
            <w:tcW w:w="3936" w:type="dxa"/>
            <w:vAlign w:val="center"/>
          </w:tcPr>
          <w:p w:rsidR="00EE7A09" w:rsidRDefault="00EE7A09" w:rsidP="00E653B3">
            <w:pPr>
              <w:spacing w:line="360" w:lineRule="auto"/>
              <w:rPr>
                <w:rFonts w:ascii="Arial" w:hAnsi="Arial" w:cs="Arial"/>
                <w:sz w:val="20"/>
              </w:rPr>
            </w:pPr>
            <w:r>
              <w:rPr>
                <w:rFonts w:ascii="Arial" w:hAnsi="Arial" w:cs="Arial"/>
                <w:sz w:val="20"/>
              </w:rPr>
              <w:t>Tumor central</w:t>
            </w:r>
          </w:p>
        </w:tc>
        <w:tc>
          <w:tcPr>
            <w:tcW w:w="1701" w:type="dxa"/>
            <w:shd w:val="clear" w:color="auto" w:fill="F2F2F2"/>
            <w:vAlign w:val="center"/>
          </w:tcPr>
          <w:p w:rsidR="00EE7A09" w:rsidRDefault="00EE7A09" w:rsidP="00E653B3">
            <w:pPr>
              <w:spacing w:line="360" w:lineRule="auto"/>
              <w:jc w:val="center"/>
              <w:rPr>
                <w:rFonts w:ascii="Arial" w:hAnsi="Arial" w:cs="Arial"/>
                <w:sz w:val="20"/>
              </w:rPr>
            </w:pPr>
            <w:r>
              <w:rPr>
                <w:rFonts w:ascii="Arial" w:hAnsi="Arial" w:cs="Arial"/>
                <w:sz w:val="20"/>
              </w:rPr>
              <w:t>+</w:t>
            </w:r>
          </w:p>
        </w:tc>
        <w:tc>
          <w:tcPr>
            <w:tcW w:w="1559" w:type="dxa"/>
            <w:shd w:val="clear" w:color="auto" w:fill="D9D9D9"/>
            <w:vAlign w:val="center"/>
          </w:tcPr>
          <w:p w:rsidR="00EE7A09" w:rsidRDefault="00EE7A09" w:rsidP="00E653B3">
            <w:pPr>
              <w:spacing w:line="360" w:lineRule="auto"/>
              <w:jc w:val="center"/>
              <w:rPr>
                <w:rFonts w:ascii="Arial" w:hAnsi="Arial" w:cs="Arial"/>
                <w:sz w:val="20"/>
              </w:rPr>
            </w:pPr>
            <w:r>
              <w:rPr>
                <w:rFonts w:ascii="Arial" w:hAnsi="Arial" w:cs="Arial"/>
                <w:sz w:val="20"/>
              </w:rPr>
              <w:t>+</w:t>
            </w:r>
          </w:p>
        </w:tc>
        <w:tc>
          <w:tcPr>
            <w:tcW w:w="1448" w:type="dxa"/>
            <w:shd w:val="clear" w:color="auto" w:fill="F2F2F2"/>
            <w:vAlign w:val="center"/>
          </w:tcPr>
          <w:p w:rsidR="00EE7A09" w:rsidRDefault="00EE7A09" w:rsidP="00E653B3">
            <w:pPr>
              <w:spacing w:line="360" w:lineRule="auto"/>
              <w:jc w:val="center"/>
              <w:rPr>
                <w:rFonts w:ascii="Arial" w:hAnsi="Arial" w:cs="Arial"/>
                <w:sz w:val="20"/>
              </w:rPr>
            </w:pPr>
            <w:r>
              <w:rPr>
                <w:rFonts w:ascii="Arial" w:hAnsi="Arial" w:cs="Arial"/>
                <w:sz w:val="20"/>
              </w:rPr>
              <w:t>+</w:t>
            </w:r>
          </w:p>
        </w:tc>
      </w:tr>
      <w:tr w:rsidR="00EE7A09" w:rsidTr="00E653B3">
        <w:tc>
          <w:tcPr>
            <w:tcW w:w="3936" w:type="dxa"/>
            <w:vAlign w:val="center"/>
          </w:tcPr>
          <w:p w:rsidR="00EE7A09" w:rsidRDefault="00EE7A09" w:rsidP="00E653B3">
            <w:pPr>
              <w:spacing w:line="360" w:lineRule="auto"/>
              <w:rPr>
                <w:rFonts w:ascii="Arial" w:hAnsi="Arial" w:cs="Arial"/>
                <w:sz w:val="20"/>
              </w:rPr>
            </w:pPr>
            <w:proofErr w:type="spellStart"/>
            <w:r>
              <w:rPr>
                <w:rFonts w:ascii="Arial" w:hAnsi="Arial" w:cs="Arial"/>
                <w:sz w:val="20"/>
              </w:rPr>
              <w:t>Sospecha</w:t>
            </w:r>
            <w:proofErr w:type="spellEnd"/>
            <w:r>
              <w:rPr>
                <w:rFonts w:ascii="Arial" w:hAnsi="Arial" w:cs="Arial"/>
                <w:sz w:val="20"/>
              </w:rPr>
              <w:t xml:space="preserve"> de N1</w:t>
            </w:r>
          </w:p>
        </w:tc>
        <w:tc>
          <w:tcPr>
            <w:tcW w:w="1701" w:type="dxa"/>
            <w:shd w:val="clear" w:color="auto" w:fill="F2F2F2"/>
            <w:vAlign w:val="center"/>
          </w:tcPr>
          <w:p w:rsidR="00EE7A09" w:rsidRDefault="00EE7A09" w:rsidP="00E653B3">
            <w:pPr>
              <w:spacing w:line="360" w:lineRule="auto"/>
              <w:jc w:val="center"/>
              <w:rPr>
                <w:rFonts w:ascii="Arial" w:hAnsi="Arial" w:cs="Arial"/>
                <w:sz w:val="20"/>
              </w:rPr>
            </w:pPr>
            <w:r>
              <w:rPr>
                <w:rFonts w:ascii="Arial" w:hAnsi="Arial" w:cs="Arial"/>
                <w:sz w:val="20"/>
              </w:rPr>
              <w:t>+</w:t>
            </w:r>
          </w:p>
        </w:tc>
        <w:tc>
          <w:tcPr>
            <w:tcW w:w="1559" w:type="dxa"/>
            <w:shd w:val="clear" w:color="auto" w:fill="D9D9D9"/>
            <w:vAlign w:val="center"/>
          </w:tcPr>
          <w:p w:rsidR="00EE7A09" w:rsidRDefault="00EE7A09" w:rsidP="00E653B3">
            <w:pPr>
              <w:spacing w:line="360" w:lineRule="auto"/>
              <w:jc w:val="center"/>
              <w:rPr>
                <w:rFonts w:ascii="Arial" w:hAnsi="Arial" w:cs="Arial"/>
                <w:sz w:val="20"/>
              </w:rPr>
            </w:pPr>
            <w:r>
              <w:rPr>
                <w:rFonts w:ascii="Arial" w:hAnsi="Arial" w:cs="Arial"/>
                <w:sz w:val="20"/>
              </w:rPr>
              <w:t>+</w:t>
            </w:r>
          </w:p>
        </w:tc>
        <w:tc>
          <w:tcPr>
            <w:tcW w:w="1448" w:type="dxa"/>
            <w:shd w:val="clear" w:color="auto" w:fill="F2F2F2"/>
            <w:vAlign w:val="center"/>
          </w:tcPr>
          <w:p w:rsidR="00EE7A09" w:rsidRDefault="00EE7A09" w:rsidP="00E653B3">
            <w:pPr>
              <w:spacing w:line="360" w:lineRule="auto"/>
              <w:jc w:val="center"/>
              <w:rPr>
                <w:rFonts w:ascii="Arial" w:hAnsi="Arial" w:cs="Arial"/>
                <w:sz w:val="20"/>
              </w:rPr>
            </w:pPr>
            <w:r>
              <w:rPr>
                <w:rFonts w:ascii="Arial" w:hAnsi="Arial" w:cs="Arial"/>
                <w:sz w:val="20"/>
              </w:rPr>
              <w:t>+</w:t>
            </w:r>
          </w:p>
        </w:tc>
      </w:tr>
      <w:tr w:rsidR="00EE7A09" w:rsidTr="00E653B3">
        <w:trPr>
          <w:trHeight w:val="70"/>
        </w:trPr>
        <w:tc>
          <w:tcPr>
            <w:tcW w:w="3936" w:type="dxa"/>
            <w:vAlign w:val="center"/>
          </w:tcPr>
          <w:p w:rsidR="00EE7A09" w:rsidRDefault="00EE7A09" w:rsidP="00E653B3">
            <w:pPr>
              <w:spacing w:line="360" w:lineRule="auto"/>
              <w:rPr>
                <w:rFonts w:ascii="Arial" w:hAnsi="Arial" w:cs="Arial"/>
                <w:sz w:val="20"/>
              </w:rPr>
            </w:pPr>
            <w:r>
              <w:rPr>
                <w:rFonts w:ascii="Arial" w:hAnsi="Arial" w:cs="Arial"/>
                <w:sz w:val="20"/>
              </w:rPr>
              <w:t xml:space="preserve">Tumor  con </w:t>
            </w:r>
            <w:proofErr w:type="spellStart"/>
            <w:r>
              <w:rPr>
                <w:rFonts w:ascii="Arial" w:hAnsi="Arial" w:cs="Arial"/>
                <w:sz w:val="20"/>
              </w:rPr>
              <w:t>escasa</w:t>
            </w:r>
            <w:proofErr w:type="spellEnd"/>
            <w:r>
              <w:rPr>
                <w:rFonts w:ascii="Arial" w:hAnsi="Arial" w:cs="Arial"/>
                <w:sz w:val="20"/>
              </w:rPr>
              <w:t xml:space="preserve"> </w:t>
            </w:r>
            <w:proofErr w:type="spellStart"/>
            <w:r>
              <w:rPr>
                <w:rFonts w:ascii="Arial" w:hAnsi="Arial" w:cs="Arial"/>
                <w:sz w:val="20"/>
              </w:rPr>
              <w:t>captación</w:t>
            </w:r>
            <w:proofErr w:type="spellEnd"/>
            <w:r>
              <w:rPr>
                <w:rFonts w:ascii="Arial" w:hAnsi="Arial" w:cs="Arial"/>
                <w:sz w:val="20"/>
              </w:rPr>
              <w:t xml:space="preserve"> en el PET</w:t>
            </w:r>
          </w:p>
        </w:tc>
        <w:tc>
          <w:tcPr>
            <w:tcW w:w="1701" w:type="dxa"/>
            <w:shd w:val="clear" w:color="auto" w:fill="F2F2F2"/>
            <w:vAlign w:val="center"/>
          </w:tcPr>
          <w:p w:rsidR="00EE7A09" w:rsidRDefault="00EE7A09" w:rsidP="00E653B3">
            <w:pPr>
              <w:spacing w:line="360" w:lineRule="auto"/>
              <w:jc w:val="center"/>
              <w:rPr>
                <w:rFonts w:ascii="Arial" w:hAnsi="Arial" w:cs="Arial"/>
                <w:sz w:val="20"/>
              </w:rPr>
            </w:pPr>
            <w:r>
              <w:rPr>
                <w:rFonts w:ascii="Arial" w:hAnsi="Arial" w:cs="Arial"/>
                <w:sz w:val="20"/>
              </w:rPr>
              <w:t>+</w:t>
            </w:r>
          </w:p>
        </w:tc>
        <w:tc>
          <w:tcPr>
            <w:tcW w:w="1559" w:type="dxa"/>
            <w:vAlign w:val="center"/>
          </w:tcPr>
          <w:p w:rsidR="00EE7A09" w:rsidRDefault="00EE7A09" w:rsidP="00E653B3">
            <w:pPr>
              <w:spacing w:line="360" w:lineRule="auto"/>
              <w:jc w:val="center"/>
              <w:rPr>
                <w:rFonts w:ascii="Arial" w:hAnsi="Arial" w:cs="Arial"/>
                <w:sz w:val="20"/>
              </w:rPr>
            </w:pPr>
            <w:r>
              <w:rPr>
                <w:rFonts w:ascii="Arial" w:hAnsi="Arial" w:cs="Arial"/>
                <w:sz w:val="20"/>
              </w:rPr>
              <w:t>-</w:t>
            </w:r>
          </w:p>
        </w:tc>
        <w:tc>
          <w:tcPr>
            <w:tcW w:w="1448" w:type="dxa"/>
            <w:vAlign w:val="center"/>
          </w:tcPr>
          <w:p w:rsidR="00EE7A09" w:rsidRDefault="00EE7A09" w:rsidP="00E653B3">
            <w:pPr>
              <w:spacing w:line="360" w:lineRule="auto"/>
              <w:jc w:val="center"/>
              <w:rPr>
                <w:rFonts w:ascii="Arial" w:hAnsi="Arial" w:cs="Arial"/>
                <w:sz w:val="20"/>
              </w:rPr>
            </w:pPr>
            <w:r>
              <w:rPr>
                <w:rFonts w:ascii="Arial" w:hAnsi="Arial" w:cs="Arial"/>
                <w:sz w:val="20"/>
              </w:rPr>
              <w:t>-</w:t>
            </w:r>
          </w:p>
        </w:tc>
      </w:tr>
      <w:tr w:rsidR="00EE7A09" w:rsidTr="00E653B3">
        <w:trPr>
          <w:trHeight w:val="404"/>
        </w:trPr>
        <w:tc>
          <w:tcPr>
            <w:tcW w:w="3936" w:type="dxa"/>
            <w:vAlign w:val="center"/>
          </w:tcPr>
          <w:p w:rsidR="00EE7A09" w:rsidRDefault="00EE7A09" w:rsidP="00E653B3">
            <w:pPr>
              <w:spacing w:line="360" w:lineRule="auto"/>
              <w:rPr>
                <w:rFonts w:ascii="Arial" w:hAnsi="Arial" w:cs="Arial"/>
                <w:sz w:val="20"/>
              </w:rPr>
            </w:pPr>
            <w:r>
              <w:rPr>
                <w:rFonts w:ascii="Arial" w:hAnsi="Arial" w:cs="Arial"/>
                <w:sz w:val="20"/>
              </w:rPr>
              <w:t>Tumor &gt; 3 cm (</w:t>
            </w:r>
            <w:proofErr w:type="spellStart"/>
            <w:r>
              <w:rPr>
                <w:rFonts w:ascii="Arial" w:hAnsi="Arial" w:cs="Arial"/>
                <w:sz w:val="20"/>
              </w:rPr>
              <w:t>sobre</w:t>
            </w:r>
            <w:proofErr w:type="spellEnd"/>
            <w:r>
              <w:rPr>
                <w:rFonts w:ascii="Arial" w:hAnsi="Arial" w:cs="Arial"/>
                <w:sz w:val="20"/>
              </w:rPr>
              <w:t xml:space="preserve"> </w:t>
            </w:r>
            <w:proofErr w:type="spellStart"/>
            <w:r>
              <w:rPr>
                <w:rFonts w:ascii="Arial" w:hAnsi="Arial" w:cs="Arial"/>
                <w:sz w:val="20"/>
              </w:rPr>
              <w:t>todo</w:t>
            </w:r>
            <w:proofErr w:type="spellEnd"/>
            <w:r>
              <w:rPr>
                <w:rFonts w:ascii="Arial" w:hAnsi="Arial" w:cs="Arial"/>
                <w:sz w:val="20"/>
              </w:rPr>
              <w:t xml:space="preserve"> </w:t>
            </w:r>
            <w:proofErr w:type="spellStart"/>
            <w:r>
              <w:rPr>
                <w:rFonts w:ascii="Arial" w:hAnsi="Arial" w:cs="Arial"/>
                <w:sz w:val="20"/>
              </w:rPr>
              <w:t>si</w:t>
            </w:r>
            <w:proofErr w:type="spellEnd"/>
            <w:r>
              <w:rPr>
                <w:rFonts w:ascii="Arial" w:hAnsi="Arial" w:cs="Arial"/>
                <w:sz w:val="20"/>
              </w:rPr>
              <w:t xml:space="preserve"> adenocarcinoma </w:t>
            </w:r>
            <w:proofErr w:type="spellStart"/>
            <w:r>
              <w:rPr>
                <w:rFonts w:ascii="Arial" w:hAnsi="Arial" w:cs="Arial"/>
                <w:sz w:val="20"/>
              </w:rPr>
              <w:t>hipercaptante</w:t>
            </w:r>
            <w:proofErr w:type="spellEnd"/>
            <w:r>
              <w:rPr>
                <w:rFonts w:ascii="Arial" w:hAnsi="Arial" w:cs="Arial"/>
                <w:sz w:val="20"/>
              </w:rPr>
              <w:t xml:space="preserve"> en PET)</w:t>
            </w:r>
          </w:p>
        </w:tc>
        <w:tc>
          <w:tcPr>
            <w:tcW w:w="1701" w:type="dxa"/>
            <w:vAlign w:val="center"/>
          </w:tcPr>
          <w:p w:rsidR="00EE7A09" w:rsidRDefault="00EE7A09" w:rsidP="00E653B3">
            <w:pPr>
              <w:spacing w:line="360" w:lineRule="auto"/>
              <w:jc w:val="center"/>
              <w:rPr>
                <w:rFonts w:ascii="Arial" w:hAnsi="Arial" w:cs="Arial"/>
                <w:sz w:val="20"/>
              </w:rPr>
            </w:pPr>
            <w:r>
              <w:rPr>
                <w:rFonts w:ascii="Arial" w:hAnsi="Arial" w:cs="Arial"/>
                <w:sz w:val="20"/>
              </w:rPr>
              <w:t>-</w:t>
            </w:r>
          </w:p>
        </w:tc>
        <w:tc>
          <w:tcPr>
            <w:tcW w:w="1559" w:type="dxa"/>
            <w:vAlign w:val="center"/>
          </w:tcPr>
          <w:p w:rsidR="00EE7A09" w:rsidRDefault="00EE7A09" w:rsidP="00E653B3">
            <w:pPr>
              <w:spacing w:line="360" w:lineRule="auto"/>
              <w:jc w:val="center"/>
              <w:rPr>
                <w:rFonts w:ascii="Arial" w:hAnsi="Arial" w:cs="Arial"/>
                <w:sz w:val="20"/>
              </w:rPr>
            </w:pPr>
            <w:r>
              <w:rPr>
                <w:rFonts w:ascii="Arial" w:hAnsi="Arial" w:cs="Arial"/>
                <w:sz w:val="20"/>
              </w:rPr>
              <w:t>-</w:t>
            </w:r>
          </w:p>
        </w:tc>
        <w:tc>
          <w:tcPr>
            <w:tcW w:w="1448" w:type="dxa"/>
            <w:shd w:val="clear" w:color="auto" w:fill="F2F2F2"/>
            <w:vAlign w:val="center"/>
          </w:tcPr>
          <w:p w:rsidR="00EE7A09" w:rsidRDefault="00EE7A09" w:rsidP="00E653B3">
            <w:pPr>
              <w:spacing w:line="360" w:lineRule="auto"/>
              <w:jc w:val="center"/>
              <w:rPr>
                <w:rFonts w:ascii="Arial" w:hAnsi="Arial" w:cs="Arial"/>
                <w:sz w:val="20"/>
              </w:rPr>
            </w:pPr>
            <w:r>
              <w:rPr>
                <w:rFonts w:ascii="Arial" w:hAnsi="Arial" w:cs="Arial"/>
                <w:sz w:val="20"/>
              </w:rPr>
              <w:t>+</w:t>
            </w:r>
          </w:p>
        </w:tc>
      </w:tr>
    </w:tbl>
    <w:p w:rsidR="00EE7A09" w:rsidRDefault="00EE7A09" w:rsidP="00EE7A09">
      <w:pPr>
        <w:pStyle w:val="Sinespaciado"/>
        <w:spacing w:after="0" w:line="360" w:lineRule="auto"/>
        <w:rPr>
          <w:rFonts w:ascii="Arial" w:hAnsi="Arial" w:cs="Arial"/>
          <w:sz w:val="20"/>
        </w:rPr>
      </w:pPr>
    </w:p>
    <w:p w:rsidR="00EE7A09" w:rsidRDefault="00EE7A09" w:rsidP="00EE7A09">
      <w:pPr>
        <w:pStyle w:val="Sinespaciado"/>
        <w:spacing w:after="0" w:line="360" w:lineRule="auto"/>
        <w:rPr>
          <w:rFonts w:ascii="Arial" w:hAnsi="Arial" w:cs="Arial"/>
          <w:sz w:val="20"/>
        </w:rPr>
      </w:pPr>
      <w:r>
        <w:rPr>
          <w:rFonts w:ascii="Arial" w:hAnsi="Arial" w:cs="Arial"/>
          <w:sz w:val="20"/>
        </w:rPr>
        <w:t>SEPAR = Sociedad Española de Patología Respiratoria</w:t>
      </w:r>
    </w:p>
    <w:p w:rsidR="00EE7A09" w:rsidRDefault="00EE7A09" w:rsidP="00EE7A09">
      <w:pPr>
        <w:pStyle w:val="Sinespaciado"/>
        <w:spacing w:after="0" w:line="360" w:lineRule="auto"/>
        <w:rPr>
          <w:rFonts w:ascii="Arial" w:hAnsi="Arial" w:cs="Arial"/>
          <w:sz w:val="20"/>
        </w:rPr>
      </w:pPr>
      <w:r>
        <w:rPr>
          <w:rFonts w:ascii="Arial" w:hAnsi="Arial" w:cs="Arial"/>
          <w:sz w:val="20"/>
        </w:rPr>
        <w:t xml:space="preserve">ACCP = American </w:t>
      </w:r>
      <w:proofErr w:type="spellStart"/>
      <w:r>
        <w:rPr>
          <w:rFonts w:ascii="Arial" w:hAnsi="Arial" w:cs="Arial"/>
          <w:sz w:val="20"/>
        </w:rPr>
        <w:t>College</w:t>
      </w:r>
      <w:proofErr w:type="spellEnd"/>
      <w:r>
        <w:rPr>
          <w:rFonts w:ascii="Arial" w:hAnsi="Arial" w:cs="Arial"/>
          <w:sz w:val="20"/>
        </w:rPr>
        <w:t xml:space="preserve"> of </w:t>
      </w:r>
      <w:proofErr w:type="spellStart"/>
      <w:r>
        <w:rPr>
          <w:rFonts w:ascii="Arial" w:hAnsi="Arial" w:cs="Arial"/>
          <w:sz w:val="20"/>
        </w:rPr>
        <w:t>Chest</w:t>
      </w:r>
      <w:proofErr w:type="spellEnd"/>
      <w:r>
        <w:rPr>
          <w:rFonts w:ascii="Arial" w:hAnsi="Arial" w:cs="Arial"/>
          <w:sz w:val="20"/>
        </w:rPr>
        <w:t xml:space="preserve"> </w:t>
      </w:r>
      <w:proofErr w:type="spellStart"/>
      <w:r>
        <w:rPr>
          <w:rFonts w:ascii="Arial" w:hAnsi="Arial" w:cs="Arial"/>
          <w:sz w:val="20"/>
        </w:rPr>
        <w:t>Phisicians</w:t>
      </w:r>
      <w:proofErr w:type="spellEnd"/>
    </w:p>
    <w:p w:rsidR="00EE7A09" w:rsidRDefault="00EE7A09" w:rsidP="00EE7A09">
      <w:pPr>
        <w:pStyle w:val="Sinespaciado"/>
        <w:spacing w:after="0" w:line="360" w:lineRule="auto"/>
        <w:rPr>
          <w:rFonts w:ascii="Arial" w:hAnsi="Arial" w:cs="Arial"/>
          <w:sz w:val="20"/>
        </w:rPr>
      </w:pPr>
      <w:r>
        <w:rPr>
          <w:rFonts w:ascii="Arial" w:hAnsi="Arial" w:cs="Arial"/>
          <w:sz w:val="20"/>
        </w:rPr>
        <w:t xml:space="preserve">ESTS = </w:t>
      </w:r>
      <w:proofErr w:type="spellStart"/>
      <w:r>
        <w:rPr>
          <w:rFonts w:ascii="Arial" w:hAnsi="Arial" w:cs="Arial"/>
          <w:sz w:val="20"/>
        </w:rPr>
        <w:t>European</w:t>
      </w:r>
      <w:proofErr w:type="spellEnd"/>
      <w:r>
        <w:rPr>
          <w:rFonts w:ascii="Arial" w:hAnsi="Arial" w:cs="Arial"/>
          <w:sz w:val="20"/>
        </w:rPr>
        <w:t xml:space="preserve"> </w:t>
      </w:r>
      <w:proofErr w:type="spellStart"/>
      <w:r>
        <w:rPr>
          <w:rFonts w:ascii="Arial" w:hAnsi="Arial" w:cs="Arial"/>
          <w:sz w:val="20"/>
        </w:rPr>
        <w:t>Society</w:t>
      </w:r>
      <w:proofErr w:type="spellEnd"/>
      <w:r>
        <w:rPr>
          <w:rFonts w:ascii="Arial" w:hAnsi="Arial" w:cs="Arial"/>
          <w:sz w:val="20"/>
        </w:rPr>
        <w:t xml:space="preserve"> of </w:t>
      </w:r>
      <w:proofErr w:type="spellStart"/>
      <w:r>
        <w:rPr>
          <w:rFonts w:ascii="Arial" w:hAnsi="Arial" w:cs="Arial"/>
          <w:sz w:val="20"/>
        </w:rPr>
        <w:t>Thoracic</w:t>
      </w:r>
      <w:proofErr w:type="spellEnd"/>
      <w:r>
        <w:rPr>
          <w:rFonts w:ascii="Arial" w:hAnsi="Arial" w:cs="Arial"/>
          <w:sz w:val="20"/>
        </w:rPr>
        <w:t xml:space="preserve"> </w:t>
      </w:r>
      <w:proofErr w:type="spellStart"/>
      <w:r>
        <w:rPr>
          <w:rFonts w:ascii="Arial" w:hAnsi="Arial" w:cs="Arial"/>
          <w:sz w:val="20"/>
        </w:rPr>
        <w:t>Surgeons</w:t>
      </w:r>
      <w:proofErr w:type="spellEnd"/>
    </w:p>
    <w:p w:rsidR="00EE7A09" w:rsidRDefault="00EE7A09" w:rsidP="00EE7A09">
      <w:pPr>
        <w:pStyle w:val="Sinespaciado"/>
        <w:spacing w:after="0" w:line="360" w:lineRule="auto"/>
        <w:rPr>
          <w:rFonts w:ascii="Arial" w:hAnsi="Arial" w:cs="Arial"/>
          <w:sz w:val="20"/>
        </w:rPr>
      </w:pPr>
      <w:r>
        <w:rPr>
          <w:rFonts w:ascii="Arial" w:hAnsi="Arial" w:cs="Arial"/>
          <w:sz w:val="20"/>
          <w:vertAlign w:val="superscript"/>
        </w:rPr>
        <w:t>1</w:t>
      </w:r>
      <w:r>
        <w:rPr>
          <w:rFonts w:ascii="Arial" w:hAnsi="Arial" w:cs="Arial"/>
          <w:sz w:val="20"/>
        </w:rPr>
        <w:t>15 mm para la SEPAR y 10 mm para la ACCP y la ESTS.</w:t>
      </w:r>
    </w:p>
    <w:p w:rsidR="00EE7A09" w:rsidRDefault="00EE7A09" w:rsidP="00EE7A09">
      <w:pPr>
        <w:pStyle w:val="Sinespaciado"/>
        <w:spacing w:after="0" w:line="360" w:lineRule="auto"/>
        <w:rPr>
          <w:rFonts w:ascii="Arial" w:hAnsi="Arial" w:cs="Arial"/>
          <w:sz w:val="20"/>
        </w:rPr>
      </w:pPr>
      <w:r>
        <w:rPr>
          <w:rFonts w:ascii="Arial" w:hAnsi="Arial" w:cs="Arial"/>
          <w:sz w:val="20"/>
        </w:rPr>
        <w:t xml:space="preserve">+ = Se recomienda EBUS-TBNA/EUS-FNA como primera técnica a realizar </w:t>
      </w:r>
    </w:p>
    <w:p w:rsidR="00EE7A09" w:rsidRDefault="00EE7A09" w:rsidP="00EE7A09">
      <w:pPr>
        <w:pStyle w:val="Sinespaciado"/>
        <w:spacing w:after="0" w:line="360" w:lineRule="auto"/>
        <w:rPr>
          <w:rFonts w:ascii="Arial" w:hAnsi="Arial" w:cs="Arial"/>
          <w:sz w:val="20"/>
        </w:rPr>
      </w:pPr>
      <w:r>
        <w:rPr>
          <w:rFonts w:ascii="Arial" w:hAnsi="Arial" w:cs="Arial"/>
          <w:sz w:val="20"/>
        </w:rPr>
        <w:t>-  = No se recomienda EBUS-TBNA/EUS-FNA</w:t>
      </w:r>
    </w:p>
    <w:p w:rsidR="00EE7A09" w:rsidRDefault="00EE7A09" w:rsidP="00EE7A09">
      <w:pPr>
        <w:pStyle w:val="Sinespaciado"/>
        <w:spacing w:after="0" w:line="360" w:lineRule="auto"/>
        <w:rPr>
          <w:rFonts w:ascii="Arial" w:hAnsi="Arial" w:cs="Arial"/>
          <w:sz w:val="20"/>
        </w:rPr>
      </w:pPr>
      <w:r>
        <w:rPr>
          <w:rFonts w:ascii="Arial" w:hAnsi="Arial" w:cs="Arial"/>
          <w:noProof/>
          <w:sz w:val="20"/>
          <w:vertAlign w:val="superscript"/>
          <w:lang w:val="en-IN" w:eastAsia="en-IN"/>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188595</wp:posOffset>
                </wp:positionV>
                <wp:extent cx="152400" cy="152400"/>
                <wp:effectExtent l="8890" t="6350" r="1016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5pt;margin-top:14.8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" fillcolor="#f2f2f2"/>
            </w:pict>
          </mc:Fallback>
        </mc:AlternateContent>
      </w:r>
    </w:p>
    <w:p w:rsidR="00EE7A09" w:rsidRDefault="00EE7A09" w:rsidP="00EE7A09">
      <w:pPr>
        <w:pStyle w:val="Sinespaciado"/>
        <w:spacing w:after="0" w:line="360" w:lineRule="auto"/>
        <w:rPr>
          <w:rFonts w:ascii="Arial" w:hAnsi="Arial" w:cs="Arial"/>
          <w:sz w:val="20"/>
        </w:rPr>
      </w:pPr>
      <w:r>
        <w:rPr>
          <w:rFonts w:ascii="Arial" w:hAnsi="Arial" w:cs="Arial"/>
          <w:noProof/>
          <w:sz w:val="20"/>
          <w:lang w:val="en-IN" w:eastAsia="en-IN"/>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177800</wp:posOffset>
                </wp:positionV>
                <wp:extent cx="152400" cy="152400"/>
                <wp:effectExtent l="8890" t="5080" r="1016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5pt;margin-top:14pt;width:1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" fillcolor="#d8d8d8"/>
            </w:pict>
          </mc:Fallback>
        </mc:AlternateContent>
      </w:r>
      <w:r>
        <w:rPr>
          <w:rFonts w:ascii="Arial" w:hAnsi="Arial" w:cs="Arial"/>
          <w:sz w:val="20"/>
        </w:rPr>
        <w:t xml:space="preserve">      EBUS-TBNA/EUS-FNA seguido de resección quirúrgica si las adenopatías son negativas</w:t>
      </w:r>
    </w:p>
    <w:p w:rsidR="00EE7A09" w:rsidRDefault="00EE7A09" w:rsidP="00EE7A09">
      <w:pPr>
        <w:pStyle w:val="Sinespaciado"/>
        <w:spacing w:after="0" w:line="360" w:lineRule="auto"/>
        <w:rPr>
          <w:rFonts w:ascii="Arial" w:hAnsi="Arial" w:cs="Arial"/>
          <w:sz w:val="20"/>
        </w:rPr>
      </w:pPr>
      <w:r>
        <w:rPr>
          <w:rFonts w:ascii="Arial" w:hAnsi="Arial" w:cs="Arial"/>
          <w:sz w:val="20"/>
        </w:rPr>
        <w:t xml:space="preserve">      EBUS-TBNA/EUS-FNA seguido de </w:t>
      </w:r>
      <w:proofErr w:type="spellStart"/>
      <w:r>
        <w:rPr>
          <w:rFonts w:ascii="Arial" w:hAnsi="Arial" w:cs="Arial"/>
          <w:sz w:val="20"/>
        </w:rPr>
        <w:t>estadificación</w:t>
      </w:r>
      <w:proofErr w:type="spellEnd"/>
      <w:r>
        <w:rPr>
          <w:rFonts w:ascii="Arial" w:hAnsi="Arial" w:cs="Arial"/>
          <w:sz w:val="20"/>
        </w:rPr>
        <w:t xml:space="preserve"> quirúrgica si las adenopatías son negativas</w:t>
      </w:r>
    </w:p>
    <w:p w:rsidR="00C0685C" w:rsidRDefault="00EE7A09" w:rsidP="00EE7A09">
      <w:pPr>
        <w:pStyle w:val="Sinespaciado"/>
        <w:spacing w:after="0" w:line="360" w:lineRule="auto"/>
      </w:pPr>
      <w:r>
        <w:rPr>
          <w:rFonts w:ascii="Arial" w:hAnsi="Arial" w:cs="Arial"/>
          <w:noProof/>
          <w:sz w:val="20"/>
          <w:lang w:val="en-IN" w:eastAsia="en-IN"/>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-1270</wp:posOffset>
                </wp:positionV>
                <wp:extent cx="152400" cy="152400"/>
                <wp:effectExtent l="8890" t="6985" r="10160" b="120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5pt;margin-top:-.1pt;width:1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" fillcolor="#7f7f7f"/>
            </w:pict>
          </mc:Fallback>
        </mc:AlternateContent>
      </w:r>
      <w:r>
        <w:rPr>
          <w:rFonts w:ascii="Arial" w:hAnsi="Arial" w:cs="Arial"/>
          <w:sz w:val="20"/>
        </w:rPr>
        <w:t xml:space="preserve">      EBUS-TBNA/EUS-FNA seguido de </w:t>
      </w:r>
      <w:proofErr w:type="spellStart"/>
      <w:r>
        <w:rPr>
          <w:rFonts w:ascii="Arial" w:hAnsi="Arial" w:cs="Arial"/>
          <w:sz w:val="20"/>
        </w:rPr>
        <w:t>estadificación</w:t>
      </w:r>
      <w:proofErr w:type="spellEnd"/>
      <w:r>
        <w:rPr>
          <w:rFonts w:ascii="Arial" w:hAnsi="Arial" w:cs="Arial"/>
          <w:sz w:val="20"/>
        </w:rPr>
        <w:t xml:space="preserve"> quirúrgica si las adenopatías son negativas y existe escasa probabilidad de afectación </w:t>
      </w:r>
      <w:proofErr w:type="spellStart"/>
      <w:r>
        <w:rPr>
          <w:rFonts w:ascii="Arial" w:hAnsi="Arial" w:cs="Arial"/>
          <w:sz w:val="20"/>
        </w:rPr>
        <w:t>mediastínica</w:t>
      </w:r>
      <w:bookmarkStart w:id="0" w:name="_GoBack"/>
      <w:bookmarkEnd w:id="0"/>
      <w:proofErr w:type="spellEnd"/>
    </w:p>
    <w:sectPr w:rsidR="00C068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A09"/>
    <w:rsid w:val="00055B63"/>
    <w:rsid w:val="00EE7A09"/>
    <w:rsid w:val="00F04A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A09"/>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espaciado">
    <w:name w:val="Sin espaciado"/>
    <w:qFormat/>
    <w:rsid w:val="00EE7A09"/>
    <w:pPr>
      <w:jc w:val="both"/>
    </w:pPr>
    <w:rPr>
      <w:rFonts w:ascii="Calibri" w:eastAsia="Calibri" w:hAnsi="Calibri" w:cs="Times New Roman"/>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A09"/>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espaciado">
    <w:name w:val="Sin espaciado"/>
    <w:qFormat/>
    <w:rsid w:val="00EE7A09"/>
    <w:pPr>
      <w:jc w:val="both"/>
    </w:pPr>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1645</Words>
  <Characters>9379</Characters>
  <Application>Microsoft Office Word</Application>
  <DocSecurity>0</DocSecurity>
  <Lines>78</Lines>
  <Paragraphs>22</Paragraphs>
  <ScaleCrop>false</ScaleCrop>
  <Company>Microsoft</Company>
  <LinksUpToDate>false</LinksUpToDate>
  <CharactersWithSpaces>11002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57058</dc:creator>
  <cp:lastModifiedBy>57058</cp:lastModifiedBy>
  <cp:revision>1</cp:revision>
  <dcterms:created xsi:type="dcterms:W3CDTF">2015-09-29T05:44:00Z</dcterms:created>
  <dcterms:modified xsi:type="dcterms:W3CDTF">2015-09-29T05:45:00Z</dcterms:modified>
</cp:coreProperties>
</file>