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90" w:rsidRDefault="00067490">
      <w:pPr>
        <w:pStyle w:val="Authornames"/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Demographic characteristics and clinical outcomes in patients from Latin America versus the rest of the world: a TIOSPIR</w:t>
      </w:r>
      <w:r>
        <w:rPr>
          <w:b/>
          <w:bCs/>
          <w:sz w:val="24"/>
          <w:szCs w:val="24"/>
          <w:vertAlign w:val="superscript"/>
        </w:rPr>
        <w:t>®</w:t>
      </w:r>
      <w:r>
        <w:rPr>
          <w:b/>
          <w:bCs/>
          <w:sz w:val="24"/>
          <w:szCs w:val="24"/>
        </w:rPr>
        <w:t xml:space="preserve"> post-hoc analysis </w:t>
      </w:r>
    </w:p>
    <w:p w:rsidR="00067490" w:rsidRDefault="00067490">
      <w:pPr>
        <w:pStyle w:val="Authornames"/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Antonio Anzueto, Peter M.A. Calverley, Achim Mueller, Norbert Metzdorf, Michaela Haensel, José R. Jardim, Emilio Pizzichini, Horacio Giraldo, Alejandra Ramirez-Venegas, Eduardo R. Giugno</w:t>
      </w:r>
    </w:p>
    <w:p w:rsidR="00067490" w:rsidRDefault="00067490">
      <w:pPr>
        <w:pStyle w:val="Articletitle"/>
        <w:spacing w:line="480" w:lineRule="auto"/>
        <w:rPr>
          <w:sz w:val="24"/>
          <w:szCs w:val="24"/>
          <w:lang w:val="en-GB"/>
        </w:rPr>
      </w:pPr>
    </w:p>
    <w:p w:rsidR="00067490" w:rsidRDefault="00067490">
      <w:pPr>
        <w:pStyle w:val="Articletitle"/>
        <w:spacing w:line="480" w:lineRule="auto"/>
      </w:pPr>
      <w:r>
        <w:rPr>
          <w:sz w:val="24"/>
          <w:szCs w:val="24"/>
          <w:lang w:val="en-GB"/>
        </w:rPr>
        <w:t>Online data supplement</w:t>
      </w:r>
    </w:p>
    <w:p w:rsidR="00067490" w:rsidRDefault="00067490">
      <w:pPr>
        <w:spacing w:line="480" w:lineRule="auto"/>
        <w:rPr>
          <w:rFonts w:ascii="Arial" w:hAnsi="Arial" w:cs="Arial"/>
          <w:sz w:val="24"/>
          <w:szCs w:val="24"/>
          <w:vertAlign w:val="superscript"/>
        </w:rPr>
      </w:pPr>
    </w:p>
    <w:p w:rsidR="00067490" w:rsidRDefault="00067490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br w:type="page"/>
      </w:r>
    </w:p>
    <w:p w:rsidR="00067490" w:rsidRDefault="0006749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S1</w:t>
      </w:r>
    </w:p>
    <w:p w:rsidR="00067490" w:rsidRDefault="00067490">
      <w:pPr>
        <w:spacing w:after="20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Serious adverse events by region (on-treatment analysis)</w:t>
      </w:r>
    </w:p>
    <w:tbl>
      <w:tblPr>
        <w:tblW w:w="9648" w:type="dxa"/>
        <w:tblInd w:w="-106" w:type="dxa"/>
        <w:tblLayout w:type="fixed"/>
        <w:tblLook w:val="0000"/>
      </w:tblPr>
      <w:tblGrid>
        <w:gridCol w:w="3794"/>
        <w:gridCol w:w="1757"/>
        <w:gridCol w:w="1757"/>
        <w:gridCol w:w="2340"/>
      </w:tblGrid>
      <w:tr w:rsidR="0006749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Serious adverse events,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(incidence rate/100 patient-years)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Latin America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=1000)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=16 116)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Latin America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vs RoW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IRR (95% CI)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Patients with SAEs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 (15.7)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5356 (19.2)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0.82 (0.72–0.92)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Cardiac disorders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(1.7)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804 (2.4)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0.68 (0.48–0.97)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Gastrointestinal disorders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(1.4)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 (1.3)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 (0.73–1.61)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disorders 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and administration site conditions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(0.9)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 (0.9)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0.98 (0.60–1.59)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rFonts w:cs="Times New Roman"/>
                <w:lang w:val="en-US"/>
              </w:rPr>
            </w:pPr>
            <w:r>
              <w:rPr>
                <w:kern w:val="24"/>
                <w:lang w:val="en-US"/>
              </w:rPr>
              <w:t>Hepatobiliary disorders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(0.5)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 (0.3)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1.68 (0.85–3.34)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rFonts w:cs="Times New Roman"/>
                <w:lang w:val="en-US"/>
              </w:rPr>
            </w:pPr>
            <w:r>
              <w:rPr>
                <w:kern w:val="24"/>
                <w:lang w:val="en-US"/>
              </w:rPr>
              <w:t>Infections and infestations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(5.3)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1395 (4.3)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 (1.00–1.50)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rFonts w:cs="Times New Roman"/>
                <w:lang w:val="en-US"/>
              </w:rPr>
            </w:pPr>
            <w:r>
              <w:rPr>
                <w:kern w:val="24"/>
              </w:rPr>
              <w:t xml:space="preserve">Injury, poisoning, and procedural </w:t>
            </w:r>
            <w:r>
              <w:rPr>
                <w:kern w:val="24"/>
                <w:lang w:val="en-US"/>
              </w:rPr>
              <w:t xml:space="preserve">complications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(0.6)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295 (0.9)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0.65 (0.35–1.18)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rFonts w:cs="Times New Roman"/>
                <w:lang w:val="en-US"/>
              </w:rPr>
            </w:pPr>
            <w:r>
              <w:rPr>
                <w:kern w:val="24"/>
              </w:rPr>
              <w:t xml:space="preserve">Neoplasms: benign, malignant, and </w:t>
            </w:r>
            <w:r>
              <w:rPr>
                <w:kern w:val="24"/>
                <w:lang w:val="en-US"/>
              </w:rPr>
              <w:t xml:space="preserve">unspecified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(1.3)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778 (2.4)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0.55 (0.37–0.82)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rFonts w:cs="Times New Roman"/>
                <w:lang w:val="en-US"/>
              </w:rPr>
            </w:pPr>
            <w:r>
              <w:rPr>
                <w:kern w:val="24"/>
                <w:lang w:val="en-US"/>
              </w:rPr>
              <w:t xml:space="preserve">Nervous system disorders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(0.6)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383 (1.2)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0.54 (0.30–0.96)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rFonts w:cs="Times New Roman"/>
                <w:lang w:val="en-US"/>
              </w:rPr>
            </w:pPr>
            <w:r>
              <w:rPr>
                <w:kern w:val="24"/>
                <w:lang w:val="en-US"/>
              </w:rPr>
              <w:t xml:space="preserve">Psychiatric disorders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(0.1)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(0.2)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0.49 (0.12–2.02)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kern w:val="24"/>
                <w:lang w:val="en-US"/>
              </w:rPr>
            </w:pPr>
            <w:r>
              <w:rPr>
                <w:kern w:val="24"/>
              </w:rPr>
              <w:t xml:space="preserve">Respiratory, thoracic, and mediastinal </w:t>
            </w:r>
            <w:r>
              <w:rPr>
                <w:kern w:val="24"/>
                <w:lang w:val="en-US"/>
              </w:rPr>
              <w:t xml:space="preserve">disorders </w:t>
            </w:r>
          </w:p>
          <w:p w:rsidR="00067490" w:rsidRDefault="00067490">
            <w:pPr>
              <w:pStyle w:val="NormalWeb"/>
              <w:spacing w:before="0" w:beforeAutospacing="0" w:after="0" w:afterAutospacing="0"/>
              <w:ind w:left="510"/>
              <w:rPr>
                <w:rFonts w:cs="Times New Roman"/>
                <w:lang w:val="en-US"/>
              </w:rPr>
            </w:pPr>
            <w:r>
              <w:rPr>
                <w:kern w:val="24"/>
                <w:lang w:val="en-US"/>
              </w:rPr>
              <w:t xml:space="preserve">COPD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 (7.6)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(6.6)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2800 (9.1)</w:t>
            </w:r>
          </w:p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2493 (8.1)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0.83 (0.70–0.99)</w:t>
            </w:r>
          </w:p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0.82 (0.69–0.99)</w:t>
            </w:r>
          </w:p>
        </w:tc>
      </w:tr>
      <w:tr w:rsidR="0006749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pStyle w:val="NormalWeb"/>
              <w:spacing w:before="0" w:beforeAutospacing="0" w:after="0" w:afterAutospacing="0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 xml:space="preserve">Vascular disorders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(0.6)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 (0.8)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7490" w:rsidRDefault="00067490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0.72 (0.40–1.32)</w:t>
            </w:r>
          </w:p>
        </w:tc>
      </w:tr>
    </w:tbl>
    <w:p w:rsidR="00067490" w:rsidRDefault="0006749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On-treatment analysis (from randomization to drug stop date + 30 days).</w:t>
      </w:r>
    </w:p>
    <w:p w:rsidR="00067490" w:rsidRDefault="0006749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CI, confidence interval; COPD, chronic obstructive pulmonary disease; RoW, rest of the world; IRR, incidence rate ratio; SAE, serious adverse event.</w:t>
      </w:r>
    </w:p>
    <w:p w:rsidR="00067490" w:rsidRDefault="00067490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067490" w:rsidSect="0006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490"/>
    <w:rsid w:val="0006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uiPriority w:val="99"/>
    <w:pPr>
      <w:spacing w:after="120" w:line="360" w:lineRule="auto"/>
    </w:pPr>
    <w:rPr>
      <w:rFonts w:ascii="Arial" w:hAnsi="Arial" w:cs="Arial"/>
      <w:b/>
      <w:bCs/>
      <w:sz w:val="32"/>
      <w:szCs w:val="32"/>
      <w:lang w:eastAsia="en-GB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customStyle="1" w:styleId="Authornames">
    <w:name w:val="Author names"/>
    <w:basedOn w:val="Normal"/>
    <w:next w:val="Normal"/>
    <w:uiPriority w:val="99"/>
    <w:pPr>
      <w:spacing w:before="240" w:after="0" w:line="360" w:lineRule="auto"/>
    </w:pPr>
    <w:rPr>
      <w:rFonts w:ascii="Arial" w:hAnsi="Arial" w:cs="Arial"/>
      <w:sz w:val="28"/>
      <w:szCs w:val="28"/>
      <w:lang w:val="en-GB" w:eastAsia="en-GB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hAnsi="Arial" w:cs="Arial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pPr>
      <w:spacing w:after="0" w:line="480" w:lineRule="auto"/>
    </w:pPr>
    <w:rPr>
      <w:rFonts w:ascii="Arial" w:hAnsi="Arial" w:cs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480" w:lineRule="auto"/>
    </w:pPr>
    <w:rPr>
      <w:rFonts w:ascii="Arial" w:eastAsia="SimSun" w:hAnsi="Arial" w:cs="Arial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spacing w:after="160" w:line="240" w:lineRule="auto"/>
    </w:pPr>
    <w:rPr>
      <w:rFonts w:ascii="Calibri" w:hAnsi="Calibri" w:cs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239</Words>
  <Characters>1364</Characters>
  <Application>Microsoft Office Outlook</Application>
  <DocSecurity>0</DocSecurity>
  <Lines>0</Lines>
  <Paragraphs>0</Paragraphs>
  <ScaleCrop>false</ScaleCrop>
  <Company>PAREXEL,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Sharda, Deepti</dc:creator>
  <cp:keywords/>
  <dc:description/>
  <cp:lastModifiedBy>cedt</cp:lastModifiedBy>
  <cp:revision>13</cp:revision>
  <cp:lastPrinted>2017-02-10T10:39:00Z</cp:lastPrinted>
  <dcterms:created xsi:type="dcterms:W3CDTF">2017-09-29T08:14:00Z</dcterms:created>
  <dcterms:modified xsi:type="dcterms:W3CDTF">2017-12-05T09:09:00Z</dcterms:modified>
</cp:coreProperties>
</file>