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A2671" w14:textId="70D4A13C" w:rsidR="0043240F" w:rsidRDefault="00EC5CCE" w:rsidP="0043240F">
      <w:p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Appendix A</w:t>
      </w:r>
    </w:p>
    <w:p w14:paraId="70B0159D" w14:textId="77777777" w:rsidR="0043240F" w:rsidRDefault="0043240F" w:rsidP="00FB137B">
      <w:pPr>
        <w:spacing w:after="0"/>
        <w:rPr>
          <w:b/>
        </w:rPr>
      </w:pPr>
    </w:p>
    <w:p w14:paraId="3FC8035D" w14:textId="77777777" w:rsidR="00FB137B" w:rsidRPr="001D39FE" w:rsidRDefault="00FB137B" w:rsidP="00FB137B">
      <w:pPr>
        <w:spacing w:after="0"/>
        <w:rPr>
          <w:b/>
        </w:rPr>
      </w:pPr>
      <w:r>
        <w:rPr>
          <w:b/>
        </w:rPr>
        <w:t>Comparing s</w:t>
      </w:r>
      <w:r w:rsidRPr="001D39FE">
        <w:rPr>
          <w:b/>
        </w:rPr>
        <w:t>pirometric reference values from childhood to old age</w:t>
      </w:r>
      <w:r>
        <w:rPr>
          <w:b/>
        </w:rPr>
        <w:t xml:space="preserve"> estimated by LMS and linear regression models</w:t>
      </w:r>
    </w:p>
    <w:p w14:paraId="0F008B77" w14:textId="77777777" w:rsidR="00FA36E6" w:rsidRDefault="00FA36E6" w:rsidP="008F35DB"/>
    <w:p w14:paraId="69642D0B" w14:textId="77777777" w:rsidR="004925D7" w:rsidRDefault="004925D7" w:rsidP="008F35DB">
      <w:pPr>
        <w:rPr>
          <w:b/>
          <w:lang w:val="en-US"/>
        </w:rPr>
      </w:pPr>
    </w:p>
    <w:p w14:paraId="22F315F2" w14:textId="21C332B1" w:rsidR="00FA36E6" w:rsidRDefault="00FA36E6" w:rsidP="008F35DB">
      <w:pPr>
        <w:rPr>
          <w:lang w:val="en-US"/>
        </w:rPr>
      </w:pPr>
      <w:r w:rsidRPr="00FA36E6">
        <w:rPr>
          <w:lang w:val="en-US"/>
        </w:rPr>
        <w:t xml:space="preserve">This supplemental material </w:t>
      </w:r>
      <w:r w:rsidR="00057135">
        <w:rPr>
          <w:lang w:val="en-US"/>
        </w:rPr>
        <w:t xml:space="preserve">contains additional results on </w:t>
      </w:r>
      <w:r w:rsidR="002F2415">
        <w:rPr>
          <w:lang w:val="en-US"/>
        </w:rPr>
        <w:t xml:space="preserve">Z-scores and the lower limit of normal (LLN). </w:t>
      </w:r>
      <w:r w:rsidR="0031330B">
        <w:rPr>
          <w:lang w:val="en-US"/>
        </w:rPr>
        <w:t>Likewise, we describe the method to compute the spline values in each equation from LMS models,</w:t>
      </w:r>
      <w:r w:rsidR="00107B9C">
        <w:rPr>
          <w:lang w:val="en-US"/>
        </w:rPr>
        <w:t xml:space="preserve"> and how to calculate L, M, S, predicted values</w:t>
      </w:r>
      <w:r w:rsidR="00A23E3B">
        <w:rPr>
          <w:lang w:val="en-US"/>
        </w:rPr>
        <w:t xml:space="preserve"> (PV)</w:t>
      </w:r>
      <w:r w:rsidR="00107B9C">
        <w:rPr>
          <w:lang w:val="en-US"/>
        </w:rPr>
        <w:t xml:space="preserve">, LLN, Z-scores </w:t>
      </w:r>
      <w:r w:rsidR="00F46C39">
        <w:rPr>
          <w:lang w:val="en-US"/>
        </w:rPr>
        <w:t>(Z</w:t>
      </w:r>
      <w:r w:rsidR="0097271A">
        <w:rPr>
          <w:lang w:val="en-US"/>
        </w:rPr>
        <w:t xml:space="preserve">) </w:t>
      </w:r>
      <w:r w:rsidR="00107B9C">
        <w:rPr>
          <w:lang w:val="en-US"/>
        </w:rPr>
        <w:t xml:space="preserve">and </w:t>
      </w:r>
      <w:r w:rsidR="0097271A">
        <w:rPr>
          <w:lang w:val="en-US"/>
        </w:rPr>
        <w:t>percentage of predicted (%P)</w:t>
      </w:r>
      <w:r w:rsidR="00F20798">
        <w:rPr>
          <w:lang w:val="en-US"/>
        </w:rPr>
        <w:t xml:space="preserve">. Finally, we </w:t>
      </w:r>
      <w:r w:rsidR="00346204">
        <w:rPr>
          <w:lang w:val="en-US"/>
        </w:rPr>
        <w:t>compare</w:t>
      </w:r>
      <w:r w:rsidR="00F20798">
        <w:rPr>
          <w:lang w:val="en-US"/>
        </w:rPr>
        <w:t xml:space="preserve"> the residual from LMS and linear regression models. </w:t>
      </w:r>
    </w:p>
    <w:p w14:paraId="25574494" w14:textId="77777777" w:rsidR="00FA36E6" w:rsidRPr="00FA36E6" w:rsidRDefault="00FA36E6" w:rsidP="008F35DB">
      <w:pPr>
        <w:rPr>
          <w:lang w:val="en-US"/>
        </w:rPr>
      </w:pPr>
    </w:p>
    <w:p w14:paraId="7B59F75B" w14:textId="74F0568A" w:rsidR="00C33835" w:rsidRDefault="000F32B1" w:rsidP="008F35DB">
      <w:pPr>
        <w:rPr>
          <w:b/>
          <w:lang w:val="en-US"/>
        </w:rPr>
      </w:pPr>
      <w:r>
        <w:rPr>
          <w:b/>
          <w:lang w:val="en-US"/>
        </w:rPr>
        <w:t>Results</w:t>
      </w:r>
    </w:p>
    <w:p w14:paraId="5EFD0DF7" w14:textId="0F5D6EAE" w:rsidR="00811433" w:rsidRDefault="00F32F22" w:rsidP="008F35DB">
      <w:r>
        <w:rPr>
          <w:lang w:val="en-US"/>
        </w:rPr>
        <w:t>In order to proof the goodness of fit of the international spirometric reference equati</w:t>
      </w:r>
      <w:r w:rsidR="00811433">
        <w:rPr>
          <w:lang w:val="en-US"/>
        </w:rPr>
        <w:t>ons, Z-score were calculated. The</w:t>
      </w:r>
      <w:r w:rsidR="00405763">
        <w:rPr>
          <w:lang w:val="en-US"/>
        </w:rPr>
        <w:t xml:space="preserve"> closer </w:t>
      </w:r>
      <w:r w:rsidR="00811433">
        <w:rPr>
          <w:lang w:val="en-US"/>
        </w:rPr>
        <w:t>mean</w:t>
      </w:r>
      <w:r w:rsidR="000D69BA">
        <w:rPr>
          <w:lang w:val="en-US"/>
        </w:rPr>
        <w:t xml:space="preserve"> </w:t>
      </w:r>
      <w:r w:rsidR="002A163C">
        <w:rPr>
          <w:lang w:val="en-US"/>
        </w:rPr>
        <w:t>(SD) to 0 (1)</w:t>
      </w:r>
      <w:r w:rsidR="00811433">
        <w:rPr>
          <w:lang w:val="en-US"/>
        </w:rPr>
        <w:t xml:space="preserve"> the better fit. </w:t>
      </w:r>
      <w:r w:rsidR="00760C93">
        <w:rPr>
          <w:lang w:val="en-US"/>
        </w:rPr>
        <w:t xml:space="preserve">Table </w:t>
      </w:r>
      <w:r w:rsidR="00EC5CCE">
        <w:rPr>
          <w:lang w:val="en-US"/>
        </w:rPr>
        <w:t>A.</w:t>
      </w:r>
      <w:r w:rsidR="00760C93">
        <w:rPr>
          <w:lang w:val="en-US"/>
        </w:rPr>
        <w:t xml:space="preserve">1 shows </w:t>
      </w:r>
      <w:r w:rsidR="000D69BA">
        <w:rPr>
          <w:lang w:val="en-US"/>
        </w:rPr>
        <w:t xml:space="preserve">the </w:t>
      </w:r>
      <w:r w:rsidR="000D69BA" w:rsidRPr="001D39FE">
        <w:t>Z-scores from the reference equations by Pérez Padilla and GLI equations.</w:t>
      </w:r>
    </w:p>
    <w:p w14:paraId="3398562A" w14:textId="77777777" w:rsidR="00FA36E6" w:rsidRDefault="00FA36E6" w:rsidP="008F35DB"/>
    <w:p w14:paraId="7DCFD43B" w14:textId="2799A286" w:rsidR="000D69BA" w:rsidRDefault="000D69BA" w:rsidP="008F35DB">
      <w:r w:rsidRPr="001D39FE">
        <w:t>Table</w:t>
      </w:r>
      <w:r>
        <w:t xml:space="preserve"> </w:t>
      </w:r>
      <w:r w:rsidR="00EC5CCE">
        <w:t>A.</w:t>
      </w:r>
      <w:r>
        <w:t>1</w:t>
      </w:r>
      <w:r w:rsidRPr="001D39FE">
        <w:t xml:space="preserve">. Mean (SD) of reported spirometric values expressed as Z-scores from the reference equations by </w:t>
      </w:r>
      <w:r w:rsidR="007D2871">
        <w:t>Pérez Padilla and GLI equations</w:t>
      </w: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FA4F62" w:rsidRPr="00FA4F62" w14:paraId="3481E2CB" w14:textId="77777777" w:rsidTr="00FA4F62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4114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4CE5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Pérez Padilla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C29C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P 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B736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GLI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529B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P value</w:t>
            </w:r>
          </w:p>
        </w:tc>
      </w:tr>
      <w:tr w:rsidR="00FA4F62" w:rsidRPr="00FA4F62" w14:paraId="5511815F" w14:textId="77777777" w:rsidTr="00FA4F62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66175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Variable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5ABEF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Mean (SD)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1AEFE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2FE78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Mean (SD)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2446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 </w:t>
            </w:r>
          </w:p>
        </w:tc>
      </w:tr>
      <w:tr w:rsidR="00FA4F62" w:rsidRPr="00FA4F62" w14:paraId="2C83EF41" w14:textId="77777777" w:rsidTr="00FA4F62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01BD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ES"/>
              </w:rPr>
              <w:t>Females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87C89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7B8B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735D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497E4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</w:tr>
      <w:tr w:rsidR="00FA4F62" w:rsidRPr="00FA4F62" w14:paraId="2321F013" w14:textId="77777777" w:rsidTr="00FA4F6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59E4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FA4F62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7264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0.07 (0.92)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5C1E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B30E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0.46 (1.07)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F6DB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</w:tr>
      <w:tr w:rsidR="00FA4F62" w:rsidRPr="00FA4F62" w14:paraId="46EDF2C8" w14:textId="77777777" w:rsidTr="00FA4F62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CB70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FVC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6CEA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0.02 (0.98)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360F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AA67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0.41 (1.03)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9CD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</w:tr>
      <w:tr w:rsidR="00FA4F62" w:rsidRPr="00FA4F62" w14:paraId="4F5FF49B" w14:textId="77777777" w:rsidTr="00FA4F6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BD2C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FA4F62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/FVC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04A5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0.01 (0.95)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089A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F3E8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0.05 (0.92)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DDC8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0.0027</w:t>
            </w:r>
          </w:p>
        </w:tc>
      </w:tr>
      <w:tr w:rsidR="00FA4F62" w:rsidRPr="00FA4F62" w14:paraId="7876577B" w14:textId="77777777" w:rsidTr="00FA4F62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CBEE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ES"/>
              </w:rPr>
              <w:t>Males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3957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F63D8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639DF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0924" w14:textId="77777777" w:rsidR="00FA4F62" w:rsidRPr="00FA4F62" w:rsidRDefault="00FA4F62" w:rsidP="00FA4F62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</w:tr>
      <w:tr w:rsidR="00FA4F62" w:rsidRPr="00FA4F62" w14:paraId="64CE5010" w14:textId="77777777" w:rsidTr="00FA4F6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0CBB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FA4F62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564B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-0.01 (0.97)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7EE5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693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0.52 (1.11)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4801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</w:tr>
      <w:tr w:rsidR="00FA4F62" w:rsidRPr="00FA4F62" w14:paraId="6728CA66" w14:textId="77777777" w:rsidTr="00FA4F62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5FD6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FVC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6F67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0.07 (0.98)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BA61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EDA9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0.47 (1.03)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3EBE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</w:tr>
      <w:tr w:rsidR="00FA4F62" w:rsidRPr="00FA4F62" w14:paraId="597651E8" w14:textId="77777777" w:rsidTr="00FA4F6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A0EB" w14:textId="77777777" w:rsidR="00FA4F62" w:rsidRPr="00FA4F62" w:rsidRDefault="00FA4F62" w:rsidP="00FA4F62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FA4F62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/FVC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267E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-0.03 (1.01)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A8C8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BE7FC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0.07 (0.88)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F7488" w14:textId="77777777" w:rsidR="00FA4F62" w:rsidRPr="00FA4F62" w:rsidRDefault="00FA4F62" w:rsidP="00FA4F6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FA4F62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&lt;0.001</w:t>
            </w:r>
          </w:p>
        </w:tc>
      </w:tr>
    </w:tbl>
    <w:p w14:paraId="016644EC" w14:textId="77777777" w:rsidR="00FA36E6" w:rsidRPr="005662C8" w:rsidRDefault="00FA36E6" w:rsidP="00FA36E6">
      <w:pPr>
        <w:spacing w:after="0"/>
        <w:rPr>
          <w:sz w:val="16"/>
          <w:szCs w:val="18"/>
        </w:rPr>
      </w:pPr>
      <w:r w:rsidRPr="005662C8">
        <w:rPr>
          <w:i/>
          <w:iCs/>
          <w:sz w:val="16"/>
          <w:szCs w:val="18"/>
        </w:rPr>
        <w:t>P</w:t>
      </w:r>
      <w:r w:rsidRPr="005662C8">
        <w:rPr>
          <w:sz w:val="16"/>
          <w:szCs w:val="18"/>
        </w:rPr>
        <w:t xml:space="preserve"> value testing the hypothesis that the mean of Z-scores is equal to zero.</w:t>
      </w:r>
    </w:p>
    <w:p w14:paraId="4B6EB4F3" w14:textId="77777777" w:rsidR="00FA36E6" w:rsidRPr="001D39FE" w:rsidRDefault="00FA36E6" w:rsidP="00FA36E6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>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>: Forced expiratory volume in 1s. FVC: Forced vital capacity. 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>/FVC: ratio of 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 xml:space="preserve"> to FVC.</w:t>
      </w:r>
    </w:p>
    <w:p w14:paraId="7120B65A" w14:textId="77777777" w:rsidR="00FA36E6" w:rsidRPr="001D39FE" w:rsidRDefault="00FA36E6" w:rsidP="00FA36E6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 xml:space="preserve">A perfect adjustment would be shown if means were 0 and SD=1. The closer to these values, the better the adjustment. </w:t>
      </w:r>
    </w:p>
    <w:p w14:paraId="290DD4F8" w14:textId="77777777" w:rsidR="000D69BA" w:rsidRDefault="000D69BA" w:rsidP="008F35DB"/>
    <w:p w14:paraId="41BA7F62" w14:textId="77777777" w:rsidR="000D69BA" w:rsidRDefault="000D69BA" w:rsidP="008F35DB">
      <w:pPr>
        <w:rPr>
          <w:lang w:val="en-US"/>
        </w:rPr>
      </w:pPr>
    </w:p>
    <w:p w14:paraId="15D3BE23" w14:textId="77777777" w:rsidR="00C33835" w:rsidRPr="00071203" w:rsidRDefault="00C33835" w:rsidP="008F35DB">
      <w:pPr>
        <w:rPr>
          <w:lang w:val="en-US"/>
        </w:rPr>
      </w:pPr>
    </w:p>
    <w:p w14:paraId="30091B87" w14:textId="54E07CC2" w:rsidR="00071203" w:rsidRPr="00071203" w:rsidRDefault="005A75B3" w:rsidP="008F35DB">
      <w:pPr>
        <w:rPr>
          <w:lang w:val="en-US"/>
        </w:rPr>
      </w:pPr>
      <w:r>
        <w:rPr>
          <w:lang w:val="en-US"/>
        </w:rPr>
        <w:t>It was</w:t>
      </w:r>
      <w:r w:rsidR="00455E79">
        <w:rPr>
          <w:lang w:val="en-US"/>
        </w:rPr>
        <w:t xml:space="preserve"> expected 5% </w:t>
      </w:r>
      <w:r>
        <w:rPr>
          <w:lang w:val="en-US"/>
        </w:rPr>
        <w:t xml:space="preserve">or less </w:t>
      </w:r>
      <w:r w:rsidR="00455E79">
        <w:rPr>
          <w:lang w:val="en-US"/>
        </w:rPr>
        <w:t xml:space="preserve">of </w:t>
      </w:r>
      <w:r w:rsidR="00650221">
        <w:rPr>
          <w:lang w:val="en-US"/>
        </w:rPr>
        <w:t>individuals</w:t>
      </w:r>
      <w:r w:rsidR="005A4751">
        <w:rPr>
          <w:lang w:val="en-US"/>
        </w:rPr>
        <w:t xml:space="preserve"> were</w:t>
      </w:r>
      <w:r w:rsidR="00455E79">
        <w:rPr>
          <w:lang w:val="en-US"/>
        </w:rPr>
        <w:t xml:space="preserve"> </w:t>
      </w:r>
      <w:r w:rsidR="00D57D28">
        <w:rPr>
          <w:lang w:val="en-US"/>
        </w:rPr>
        <w:t>below</w:t>
      </w:r>
      <w:r>
        <w:rPr>
          <w:lang w:val="en-US"/>
        </w:rPr>
        <w:t xml:space="preserve"> l</w:t>
      </w:r>
      <w:r w:rsidR="00455E79">
        <w:rPr>
          <w:lang w:val="en-US"/>
        </w:rPr>
        <w:t xml:space="preserve">ower limit of normal </w:t>
      </w:r>
      <w:r w:rsidR="00C86D6C">
        <w:rPr>
          <w:lang w:val="en-US"/>
        </w:rPr>
        <w:t xml:space="preserve">for each spirometric variable. </w:t>
      </w:r>
      <w:r w:rsidR="00D42863">
        <w:rPr>
          <w:lang w:val="en-US"/>
        </w:rPr>
        <w:t>The results with both models L</w:t>
      </w:r>
      <w:r w:rsidR="001B6AE4">
        <w:rPr>
          <w:lang w:val="en-US"/>
        </w:rPr>
        <w:t xml:space="preserve">MS and linear </w:t>
      </w:r>
      <w:r w:rsidR="00EE06E6">
        <w:rPr>
          <w:lang w:val="en-US"/>
        </w:rPr>
        <w:t>were very similar as shown in e</w:t>
      </w:r>
      <w:r w:rsidR="00EE06E6">
        <w:rPr>
          <w:rFonts w:ascii="Lucida Grande" w:hAnsi="Lucida Grande" w:cs="Lucida Grande"/>
          <w:color w:val="000000"/>
        </w:rPr>
        <w:t>-</w:t>
      </w:r>
      <w:r w:rsidR="001B6AE4">
        <w:rPr>
          <w:lang w:val="en-US"/>
        </w:rPr>
        <w:t>Table 2.</w:t>
      </w:r>
    </w:p>
    <w:p w14:paraId="3883FE47" w14:textId="77777777" w:rsidR="00071203" w:rsidRDefault="00071203" w:rsidP="008F35DB">
      <w:pPr>
        <w:rPr>
          <w:b/>
          <w:lang w:val="en-US"/>
        </w:rPr>
      </w:pPr>
    </w:p>
    <w:p w14:paraId="7B7D38E6" w14:textId="086EA801" w:rsidR="00071203" w:rsidRPr="007D2871" w:rsidRDefault="00071203" w:rsidP="00071203">
      <w:r w:rsidRPr="007D2871">
        <w:t xml:space="preserve">Table </w:t>
      </w:r>
      <w:r w:rsidR="0000267A">
        <w:t>A.</w:t>
      </w:r>
      <w:r w:rsidRPr="007D2871">
        <w:t>2. Percentage of subject</w:t>
      </w:r>
      <w:r w:rsidR="007D2871">
        <w:t>s &lt;LLN by model type and gender</w:t>
      </w: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88"/>
        <w:gridCol w:w="1112"/>
        <w:gridCol w:w="193"/>
        <w:gridCol w:w="1488"/>
        <w:gridCol w:w="1112"/>
      </w:tblGrid>
      <w:tr w:rsidR="00C31DD4" w:rsidRPr="00C31DD4" w14:paraId="7EF227A4" w14:textId="77777777" w:rsidTr="00153A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6D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F15A0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Females (n=3054)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8586" w14:textId="77777777" w:rsidR="00C31DD4" w:rsidRPr="00C31DD4" w:rsidRDefault="00C31DD4" w:rsidP="00C31DD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3CD3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Males (n=6575)</w:t>
            </w:r>
          </w:p>
        </w:tc>
      </w:tr>
      <w:tr w:rsidR="00C31DD4" w:rsidRPr="00C31DD4" w14:paraId="480C4B4B" w14:textId="77777777" w:rsidTr="00C31DD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7B93D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Variable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19FA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LMS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343DD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LR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7064" w14:textId="77777777" w:rsidR="00C31DD4" w:rsidRPr="00C31DD4" w:rsidRDefault="00C31DD4" w:rsidP="00C31DD4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  <w:r w:rsidRPr="00C31DD4">
              <w:rPr>
                <w:rFonts w:ascii="Cambria" w:eastAsia="Times New Roman" w:hAnsi="Cambria" w:cs="Times New Roman"/>
                <w:color w:val="000000"/>
                <w:lang w:val="es-MX" w:eastAsia="es-E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796F3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LMS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D453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LR</w:t>
            </w:r>
          </w:p>
        </w:tc>
      </w:tr>
      <w:tr w:rsidR="00C31DD4" w:rsidRPr="00C31DD4" w14:paraId="2DCFA416" w14:textId="77777777" w:rsidTr="00C31DD4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5F9B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C31DD4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B3E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EA44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E3C9" w14:textId="77777777" w:rsidR="00C31DD4" w:rsidRPr="00C31DD4" w:rsidRDefault="00C31DD4" w:rsidP="00C31DD4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4885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007D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5.9</w:t>
            </w:r>
          </w:p>
        </w:tc>
      </w:tr>
      <w:tr w:rsidR="00C31DD4" w:rsidRPr="00C31DD4" w14:paraId="0E07D49A" w14:textId="77777777" w:rsidTr="00C31DD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B052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FVC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279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2DFF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7B28" w14:textId="77777777" w:rsidR="00C31DD4" w:rsidRPr="00C31DD4" w:rsidRDefault="00C31DD4" w:rsidP="00C31DD4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A08B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4.9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EDCE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5.9</w:t>
            </w:r>
          </w:p>
        </w:tc>
      </w:tr>
      <w:tr w:rsidR="00C31DD4" w:rsidRPr="00C31DD4" w14:paraId="652C2719" w14:textId="77777777" w:rsidTr="00C31DD4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3C679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FEV</w:t>
            </w:r>
            <w:r w:rsidRPr="00C31DD4">
              <w:rPr>
                <w:rFonts w:ascii="Calibri" w:eastAsia="Times New Roman" w:hAnsi="Calibri" w:cs="Times New Roman"/>
                <w:color w:val="000000"/>
                <w:vertAlign w:val="subscript"/>
                <w:lang w:val="es-MX" w:eastAsia="es-ES"/>
              </w:rPr>
              <w:t>1</w:t>
            </w: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/FVC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0871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AB3E4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6.4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3E755" w14:textId="77777777" w:rsidR="00C31DD4" w:rsidRPr="00C31DD4" w:rsidRDefault="00C31DD4" w:rsidP="00C31DD4">
            <w:pPr>
              <w:spacing w:after="0"/>
              <w:rPr>
                <w:rFonts w:ascii="Cambria" w:eastAsia="Times New Roman" w:hAnsi="Cambria" w:cs="Times New Roman"/>
                <w:color w:val="000000"/>
                <w:lang w:val="es-MX" w:eastAsia="es-ES"/>
              </w:rPr>
            </w:pPr>
            <w:r w:rsidRPr="00C31DD4">
              <w:rPr>
                <w:rFonts w:ascii="Cambria" w:eastAsia="Times New Roman" w:hAnsi="Cambria" w:cs="Times New Roman"/>
                <w:color w:val="000000"/>
                <w:lang w:val="es-MX" w:eastAsia="es-E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4F85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582A" w14:textId="77777777" w:rsidR="00C31DD4" w:rsidRPr="00C31DD4" w:rsidRDefault="00C31DD4" w:rsidP="00C31DD4">
            <w:pPr>
              <w:spacing w:after="0"/>
              <w:rPr>
                <w:rFonts w:ascii="Calibri" w:eastAsia="Times New Roman" w:hAnsi="Calibri" w:cs="Times New Roman"/>
                <w:color w:val="000000"/>
                <w:lang w:val="es-MX" w:eastAsia="es-ES"/>
              </w:rPr>
            </w:pPr>
            <w:r w:rsidRPr="00C31DD4">
              <w:rPr>
                <w:rFonts w:ascii="Calibri" w:eastAsia="Times New Roman" w:hAnsi="Calibri" w:cs="Times New Roman"/>
                <w:color w:val="000000"/>
                <w:lang w:val="es-MX" w:eastAsia="es-ES"/>
              </w:rPr>
              <w:t>5.9</w:t>
            </w:r>
          </w:p>
        </w:tc>
      </w:tr>
    </w:tbl>
    <w:p w14:paraId="05C3C1CA" w14:textId="77777777" w:rsidR="00071203" w:rsidRPr="001D39FE" w:rsidRDefault="00071203" w:rsidP="00071203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>LLN: Lower limit of normal.</w:t>
      </w:r>
    </w:p>
    <w:p w14:paraId="41EE1ACE" w14:textId="77777777" w:rsidR="00071203" w:rsidRPr="001D39FE" w:rsidRDefault="00071203" w:rsidP="00071203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 xml:space="preserve">LMS model: Generalized additive model for location, scale and shape, LMS method. </w:t>
      </w:r>
    </w:p>
    <w:p w14:paraId="6687220E" w14:textId="77777777" w:rsidR="00071203" w:rsidRPr="001D39FE" w:rsidRDefault="00071203" w:rsidP="00071203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>LR: Linear regression model.</w:t>
      </w:r>
    </w:p>
    <w:p w14:paraId="69326F64" w14:textId="77777777" w:rsidR="00071203" w:rsidRPr="001D39FE" w:rsidRDefault="00071203" w:rsidP="00071203">
      <w:pPr>
        <w:spacing w:after="0"/>
        <w:rPr>
          <w:sz w:val="16"/>
          <w:szCs w:val="16"/>
        </w:rPr>
      </w:pPr>
      <w:r w:rsidRPr="001D39FE">
        <w:rPr>
          <w:sz w:val="16"/>
          <w:szCs w:val="16"/>
        </w:rPr>
        <w:t>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>: Forced expiratory volume in 1s. FVC: Forced vital capacity. 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>/FVC: ratio of FEV</w:t>
      </w:r>
      <w:r w:rsidRPr="001D39FE">
        <w:rPr>
          <w:sz w:val="16"/>
          <w:szCs w:val="16"/>
          <w:vertAlign w:val="subscript"/>
        </w:rPr>
        <w:t>1</w:t>
      </w:r>
      <w:r w:rsidRPr="001D39FE">
        <w:rPr>
          <w:sz w:val="16"/>
          <w:szCs w:val="16"/>
        </w:rPr>
        <w:t xml:space="preserve"> to FVC.</w:t>
      </w:r>
    </w:p>
    <w:p w14:paraId="446F437F" w14:textId="77777777" w:rsidR="00071203" w:rsidRDefault="00071203" w:rsidP="008F35DB">
      <w:pPr>
        <w:rPr>
          <w:b/>
          <w:lang w:val="en-US"/>
        </w:rPr>
      </w:pPr>
    </w:p>
    <w:p w14:paraId="6871E395" w14:textId="77777777" w:rsidR="00071203" w:rsidRDefault="00071203" w:rsidP="008F35DB">
      <w:pPr>
        <w:rPr>
          <w:b/>
          <w:lang w:val="en-US"/>
        </w:rPr>
      </w:pPr>
    </w:p>
    <w:p w14:paraId="6362A90E" w14:textId="77777777" w:rsidR="008F35DB" w:rsidRPr="000D2F7A" w:rsidRDefault="008F35DB" w:rsidP="008F35DB">
      <w:pPr>
        <w:rPr>
          <w:b/>
          <w:lang w:val="en-US"/>
        </w:rPr>
      </w:pPr>
      <w:r>
        <w:rPr>
          <w:b/>
          <w:lang w:val="en-US"/>
        </w:rPr>
        <w:t>Spline</w:t>
      </w:r>
      <w:r w:rsidRPr="000D2F7A">
        <w:rPr>
          <w:b/>
          <w:lang w:val="en-US"/>
        </w:rPr>
        <w:t xml:space="preserve"> </w:t>
      </w:r>
    </w:p>
    <w:p w14:paraId="214C882A" w14:textId="05DF42ED" w:rsidR="008F35DB" w:rsidRDefault="008F35DB" w:rsidP="008F35DB">
      <w:pPr>
        <w:rPr>
          <w:lang w:val="en-US"/>
        </w:rPr>
      </w:pPr>
      <w:r>
        <w:rPr>
          <w:lang w:val="en-US"/>
        </w:rPr>
        <w:t>Spline values are useful when the dependent variable varies in a complex manner with one</w:t>
      </w:r>
      <w:r w:rsidRPr="006E54EC">
        <w:rPr>
          <w:lang w:val="en-US"/>
        </w:rPr>
        <w:t xml:space="preserve"> </w:t>
      </w:r>
      <w:r>
        <w:rPr>
          <w:lang w:val="en-US"/>
        </w:rPr>
        <w:t>independent variable. We used penalized B-spline method in order to generate spline values for age in each model. These values were generated for each quarter of year. Therefore, the effect of age is explained by a fix effect (linear coefficient) and an age spline.</w:t>
      </w:r>
      <w:r w:rsidR="00E366FD">
        <w:rPr>
          <w:lang w:val="en-US"/>
        </w:rPr>
        <w:t xml:space="preserve"> The </w:t>
      </w:r>
      <w:r w:rsidR="005F093A">
        <w:rPr>
          <w:lang w:val="en-US"/>
        </w:rPr>
        <w:t>dataset</w:t>
      </w:r>
      <w:r w:rsidR="00D16903">
        <w:rPr>
          <w:lang w:val="en-US"/>
        </w:rPr>
        <w:t xml:space="preserve"> LookupMexico contains the L, M and</w:t>
      </w:r>
      <w:r w:rsidR="005F093A">
        <w:rPr>
          <w:lang w:val="en-US"/>
        </w:rPr>
        <w:t xml:space="preserve"> S splines for FEV</w:t>
      </w:r>
      <w:r w:rsidR="005F093A" w:rsidRPr="0006159D">
        <w:rPr>
          <w:vertAlign w:val="subscript"/>
          <w:lang w:val="en-US"/>
        </w:rPr>
        <w:t>1</w:t>
      </w:r>
      <w:r w:rsidR="005F093A">
        <w:rPr>
          <w:lang w:val="en-US"/>
        </w:rPr>
        <w:t>, FVC and FEV</w:t>
      </w:r>
      <w:r w:rsidR="005F093A" w:rsidRPr="0006159D">
        <w:rPr>
          <w:vertAlign w:val="subscript"/>
          <w:lang w:val="en-US"/>
        </w:rPr>
        <w:t>1</w:t>
      </w:r>
      <w:r w:rsidR="005F093A">
        <w:rPr>
          <w:lang w:val="en-US"/>
        </w:rPr>
        <w:t xml:space="preserve">/FVC by gender. </w:t>
      </w:r>
    </w:p>
    <w:p w14:paraId="377C0365" w14:textId="77777777" w:rsidR="005F093A" w:rsidRPr="005F093A" w:rsidRDefault="005F093A" w:rsidP="008F35DB">
      <w:pPr>
        <w:rPr>
          <w:lang w:val="en-US"/>
        </w:rPr>
      </w:pPr>
    </w:p>
    <w:p w14:paraId="101070A1" w14:textId="77777777" w:rsidR="008F35DB" w:rsidRDefault="008F35DB" w:rsidP="008F35DB">
      <w:pPr>
        <w:rPr>
          <w:b/>
          <w:lang w:val="en-US"/>
        </w:rPr>
      </w:pPr>
      <w:r>
        <w:rPr>
          <w:b/>
          <w:lang w:val="en-US"/>
        </w:rPr>
        <w:t xml:space="preserve"> L, M and S values</w:t>
      </w:r>
    </w:p>
    <w:p w14:paraId="61BD7AE5" w14:textId="3BA48D43" w:rsidR="008F35DB" w:rsidRDefault="008F35DB" w:rsidP="008F35DB">
      <w:pPr>
        <w:rPr>
          <w:lang w:val="en-US"/>
        </w:rPr>
      </w:pPr>
      <w:r>
        <w:rPr>
          <w:lang w:val="en-US"/>
        </w:rPr>
        <w:t>The mean (mu, M</w:t>
      </w:r>
      <w:r w:rsidRPr="00B75DCA">
        <w:rPr>
          <w:lang w:val="en-US"/>
        </w:rPr>
        <w:t>),</w:t>
      </w:r>
      <w:r>
        <w:rPr>
          <w:lang w:val="en-US"/>
        </w:rPr>
        <w:t xml:space="preserve"> variation (sigma, S) and the skewness (nu, L) values are computed using the equation</w:t>
      </w:r>
      <w:r w:rsidR="00A81C27">
        <w:rPr>
          <w:lang w:val="en-US"/>
        </w:rPr>
        <w:t>s in t</w:t>
      </w:r>
      <w:r>
        <w:rPr>
          <w:lang w:val="en-US"/>
        </w:rPr>
        <w:t xml:space="preserve">ables 3 and 4 of the paper. </w:t>
      </w:r>
    </w:p>
    <w:p w14:paraId="3D209C0D" w14:textId="77777777" w:rsidR="008F35DB" w:rsidRDefault="008F35DB" w:rsidP="008F35DB">
      <w:pPr>
        <w:jc w:val="both"/>
        <w:rPr>
          <w:lang w:val="en-US"/>
        </w:rPr>
      </w:pPr>
    </w:p>
    <w:p w14:paraId="749B7C69" w14:textId="5FFE2760" w:rsidR="00472EC9" w:rsidRPr="00472EC9" w:rsidRDefault="008F35DB" w:rsidP="008F35DB">
      <w:pPr>
        <w:jc w:val="both"/>
        <w:rPr>
          <w:lang w:val="en-US"/>
        </w:rPr>
      </w:pPr>
      <m:oMath>
        <m:r>
          <w:rPr>
            <w:rFonts w:ascii="Cambria Math" w:hAnsi="Cambria Math"/>
            <w:lang w:val="en-US"/>
          </w:rPr>
          <m:t>L=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Age</m:t>
                </m:r>
              </m:e>
            </m:d>
          </m:e>
        </m:func>
        <m:r>
          <w:rPr>
            <w:rFonts w:ascii="Cambria Math" w:hAnsi="Cambria Math"/>
            <w:lang w:val="en-US"/>
          </w:rPr>
          <m:t>+Lspline</m:t>
        </m:r>
      </m:oMath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  <w:t>Eq. (A.1)</w:t>
      </w:r>
    </w:p>
    <w:p w14:paraId="3439737B" w14:textId="3AC465BC" w:rsidR="00472EC9" w:rsidRPr="00472EC9" w:rsidRDefault="008F35DB" w:rsidP="008F35DB">
      <w:pPr>
        <w:jc w:val="both"/>
        <w:rPr>
          <w:lang w:val="en-US"/>
        </w:rPr>
      </w:pPr>
      <m:oMath>
        <m:r>
          <w:rPr>
            <w:rFonts w:ascii="Cambria Math" w:hAnsi="Cambria Math"/>
            <w:lang w:val="en-US"/>
          </w:rPr>
          <m:t>M=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exp⁡</m:t>
            </m:r>
            <m:r>
              <w:rPr>
                <w:rFonts w:ascii="Cambria Math" w:hAnsi="Cambria Math"/>
                <w:lang w:val="en-US"/>
              </w:rPr>
              <m:t>(β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Height</m:t>
                </m:r>
              </m:e>
            </m:d>
          </m:e>
        </m:func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Age</m:t>
                </m:r>
              </m:e>
            </m:d>
          </m:e>
        </m:func>
        <m:r>
          <w:rPr>
            <w:rFonts w:ascii="Cambria Math" w:hAnsi="Cambria Math"/>
            <w:lang w:val="en-US"/>
          </w:rPr>
          <m:t>+Mspline)</m:t>
        </m:r>
      </m:oMath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  <w:t>Eq. (A.2)</w:t>
      </w:r>
    </w:p>
    <w:p w14:paraId="4E310764" w14:textId="0CC43559" w:rsidR="00472EC9" w:rsidRPr="00472EC9" w:rsidRDefault="008F35DB" w:rsidP="008F35DB">
      <w:pPr>
        <w:jc w:val="both"/>
        <w:rPr>
          <w:lang w:val="en-US"/>
        </w:rPr>
      </w:pPr>
      <m:oMath>
        <m:r>
          <w:rPr>
            <w:rFonts w:ascii="Cambria Math" w:hAnsi="Cambria Math"/>
            <w:lang w:val="en-US"/>
          </w:rPr>
          <m:t>S=</m:t>
        </m:r>
        <m:r>
          <m:rPr>
            <m:sty m:val="p"/>
          </m:rPr>
          <w:rPr>
            <w:rFonts w:ascii="Cambria Math" w:hAnsi="Cambria Math"/>
            <w:lang w:val="en-US"/>
          </w:rPr>
          <m:t>exp⁡</m:t>
        </m:r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Age</m:t>
                </m:r>
              </m:e>
            </m:d>
          </m:e>
        </m:func>
        <m:r>
          <w:rPr>
            <w:rFonts w:ascii="Cambria Math" w:hAnsi="Cambria Math"/>
            <w:lang w:val="en-US"/>
          </w:rPr>
          <m:t>+Sspline)</m:t>
        </m:r>
      </m:oMath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</w:r>
      <w:r w:rsidR="00472EC9">
        <w:rPr>
          <w:lang w:val="en-US"/>
        </w:rPr>
        <w:tab/>
        <w:t>Eq. (A.3)</w:t>
      </w:r>
    </w:p>
    <w:p w14:paraId="3744E4FE" w14:textId="77777777" w:rsidR="008F35DB" w:rsidRDefault="008F35DB" w:rsidP="008F35DB">
      <w:pPr>
        <w:rPr>
          <w:b/>
          <w:lang w:val="en-US"/>
        </w:rPr>
      </w:pPr>
    </w:p>
    <w:p w14:paraId="24098EC6" w14:textId="77777777" w:rsidR="00C6331D" w:rsidRDefault="00C6331D" w:rsidP="008F35DB">
      <w:pPr>
        <w:rPr>
          <w:lang w:val="en-US"/>
        </w:rPr>
      </w:pPr>
    </w:p>
    <w:p w14:paraId="6911C8AD" w14:textId="63B70F8B" w:rsidR="008F35DB" w:rsidRPr="00310530" w:rsidRDefault="00C6331D" w:rsidP="008F35DB">
      <w:pPr>
        <w:rPr>
          <w:lang w:val="en-US"/>
        </w:rPr>
      </w:pPr>
      <w:r>
        <w:rPr>
          <w:lang w:val="en-US"/>
        </w:rPr>
        <w:t>In order to show a</w:t>
      </w:r>
      <w:r w:rsidR="000B4C0F">
        <w:rPr>
          <w:lang w:val="en-US"/>
        </w:rPr>
        <w:t>n example to calculate L, M and S</w:t>
      </w:r>
      <w:r w:rsidR="002E6299">
        <w:rPr>
          <w:lang w:val="en-US"/>
        </w:rPr>
        <w:t xml:space="preserve"> for FEV</w:t>
      </w:r>
      <w:r w:rsidR="002E6299" w:rsidRPr="002E6299">
        <w:rPr>
          <w:vertAlign w:val="subscript"/>
          <w:lang w:val="en-US"/>
        </w:rPr>
        <w:t>1</w:t>
      </w:r>
      <w:r w:rsidR="002E6299">
        <w:rPr>
          <w:lang w:val="en-US"/>
        </w:rPr>
        <w:t xml:space="preserve"> in females</w:t>
      </w:r>
      <w:r w:rsidR="000B4C0F">
        <w:rPr>
          <w:lang w:val="en-US"/>
        </w:rPr>
        <w:t>, we used the equations Eq. (A.1)-</w:t>
      </w:r>
      <w:r w:rsidR="002E6299">
        <w:rPr>
          <w:lang w:val="en-US"/>
        </w:rPr>
        <w:t>(</w:t>
      </w:r>
      <w:r w:rsidR="000B4C0F">
        <w:rPr>
          <w:lang w:val="en-US"/>
        </w:rPr>
        <w:t>A.3</w:t>
      </w:r>
      <w:r w:rsidR="002E6299">
        <w:rPr>
          <w:lang w:val="en-US"/>
        </w:rPr>
        <w:t xml:space="preserve">). </w:t>
      </w:r>
      <w:r w:rsidR="00B57D27">
        <w:rPr>
          <w:lang w:val="en-US"/>
        </w:rPr>
        <w:t xml:space="preserve">Considering a woman with 9.3 years old and height of 125 cm. </w:t>
      </w:r>
      <w:r w:rsidR="008F35DB">
        <w:rPr>
          <w:lang w:val="en-US"/>
        </w:rPr>
        <w:t>First, w</w:t>
      </w:r>
      <w:r w:rsidR="008F35DB" w:rsidRPr="00310530">
        <w:rPr>
          <w:lang w:val="en-US"/>
        </w:rPr>
        <w:t xml:space="preserve">e have to narrow the variable age to </w:t>
      </w:r>
      <w:r w:rsidR="00CC10A4">
        <w:rPr>
          <w:lang w:val="en-US"/>
        </w:rPr>
        <w:t xml:space="preserve">the </w:t>
      </w:r>
      <w:r w:rsidR="008F35DB" w:rsidRPr="00310530">
        <w:rPr>
          <w:lang w:val="en-US"/>
        </w:rPr>
        <w:t>closest value to 0.25</w:t>
      </w:r>
      <w:r w:rsidR="008F35DB">
        <w:rPr>
          <w:lang w:val="en-US"/>
        </w:rPr>
        <w:t>, in this case 9.25. Then, we have to replace the value</w:t>
      </w:r>
      <w:r w:rsidR="00A81C27">
        <w:rPr>
          <w:lang w:val="en-US"/>
        </w:rPr>
        <w:t>s</w:t>
      </w:r>
      <w:r w:rsidR="008F35DB">
        <w:rPr>
          <w:lang w:val="en-US"/>
        </w:rPr>
        <w:t xml:space="preserve"> of age, height and splines corresponding to a woman of </w:t>
      </w:r>
      <w:r w:rsidR="00B92D3D">
        <w:rPr>
          <w:lang w:val="en-US"/>
        </w:rPr>
        <w:t>9.25 years old as following:</w:t>
      </w:r>
      <w:r w:rsidR="00BD6FA6">
        <w:rPr>
          <w:lang w:val="en-US"/>
        </w:rPr>
        <w:t xml:space="preserve"> </w:t>
      </w:r>
    </w:p>
    <w:p w14:paraId="6A4C7DF8" w14:textId="77777777" w:rsidR="008F35DB" w:rsidRDefault="008F35DB" w:rsidP="008F35DB">
      <w:pPr>
        <w:rPr>
          <w:b/>
          <w:lang w:val="en-US"/>
        </w:rPr>
      </w:pPr>
    </w:p>
    <w:p w14:paraId="13898D3B" w14:textId="06797EDA" w:rsidR="008F35DB" w:rsidRPr="00516B0E" w:rsidRDefault="008F35DB" w:rsidP="008F35DB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L=1.23-0.02*ln(9.25)+0=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1.1855</m:t>
          </m:r>
        </m:oMath>
      </m:oMathPara>
    </w:p>
    <w:p w14:paraId="1EFBC6C2" w14:textId="7E043022" w:rsidR="008F35DB" w:rsidRPr="006F2C34" w:rsidRDefault="008F35DB" w:rsidP="008F35DB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w:lastRenderedPageBreak/>
          <m:t>M=exp(-9.23+2</m:t>
        </m:r>
        <m:r>
          <m:rPr>
            <m:sty m:val="p"/>
          </m:rPr>
          <w:rPr>
            <w:rFonts w:ascii="Cambria Math" w:hAnsi="Cambria Math"/>
            <w:lang w:val="en-US"/>
          </w:rPr>
          <m:t>.0351*ln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125</m:t>
            </m:r>
          </m:e>
        </m:d>
        <m:r>
          <w:rPr>
            <w:rFonts w:ascii="Cambria Math" w:hAnsi="Cambria Math"/>
            <w:lang w:val="en-US"/>
          </w:rPr>
          <m:t>+0.0115*ln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9.25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Lucida Grande"/>
            <w:color w:val="000000"/>
          </w:rPr>
          <m:t>-0.103</m:t>
        </m:r>
        <m:r>
          <w:rPr>
            <w:rFonts w:ascii="Cambria Math" w:hAnsi="Cambria Math"/>
            <w:lang w:val="en-US"/>
          </w:rPr>
          <m:t>)</m:t>
        </m:r>
      </m:oMath>
      <w:r w:rsidR="0085123F">
        <w:rPr>
          <w:lang w:val="en-US"/>
        </w:rPr>
        <w:t xml:space="preserve"> =</w:t>
      </w:r>
      <w:r w:rsidR="00E753D7">
        <w:rPr>
          <w:lang w:val="en-US"/>
        </w:rPr>
        <w:t xml:space="preserve"> </w:t>
      </w:r>
      <w:r w:rsidR="00D82849">
        <w:rPr>
          <w:b/>
          <w:lang w:val="en-US"/>
        </w:rPr>
        <w:t>1.6</w:t>
      </w:r>
      <w:r w:rsidR="00101B39">
        <w:rPr>
          <w:b/>
          <w:lang w:val="en-US"/>
        </w:rPr>
        <w:t>7</w:t>
      </w:r>
      <w:r w:rsidR="006813FB">
        <w:rPr>
          <w:b/>
          <w:lang w:val="en-US"/>
        </w:rPr>
        <w:t>95</w:t>
      </w:r>
    </w:p>
    <w:p w14:paraId="3C04CE67" w14:textId="60CF61A0" w:rsidR="008F35DB" w:rsidRPr="00DA3FBD" w:rsidRDefault="008F35DB" w:rsidP="008F35DB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S= exp(-2.402+0.085*ln(9.25)-0.0307)=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0.1060</m:t>
          </m:r>
        </m:oMath>
      </m:oMathPara>
    </w:p>
    <w:p w14:paraId="1F6F1BAA" w14:textId="77777777" w:rsidR="008F35DB" w:rsidRDefault="008F35DB" w:rsidP="008F35DB">
      <w:pPr>
        <w:rPr>
          <w:b/>
          <w:lang w:val="en-US"/>
        </w:rPr>
      </w:pPr>
    </w:p>
    <w:p w14:paraId="744754AF" w14:textId="77777777" w:rsidR="00A279E4" w:rsidRDefault="00A279E4" w:rsidP="008F35DB">
      <w:pPr>
        <w:rPr>
          <w:b/>
          <w:lang w:val="en-US"/>
        </w:rPr>
      </w:pPr>
    </w:p>
    <w:p w14:paraId="0484FEDC" w14:textId="77777777" w:rsidR="008F35DB" w:rsidRPr="0032238C" w:rsidRDefault="008F35DB" w:rsidP="008F35DB">
      <w:pPr>
        <w:rPr>
          <w:b/>
          <w:lang w:val="en-US"/>
        </w:rPr>
      </w:pPr>
      <w:r w:rsidRPr="0032238C">
        <w:rPr>
          <w:b/>
          <w:lang w:val="en-US"/>
        </w:rPr>
        <w:t>Calculating predicted values, lower limit of normal and Z-scores</w:t>
      </w:r>
    </w:p>
    <w:p w14:paraId="7D31F6F0" w14:textId="668C04DF" w:rsidR="008F35DB" w:rsidRDefault="00051950" w:rsidP="008F35DB">
      <w:pPr>
        <w:rPr>
          <w:lang w:val="en-US"/>
        </w:rPr>
      </w:pPr>
      <w:r>
        <w:rPr>
          <w:lang w:val="en-US"/>
        </w:rPr>
        <w:t>Predicted values</w:t>
      </w:r>
      <w:r w:rsidR="003850B6">
        <w:rPr>
          <w:lang w:val="en-US"/>
        </w:rPr>
        <w:t xml:space="preserve"> (PV)</w:t>
      </w:r>
      <w:r>
        <w:rPr>
          <w:lang w:val="en-US"/>
        </w:rPr>
        <w:t xml:space="preserve">, the lower limit of normal </w:t>
      </w:r>
      <w:r w:rsidR="003850B6">
        <w:rPr>
          <w:lang w:val="en-US"/>
        </w:rPr>
        <w:t>(LLN),</w:t>
      </w:r>
      <w:r>
        <w:rPr>
          <w:lang w:val="en-US"/>
        </w:rPr>
        <w:t xml:space="preserve"> the Z-score </w:t>
      </w:r>
      <w:r w:rsidR="003850B6">
        <w:rPr>
          <w:lang w:val="en-US"/>
        </w:rPr>
        <w:t xml:space="preserve">(Z) </w:t>
      </w:r>
      <w:r w:rsidR="00B92D3D">
        <w:rPr>
          <w:lang w:val="en-US"/>
        </w:rPr>
        <w:t xml:space="preserve">depend </w:t>
      </w:r>
      <w:r w:rsidR="003850B6">
        <w:rPr>
          <w:lang w:val="en-US"/>
        </w:rPr>
        <w:t xml:space="preserve">and percentage of predicted (%P) </w:t>
      </w:r>
      <w:r w:rsidR="00B92D3D">
        <w:rPr>
          <w:lang w:val="en-US"/>
        </w:rPr>
        <w:t xml:space="preserve">on L, M and S. The following formulas show how to calculate each value. </w:t>
      </w:r>
    </w:p>
    <w:p w14:paraId="0348C8F3" w14:textId="77777777" w:rsidR="00D23BF9" w:rsidRDefault="00D23BF9" w:rsidP="008F35DB">
      <w:pPr>
        <w:rPr>
          <w:lang w:val="en-US"/>
        </w:rPr>
      </w:pPr>
    </w:p>
    <w:p w14:paraId="7CD22C55" w14:textId="6A7FD488" w:rsidR="0031283A" w:rsidRDefault="00AC5C47" w:rsidP="008F35DB">
      <w:pPr>
        <w:rPr>
          <w:lang w:val="en-US"/>
        </w:rPr>
      </w:pPr>
      <w:r>
        <w:rPr>
          <w:lang w:val="en-US"/>
        </w:rPr>
        <w:t>Predicted value = M</w:t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  <w:t>Eq. (A.4)</w:t>
      </w:r>
    </w:p>
    <w:p w14:paraId="3F661F48" w14:textId="67763393" w:rsidR="0031283A" w:rsidRDefault="00AC5C47" w:rsidP="008F35DB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LLN (5th centile)= exp(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ln(1-1.644*L*S)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L </m:t>
            </m:r>
          </m:den>
        </m:f>
        <m:r>
          <w:rPr>
            <w:rFonts w:ascii="Cambria Math" w:hAnsi="Cambria Math"/>
            <w:lang w:val="en-US"/>
          </w:rPr>
          <m:t>+ln(M)</m:t>
        </m:r>
      </m:oMath>
      <w:r>
        <w:rPr>
          <w:lang w:val="en-US"/>
        </w:rPr>
        <w:t>)</w:t>
      </w:r>
      <w:r w:rsidR="0031283A">
        <w:rPr>
          <w:lang w:val="en-US"/>
        </w:rPr>
        <w:tab/>
      </w:r>
      <w:r w:rsidR="0031283A">
        <w:rPr>
          <w:lang w:val="en-US"/>
        </w:rPr>
        <w:tab/>
      </w:r>
      <w:r w:rsidR="0031283A">
        <w:rPr>
          <w:lang w:val="en-US"/>
        </w:rPr>
        <w:tab/>
        <w:t>Eq. (A.5)</w:t>
      </w:r>
    </w:p>
    <w:p w14:paraId="3CA56A44" w14:textId="1F52D80D" w:rsidR="0031283A" w:rsidRPr="000535F7" w:rsidRDefault="00DC5148" w:rsidP="008F35DB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Z-score=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measured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L</m:t>
                </m:r>
              </m:sup>
            </m:sSup>
            <m:r>
              <w:rPr>
                <w:rFonts w:ascii="Cambria Math" w:hAnsi="Cambria Math"/>
                <w:lang w:val="en-US"/>
              </w:rPr>
              <m:t>-1</m:t>
            </m:r>
          </m:num>
          <m:den>
            <m:r>
              <w:rPr>
                <w:rFonts w:ascii="Cambria Math" w:hAnsi="Cambria Math"/>
                <w:lang w:val="en-US"/>
              </w:rPr>
              <m:t>L*S</m:t>
            </m:r>
          </m:den>
        </m:f>
      </m:oMath>
      <w:r w:rsidR="000535F7">
        <w:rPr>
          <w:lang w:val="en-US"/>
        </w:rPr>
        <w:tab/>
      </w:r>
      <w:r w:rsidR="000535F7">
        <w:rPr>
          <w:lang w:val="en-US"/>
        </w:rPr>
        <w:tab/>
      </w:r>
      <w:r w:rsidR="000535F7">
        <w:rPr>
          <w:lang w:val="en-US"/>
        </w:rPr>
        <w:tab/>
      </w:r>
      <w:r w:rsidR="000535F7">
        <w:rPr>
          <w:lang w:val="en-US"/>
        </w:rPr>
        <w:tab/>
      </w:r>
      <w:r w:rsidR="000535F7">
        <w:rPr>
          <w:lang w:val="en-US"/>
        </w:rPr>
        <w:tab/>
      </w:r>
      <w:r w:rsidR="000535F7">
        <w:rPr>
          <w:lang w:val="en-US"/>
        </w:rPr>
        <w:tab/>
      </w:r>
      <w:r w:rsidR="0031283A">
        <w:rPr>
          <w:lang w:val="en-US"/>
        </w:rPr>
        <w:t>Eq. (A.6)</w:t>
      </w:r>
    </w:p>
    <w:p w14:paraId="4D8CA0C0" w14:textId="77777777" w:rsidR="00D23BF9" w:rsidRDefault="00D23BF9" w:rsidP="008F35DB">
      <w:pPr>
        <w:rPr>
          <w:lang w:val="en-US"/>
        </w:rPr>
      </w:pPr>
    </w:p>
    <w:p w14:paraId="1663848D" w14:textId="453D804B" w:rsidR="00A42874" w:rsidRPr="00A42874" w:rsidRDefault="009B73BE" w:rsidP="008F35DB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% Predicted=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measured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M</m:t>
                </m:r>
              </m:den>
            </m:f>
          </m:e>
        </m:d>
        <m:r>
          <w:rPr>
            <w:rFonts w:ascii="Cambria Math" w:hAnsi="Cambria Math"/>
            <w:lang w:val="en-US"/>
          </w:rPr>
          <m:t>*100</m:t>
        </m:r>
      </m:oMath>
      <w:r w:rsidR="00A42874">
        <w:rPr>
          <w:lang w:val="en-US"/>
        </w:rPr>
        <w:tab/>
      </w:r>
      <w:r w:rsidR="00A42874">
        <w:rPr>
          <w:lang w:val="en-US"/>
        </w:rPr>
        <w:tab/>
      </w:r>
      <w:r w:rsidR="00A42874">
        <w:rPr>
          <w:lang w:val="en-US"/>
        </w:rPr>
        <w:tab/>
      </w:r>
      <w:r w:rsidR="00A42874">
        <w:rPr>
          <w:lang w:val="en-US"/>
        </w:rPr>
        <w:tab/>
      </w:r>
      <w:r w:rsidR="00A42874">
        <w:rPr>
          <w:lang w:val="en-US"/>
        </w:rPr>
        <w:tab/>
      </w:r>
      <w:r w:rsidR="00A42874">
        <w:rPr>
          <w:lang w:val="en-US"/>
        </w:rPr>
        <w:tab/>
        <w:t>Eq. (A.7)</w:t>
      </w:r>
    </w:p>
    <w:p w14:paraId="11246BD0" w14:textId="77777777" w:rsidR="00665CC0" w:rsidRDefault="00665CC0" w:rsidP="006F763D">
      <w:pPr>
        <w:rPr>
          <w:lang w:val="en-US"/>
        </w:rPr>
      </w:pPr>
    </w:p>
    <w:p w14:paraId="1D29E0D5" w14:textId="4510A09F" w:rsidR="003850B6" w:rsidRDefault="00665CC0" w:rsidP="006F763D">
      <w:pPr>
        <w:rPr>
          <w:lang w:val="en-US"/>
        </w:rPr>
      </w:pPr>
      <w:r>
        <w:rPr>
          <w:lang w:val="en-US"/>
        </w:rPr>
        <w:t xml:space="preserve">Replacing </w:t>
      </w:r>
      <w:r w:rsidR="003850B6">
        <w:rPr>
          <w:lang w:val="en-US"/>
        </w:rPr>
        <w:t>the age, height, L, M, S values from previous section and FEV</w:t>
      </w:r>
      <w:r w:rsidR="003850B6" w:rsidRPr="003850B6">
        <w:rPr>
          <w:vertAlign w:val="subscript"/>
          <w:lang w:val="en-US"/>
        </w:rPr>
        <w:t>1</w:t>
      </w:r>
      <w:r w:rsidR="00820C06">
        <w:rPr>
          <w:lang w:val="en-US"/>
        </w:rPr>
        <w:t xml:space="preserve"> of 1.40</w:t>
      </w:r>
      <w:r w:rsidR="002F22EB">
        <w:rPr>
          <w:lang w:val="en-US"/>
        </w:rPr>
        <w:t xml:space="preserve"> L</w:t>
      </w:r>
      <w:r>
        <w:rPr>
          <w:lang w:val="en-US"/>
        </w:rPr>
        <w:t xml:space="preserve"> on Eq. (A.4)-(A.7)</w:t>
      </w:r>
      <w:r w:rsidR="002F22EB">
        <w:rPr>
          <w:lang w:val="en-US"/>
        </w:rPr>
        <w:t xml:space="preserve">, we </w:t>
      </w:r>
      <w:r w:rsidR="003850B6">
        <w:rPr>
          <w:lang w:val="en-US"/>
        </w:rPr>
        <w:t xml:space="preserve">calculate </w:t>
      </w:r>
      <w:r>
        <w:rPr>
          <w:lang w:val="en-US"/>
        </w:rPr>
        <w:t xml:space="preserve">PV, LLN, Z and %P. </w:t>
      </w:r>
    </w:p>
    <w:p w14:paraId="6AA31016" w14:textId="77777777" w:rsidR="003850B6" w:rsidRDefault="003850B6" w:rsidP="008F35DB">
      <w:pPr>
        <w:rPr>
          <w:lang w:val="en-US"/>
        </w:rPr>
      </w:pPr>
    </w:p>
    <w:p w14:paraId="18D5667B" w14:textId="382179B7" w:rsidR="00AE450F" w:rsidRDefault="003A5671" w:rsidP="008F35DB">
      <w:pPr>
        <w:rPr>
          <w:lang w:val="en-US"/>
        </w:rPr>
      </w:pPr>
      <w:r>
        <w:rPr>
          <w:lang w:val="en-US"/>
        </w:rPr>
        <w:t>FEV</w:t>
      </w:r>
      <w:r w:rsidRPr="003A5671">
        <w:rPr>
          <w:vertAlign w:val="subscript"/>
          <w:lang w:val="en-US"/>
        </w:rPr>
        <w:t>1</w:t>
      </w:r>
      <w:r>
        <w:rPr>
          <w:lang w:val="en-US"/>
        </w:rPr>
        <w:t xml:space="preserve"> predicted</w:t>
      </w:r>
      <w:r w:rsidR="009254D6">
        <w:rPr>
          <w:lang w:val="en-US"/>
        </w:rPr>
        <w:t xml:space="preserve"> = M =</w:t>
      </w:r>
      <m:oMath>
        <m:r>
          <w:rPr>
            <w:rFonts w:ascii="Cambria Math" w:hAnsi="Cambria Math"/>
            <w:lang w:val="en-US"/>
          </w:rPr>
          <m:t xml:space="preserve"> exp(-9.23+2</m:t>
        </m:r>
        <m:r>
          <m:rPr>
            <m:sty m:val="p"/>
          </m:rPr>
          <w:rPr>
            <w:rFonts w:ascii="Cambria Math" w:hAnsi="Cambria Math"/>
            <w:lang w:val="en-US"/>
          </w:rPr>
          <m:t>.0351*ln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125</m:t>
            </m:r>
          </m:e>
        </m:d>
        <m:r>
          <w:rPr>
            <w:rFonts w:ascii="Cambria Math" w:hAnsi="Cambria Math"/>
            <w:lang w:val="en-US"/>
          </w:rPr>
          <m:t>+0.0115*ln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9.30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Lucida Grande"/>
            <w:color w:val="000000"/>
          </w:rPr>
          <m:t>-0.103</m:t>
        </m:r>
        <m:r>
          <w:rPr>
            <w:rFonts w:ascii="Cambria Math" w:hAnsi="Cambria Math"/>
            <w:lang w:val="en-US"/>
          </w:rPr>
          <m:t>)</m:t>
        </m:r>
      </m:oMath>
      <w:r w:rsidR="009254D6">
        <w:rPr>
          <w:lang w:val="en-US"/>
        </w:rPr>
        <w:t xml:space="preserve"> = </w:t>
      </w:r>
      <w:r w:rsidR="00412ADB">
        <w:rPr>
          <w:b/>
          <w:lang w:val="en-US"/>
        </w:rPr>
        <w:t>1.67</w:t>
      </w:r>
      <w:r w:rsidR="00861646">
        <w:rPr>
          <w:b/>
          <w:lang w:val="en-US"/>
        </w:rPr>
        <w:t>96</w:t>
      </w:r>
      <w:r w:rsidR="00383B7A">
        <w:rPr>
          <w:b/>
          <w:lang w:val="en-US"/>
        </w:rPr>
        <w:t xml:space="preserve"> L</w:t>
      </w:r>
      <w:r w:rsidR="009254D6">
        <w:rPr>
          <w:lang w:val="en-US"/>
        </w:rPr>
        <w:t xml:space="preserve"> </w:t>
      </w:r>
    </w:p>
    <w:p w14:paraId="56C7DE84" w14:textId="4A749BA6" w:rsidR="003842AE" w:rsidRPr="00B82139" w:rsidRDefault="00B82139" w:rsidP="008F35DB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LLN =exp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ln(1-1.644*1.1855*0.1060)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1.855</m:t>
                </m:r>
              </m:den>
            </m:f>
            <m:r>
              <w:rPr>
                <w:rFonts w:ascii="Cambria Math" w:hAnsi="Cambria Math"/>
                <w:lang w:val="en-US"/>
              </w:rPr>
              <m:t>+ln(1.6796)</m:t>
            </m:r>
          </m:e>
        </m:d>
      </m:oMath>
      <w:r w:rsidR="00383B7A">
        <w:rPr>
          <w:lang w:val="en-US"/>
        </w:rPr>
        <w:t xml:space="preserve"> =</w:t>
      </w:r>
      <w:r w:rsidR="007B4DDB">
        <w:rPr>
          <w:lang w:val="en-US"/>
        </w:rPr>
        <w:t xml:space="preserve"> </w:t>
      </w:r>
      <w:r w:rsidR="006813FB">
        <w:rPr>
          <w:b/>
          <w:lang w:val="en-US"/>
        </w:rPr>
        <w:t>1.38</w:t>
      </w:r>
      <w:r w:rsidR="00EF34D0">
        <w:rPr>
          <w:b/>
          <w:lang w:val="en-US"/>
        </w:rPr>
        <w:t>16</w:t>
      </w:r>
      <w:r w:rsidR="009E1850" w:rsidRPr="009E1850">
        <w:rPr>
          <w:b/>
          <w:lang w:val="en-US"/>
        </w:rPr>
        <w:t xml:space="preserve"> L</w:t>
      </w:r>
    </w:p>
    <w:p w14:paraId="4DC93F12" w14:textId="77777777" w:rsidR="00AE450F" w:rsidRDefault="00AE450F" w:rsidP="008F35DB">
      <w:pPr>
        <w:rPr>
          <w:b/>
          <w:lang w:val="en-US"/>
        </w:rPr>
      </w:pPr>
    </w:p>
    <w:p w14:paraId="3C856CD5" w14:textId="3964D46F" w:rsidR="00AE450F" w:rsidRPr="00F7187E" w:rsidRDefault="00A547F3" w:rsidP="008F35DB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Z=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1.40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1.6795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1.1855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-1</m:t>
              </m:r>
            </m:num>
            <m:den>
              <m:r>
                <w:rPr>
                  <w:rFonts w:ascii="Cambria Math" w:hAnsi="Cambria Math"/>
                  <w:lang w:val="en-US"/>
                </w:rPr>
                <m:t>1.1855*0.1060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-1.5441</m:t>
          </m:r>
        </m:oMath>
      </m:oMathPara>
    </w:p>
    <w:p w14:paraId="65ACF24E" w14:textId="77777777" w:rsidR="00AE450F" w:rsidRDefault="00AE450F" w:rsidP="008F35DB">
      <w:pPr>
        <w:rPr>
          <w:b/>
          <w:lang w:val="en-US"/>
        </w:rPr>
      </w:pPr>
    </w:p>
    <w:p w14:paraId="1075DDD3" w14:textId="08993942" w:rsidR="00F7187E" w:rsidRPr="00B411FA" w:rsidRDefault="00B411FA" w:rsidP="008F35DB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%P=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1.40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1.6796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*100=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83.4</m:t>
          </m:r>
          <m:r>
            <w:rPr>
              <w:rFonts w:ascii="Cambria Math" w:hAnsi="Cambria Math"/>
              <w:lang w:val="en-US"/>
            </w:rPr>
            <m:t>%</m:t>
          </m:r>
        </m:oMath>
      </m:oMathPara>
    </w:p>
    <w:p w14:paraId="044F56B5" w14:textId="77777777" w:rsidR="001154DA" w:rsidRDefault="001154DA" w:rsidP="008F35DB">
      <w:pPr>
        <w:rPr>
          <w:lang w:val="en-US"/>
        </w:rPr>
      </w:pPr>
    </w:p>
    <w:p w14:paraId="54BF128B" w14:textId="77777777" w:rsidR="00616343" w:rsidRDefault="00616343" w:rsidP="008F35DB">
      <w:pPr>
        <w:rPr>
          <w:lang w:val="en-US"/>
        </w:rPr>
      </w:pPr>
    </w:p>
    <w:p w14:paraId="5F830A3B" w14:textId="77777777" w:rsidR="00530080" w:rsidRDefault="00530080" w:rsidP="008F35DB">
      <w:pPr>
        <w:rPr>
          <w:b/>
          <w:lang w:val="en-US"/>
        </w:rPr>
      </w:pPr>
    </w:p>
    <w:p w14:paraId="096BFC30" w14:textId="0EB66A79" w:rsidR="000B21CE" w:rsidRPr="000B21CE" w:rsidRDefault="000B21CE" w:rsidP="008F35DB">
      <w:pPr>
        <w:rPr>
          <w:b/>
          <w:lang w:val="en-US"/>
        </w:rPr>
      </w:pPr>
      <w:r w:rsidRPr="000B21CE">
        <w:rPr>
          <w:b/>
          <w:lang w:val="en-US"/>
        </w:rPr>
        <w:lastRenderedPageBreak/>
        <w:t>Model evaluation</w:t>
      </w:r>
    </w:p>
    <w:p w14:paraId="1F7FF1A4" w14:textId="23D4AF90" w:rsidR="008F35DB" w:rsidRDefault="008F35DB" w:rsidP="008F35DB">
      <w:pPr>
        <w:rPr>
          <w:lang w:val="en-US"/>
        </w:rPr>
      </w:pPr>
      <w:r>
        <w:rPr>
          <w:lang w:val="en-US"/>
        </w:rPr>
        <w:t>In order to evaluate the models, the quantile residuals were estimated. Box-plot graphs were plotted by age group in order to verify the goodness</w:t>
      </w:r>
      <w:r w:rsidR="00604E60">
        <w:rPr>
          <w:lang w:val="en-US"/>
        </w:rPr>
        <w:t xml:space="preserve"> of fitness by type of model (</w:t>
      </w:r>
      <w:r>
        <w:rPr>
          <w:lang w:val="en-US"/>
        </w:rPr>
        <w:t xml:space="preserve">Figure </w:t>
      </w:r>
      <w:r w:rsidR="00604E60">
        <w:rPr>
          <w:lang w:val="en-US"/>
        </w:rPr>
        <w:t>A.</w:t>
      </w:r>
      <w:r>
        <w:rPr>
          <w:lang w:val="en-US"/>
        </w:rPr>
        <w:t>1-</w:t>
      </w:r>
      <w:r w:rsidR="00604E60">
        <w:rPr>
          <w:lang w:val="en-US"/>
        </w:rPr>
        <w:t>A.</w:t>
      </w:r>
      <w:r>
        <w:rPr>
          <w:lang w:val="en-US"/>
        </w:rPr>
        <w:t xml:space="preserve">6). Comparisons of error between types of model by age </w:t>
      </w:r>
      <w:r w:rsidR="00604E60">
        <w:rPr>
          <w:lang w:val="en-US"/>
        </w:rPr>
        <w:t>group were developed as well (</w:t>
      </w:r>
      <w:r>
        <w:rPr>
          <w:lang w:val="en-US"/>
        </w:rPr>
        <w:t>Ta</w:t>
      </w:r>
      <w:r w:rsidR="00292CC3">
        <w:rPr>
          <w:lang w:val="en-US"/>
        </w:rPr>
        <w:t xml:space="preserve">ble </w:t>
      </w:r>
      <w:r w:rsidR="00604E60">
        <w:rPr>
          <w:lang w:val="en-US"/>
        </w:rPr>
        <w:t>A.</w:t>
      </w:r>
      <w:r w:rsidR="00292CC3">
        <w:rPr>
          <w:lang w:val="en-US"/>
        </w:rPr>
        <w:t xml:space="preserve">3 and </w:t>
      </w:r>
      <w:r w:rsidR="00604E60">
        <w:rPr>
          <w:lang w:val="en-US"/>
        </w:rPr>
        <w:t>A.</w:t>
      </w:r>
      <w:r w:rsidR="00292CC3">
        <w:rPr>
          <w:lang w:val="en-US"/>
        </w:rPr>
        <w:t>4</w:t>
      </w:r>
      <w:r>
        <w:rPr>
          <w:lang w:val="en-US"/>
        </w:rPr>
        <w:t xml:space="preserve">). </w:t>
      </w:r>
    </w:p>
    <w:p w14:paraId="0A65F5A0" w14:textId="77777777" w:rsidR="008F35DB" w:rsidRPr="00C26B44" w:rsidRDefault="008F35DB" w:rsidP="008F35DB">
      <w:pPr>
        <w:rPr>
          <w:sz w:val="16"/>
          <w:szCs w:val="16"/>
          <w:lang w:val="en-US"/>
        </w:rPr>
      </w:pPr>
    </w:p>
    <w:p w14:paraId="048CB4D3" w14:textId="6E6F08E2" w:rsidR="008F35DB" w:rsidRPr="00C26B44" w:rsidRDefault="008F35DB" w:rsidP="008F35DB">
      <w:pPr>
        <w:rPr>
          <w:lang w:val="en-US"/>
        </w:rPr>
      </w:pPr>
      <w:r>
        <w:rPr>
          <w:lang w:val="en-US"/>
        </w:rPr>
        <w:t xml:space="preserve">Figure </w:t>
      </w:r>
      <w:r w:rsidR="00144942">
        <w:rPr>
          <w:lang w:val="en-US"/>
        </w:rPr>
        <w:t>A.</w:t>
      </w:r>
      <w:r w:rsidRPr="00C26B44">
        <w:rPr>
          <w:lang w:val="en-US"/>
        </w:rPr>
        <w:t>1.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 FEV</w:t>
      </w:r>
      <w:r w:rsidRPr="007A5B29">
        <w:rPr>
          <w:vertAlign w:val="subscript"/>
          <w:lang w:val="en-US"/>
        </w:rPr>
        <w:t>1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women</w:t>
      </w:r>
    </w:p>
    <w:p w14:paraId="2501B0E3" w14:textId="77777777" w:rsidR="008F35DB" w:rsidRPr="00C26B44" w:rsidRDefault="008F35DB" w:rsidP="008F35DB">
      <w:pPr>
        <w:spacing w:after="0"/>
        <w:rPr>
          <w:lang w:val="en-US"/>
        </w:rPr>
      </w:pPr>
    </w:p>
    <w:p w14:paraId="4CEBAAB6" w14:textId="77777777" w:rsidR="008F35DB" w:rsidRPr="00C26B44" w:rsidRDefault="008F35DB" w:rsidP="008F35DB">
      <w:pPr>
        <w:spacing w:after="0"/>
        <w:rPr>
          <w:lang w:val="en-US"/>
        </w:rPr>
      </w:pPr>
    </w:p>
    <w:p w14:paraId="0800F571" w14:textId="77777777" w:rsidR="008F35DB" w:rsidRPr="00C26B44" w:rsidRDefault="008F35DB" w:rsidP="008F35DB">
      <w:pPr>
        <w:spacing w:after="0"/>
        <w:rPr>
          <w:lang w:val="en-US"/>
        </w:rPr>
      </w:pPr>
      <w:r w:rsidRPr="00C26B44">
        <w:rPr>
          <w:noProof/>
          <w:lang w:val="en-IN" w:eastAsia="en-IN"/>
        </w:rPr>
        <w:drawing>
          <wp:inline distT="0" distB="0" distL="0" distR="0" wp14:anchorId="667D2256" wp14:editId="699B1DAC">
            <wp:extent cx="5029200" cy="3657600"/>
            <wp:effectExtent l="0" t="0" r="0" b="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40E" w14:textId="77777777" w:rsidR="008F35DB" w:rsidRPr="00C26B44" w:rsidRDefault="008F35DB" w:rsidP="008F35DB">
      <w:pPr>
        <w:spacing w:after="0"/>
        <w:rPr>
          <w:lang w:val="en-US"/>
        </w:rPr>
      </w:pPr>
    </w:p>
    <w:p w14:paraId="23A662D0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4129821B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707116A7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3D7F047F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4CDC517B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3B2EB141" w14:textId="77777777" w:rsidR="008F35DB" w:rsidRPr="00C26B44" w:rsidRDefault="008F35DB" w:rsidP="008F35DB">
      <w:pPr>
        <w:spacing w:after="0"/>
        <w:rPr>
          <w:lang w:val="en-US"/>
        </w:rPr>
      </w:pPr>
    </w:p>
    <w:p w14:paraId="0952CEBA" w14:textId="77777777" w:rsidR="008F35DB" w:rsidRPr="00C26B44" w:rsidRDefault="008F35DB" w:rsidP="008F35DB">
      <w:pPr>
        <w:spacing w:after="0"/>
        <w:rPr>
          <w:lang w:val="en-US"/>
        </w:rPr>
      </w:pPr>
    </w:p>
    <w:p w14:paraId="48D16D51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</w:p>
    <w:p w14:paraId="255B9BA9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</w:p>
    <w:p w14:paraId="466F7710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</w:p>
    <w:p w14:paraId="3D378465" w14:textId="77777777" w:rsidR="008F35DB" w:rsidRPr="00DA696D" w:rsidRDefault="008F35DB" w:rsidP="008F35DB">
      <w:pPr>
        <w:spacing w:after="0"/>
        <w:rPr>
          <w:sz w:val="16"/>
          <w:szCs w:val="16"/>
          <w:lang w:val="en-US"/>
        </w:rPr>
      </w:pPr>
    </w:p>
    <w:p w14:paraId="15DED988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214BEAC9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787AD338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1B06000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503B1F86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0735268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1D130000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7CF3D15E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30B40D64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0672941E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74A8EDC1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0FB6016C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54614CE6" w14:textId="34B3F03A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t xml:space="preserve">Figure </w:t>
      </w:r>
      <w:r w:rsidR="00144942">
        <w:rPr>
          <w:lang w:val="en-US"/>
        </w:rPr>
        <w:t>A.</w:t>
      </w:r>
      <w:r>
        <w:rPr>
          <w:lang w:val="en-US"/>
        </w:rPr>
        <w:t>2</w:t>
      </w:r>
      <w:r w:rsidRPr="00C26B44">
        <w:rPr>
          <w:lang w:val="en-US"/>
        </w:rPr>
        <w:t>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 FEV</w:t>
      </w:r>
      <w:r w:rsidRPr="007A5B29">
        <w:rPr>
          <w:vertAlign w:val="subscript"/>
          <w:lang w:val="en-US"/>
        </w:rPr>
        <w:t>1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men</w:t>
      </w:r>
    </w:p>
    <w:p w14:paraId="33CFE407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noProof/>
          <w:sz w:val="16"/>
          <w:szCs w:val="16"/>
          <w:lang w:val="en-IN" w:eastAsia="en-IN"/>
        </w:rPr>
        <w:drawing>
          <wp:inline distT="0" distB="0" distL="0" distR="0" wp14:anchorId="7ECE46EB" wp14:editId="4A8393BD">
            <wp:extent cx="5029200" cy="3657600"/>
            <wp:effectExtent l="0" t="0" r="0" b="0"/>
            <wp:docPr id="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BBD87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</w:p>
    <w:p w14:paraId="4552CDD7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</w:p>
    <w:p w14:paraId="14AF9D3B" w14:textId="77777777" w:rsidR="008F35DB" w:rsidRPr="00DA696D" w:rsidRDefault="008F35DB" w:rsidP="008F35DB">
      <w:pPr>
        <w:spacing w:after="0"/>
        <w:rPr>
          <w:sz w:val="16"/>
          <w:szCs w:val="16"/>
          <w:lang w:val="en-US"/>
        </w:rPr>
      </w:pPr>
    </w:p>
    <w:p w14:paraId="302F9808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2CE83C34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645A73CD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7D19624D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51DD1437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295D5FB8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7E2DD23C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3EE7311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652615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616C6233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16002F7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2028F7FD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5EBE7B00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C81A3E3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24792318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56440B36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0B6EF900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3B533B6F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031BE147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5F9E0D00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D659949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DB65FA8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68809D93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2929FFAC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B423935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46998A48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0B5AD8CE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373C18D9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179217A6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5AA1F479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122CB681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58621F98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4762F4EB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3A5AA806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42ECC10D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0FB6E585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</w:p>
    <w:p w14:paraId="768FD1F7" w14:textId="18ECC987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t xml:space="preserve">Figure </w:t>
      </w:r>
      <w:r w:rsidR="00144942">
        <w:rPr>
          <w:lang w:val="en-US"/>
        </w:rPr>
        <w:t>A.</w:t>
      </w:r>
      <w:r>
        <w:rPr>
          <w:lang w:val="en-US"/>
        </w:rPr>
        <w:t>3</w:t>
      </w:r>
      <w:r w:rsidRPr="00C26B44">
        <w:rPr>
          <w:lang w:val="en-US"/>
        </w:rPr>
        <w:t>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</w:t>
      </w:r>
      <w:r>
        <w:rPr>
          <w:lang w:val="en-US"/>
        </w:rPr>
        <w:t xml:space="preserve"> FVC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women</w:t>
      </w:r>
    </w:p>
    <w:p w14:paraId="0676E8D8" w14:textId="77777777" w:rsidR="008F35DB" w:rsidRPr="00C26B44" w:rsidRDefault="008F35DB" w:rsidP="008F35DB">
      <w:pPr>
        <w:rPr>
          <w:lang w:val="en-US"/>
        </w:rPr>
      </w:pPr>
    </w:p>
    <w:p w14:paraId="1ACF608A" w14:textId="77777777" w:rsidR="008F35DB" w:rsidRPr="00C26B44" w:rsidRDefault="008F35DB" w:rsidP="008F35DB">
      <w:pPr>
        <w:rPr>
          <w:lang w:val="en-US"/>
        </w:rPr>
      </w:pPr>
      <w:r w:rsidRPr="00C26B44">
        <w:rPr>
          <w:noProof/>
          <w:lang w:val="en-IN" w:eastAsia="en-IN"/>
        </w:rPr>
        <w:drawing>
          <wp:inline distT="0" distB="0" distL="0" distR="0" wp14:anchorId="34C7A8EE" wp14:editId="6AA8822F">
            <wp:extent cx="5029200" cy="3657600"/>
            <wp:effectExtent l="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5F35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35CC3C43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77309F2B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1F5723BE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6D02F1E2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25065E58" w14:textId="77777777" w:rsidR="008F35DB" w:rsidRPr="00C26B44" w:rsidRDefault="008F35DB" w:rsidP="008F35DB">
      <w:pPr>
        <w:rPr>
          <w:lang w:val="en-US"/>
        </w:rPr>
      </w:pPr>
    </w:p>
    <w:p w14:paraId="005E1789" w14:textId="77777777" w:rsidR="008F35DB" w:rsidRPr="00C26B44" w:rsidRDefault="008F35DB" w:rsidP="008F35DB">
      <w:pPr>
        <w:rPr>
          <w:lang w:val="en-US"/>
        </w:rPr>
      </w:pPr>
    </w:p>
    <w:p w14:paraId="34B993C6" w14:textId="77777777" w:rsidR="008F35DB" w:rsidRPr="00C26B44" w:rsidRDefault="008F35DB" w:rsidP="008F35DB">
      <w:pPr>
        <w:rPr>
          <w:lang w:val="en-US"/>
        </w:rPr>
      </w:pPr>
    </w:p>
    <w:p w14:paraId="4E66E4D4" w14:textId="77777777" w:rsidR="008F35DB" w:rsidRPr="00C26B44" w:rsidRDefault="008F35DB" w:rsidP="008F35DB">
      <w:pPr>
        <w:rPr>
          <w:lang w:val="en-US"/>
        </w:rPr>
      </w:pPr>
    </w:p>
    <w:p w14:paraId="5C656F55" w14:textId="77777777" w:rsidR="008F35DB" w:rsidRPr="00C26B44" w:rsidRDefault="008F35DB" w:rsidP="008F35DB">
      <w:pPr>
        <w:rPr>
          <w:lang w:val="en-US"/>
        </w:rPr>
      </w:pPr>
    </w:p>
    <w:p w14:paraId="3A6CF34F" w14:textId="77777777" w:rsidR="008F35DB" w:rsidRDefault="008F35DB" w:rsidP="008F35DB">
      <w:pPr>
        <w:rPr>
          <w:lang w:val="en-US"/>
        </w:rPr>
      </w:pPr>
    </w:p>
    <w:p w14:paraId="00BEF8F7" w14:textId="77777777" w:rsidR="008F35DB" w:rsidRDefault="008F35DB" w:rsidP="008F35DB">
      <w:pPr>
        <w:rPr>
          <w:lang w:val="en-US"/>
        </w:rPr>
      </w:pPr>
    </w:p>
    <w:p w14:paraId="3961D859" w14:textId="77777777" w:rsidR="008F35DB" w:rsidRDefault="008F35DB" w:rsidP="008F35DB">
      <w:pPr>
        <w:rPr>
          <w:lang w:val="en-US"/>
        </w:rPr>
      </w:pPr>
    </w:p>
    <w:p w14:paraId="79B5A625" w14:textId="77777777" w:rsidR="008F35DB" w:rsidRDefault="008F35DB" w:rsidP="008F35DB">
      <w:pPr>
        <w:rPr>
          <w:lang w:val="en-US"/>
        </w:rPr>
      </w:pPr>
    </w:p>
    <w:p w14:paraId="48B3E09D" w14:textId="77777777" w:rsidR="008F35DB" w:rsidRDefault="008F35DB" w:rsidP="008F35DB">
      <w:pPr>
        <w:rPr>
          <w:lang w:val="en-US"/>
        </w:rPr>
      </w:pPr>
    </w:p>
    <w:p w14:paraId="37BCB496" w14:textId="77777777" w:rsidR="008F35DB" w:rsidRDefault="008F35DB" w:rsidP="008F35DB">
      <w:pPr>
        <w:rPr>
          <w:lang w:val="en-US"/>
        </w:rPr>
      </w:pPr>
    </w:p>
    <w:p w14:paraId="5D68B841" w14:textId="49F19A56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lastRenderedPageBreak/>
        <w:t xml:space="preserve">Figure </w:t>
      </w:r>
      <w:r w:rsidR="00144942">
        <w:rPr>
          <w:lang w:val="en-US"/>
        </w:rPr>
        <w:t>A.</w:t>
      </w:r>
      <w:r>
        <w:rPr>
          <w:lang w:val="en-US"/>
        </w:rPr>
        <w:t>4</w:t>
      </w:r>
      <w:r w:rsidRPr="00C26B44">
        <w:rPr>
          <w:lang w:val="en-US"/>
        </w:rPr>
        <w:t>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</w:t>
      </w:r>
      <w:r>
        <w:rPr>
          <w:lang w:val="en-US"/>
        </w:rPr>
        <w:t xml:space="preserve"> FVC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men</w:t>
      </w:r>
    </w:p>
    <w:p w14:paraId="157186AF" w14:textId="77777777" w:rsidR="008F35DB" w:rsidRPr="00C26B44" w:rsidRDefault="008F35DB" w:rsidP="008F35DB">
      <w:pPr>
        <w:rPr>
          <w:lang w:val="en-US"/>
        </w:rPr>
      </w:pPr>
    </w:p>
    <w:p w14:paraId="3F489EB9" w14:textId="77777777" w:rsidR="008F35DB" w:rsidRDefault="008F35DB" w:rsidP="008F35DB">
      <w:pPr>
        <w:rPr>
          <w:sz w:val="16"/>
          <w:szCs w:val="16"/>
          <w:lang w:val="en-US"/>
        </w:rPr>
      </w:pPr>
      <w:r w:rsidRPr="00C26B44">
        <w:rPr>
          <w:noProof/>
          <w:sz w:val="16"/>
          <w:szCs w:val="16"/>
          <w:lang w:val="en-IN" w:eastAsia="en-IN"/>
        </w:rPr>
        <w:drawing>
          <wp:inline distT="0" distB="0" distL="0" distR="0" wp14:anchorId="5D97291A" wp14:editId="0B10B718">
            <wp:extent cx="5029200" cy="3657600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ED0E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</w:p>
    <w:p w14:paraId="2B7C27BA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550CC4CA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65E65864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50D9DA74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509E8415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6C3E01B4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  <w:sectPr w:rsidR="008F35DB" w:rsidRPr="00E857E9" w:rsidSect="00C3752E">
          <w:pgSz w:w="11900" w:h="16840"/>
          <w:pgMar w:top="1417" w:right="1701" w:bottom="1417" w:left="1701" w:header="708" w:footer="708" w:gutter="0"/>
          <w:cols w:space="708"/>
        </w:sectPr>
      </w:pPr>
    </w:p>
    <w:p w14:paraId="21D43BB2" w14:textId="18BC1C23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lastRenderedPageBreak/>
        <w:t xml:space="preserve">Figure </w:t>
      </w:r>
      <w:r w:rsidR="007F4BE7">
        <w:rPr>
          <w:lang w:val="en-US"/>
        </w:rPr>
        <w:t>A.</w:t>
      </w:r>
      <w:r>
        <w:rPr>
          <w:lang w:val="en-US"/>
        </w:rPr>
        <w:t>5</w:t>
      </w:r>
      <w:r w:rsidRPr="00C26B44">
        <w:rPr>
          <w:lang w:val="en-US"/>
        </w:rPr>
        <w:t>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</w:t>
      </w:r>
      <w:r>
        <w:rPr>
          <w:lang w:val="en-US"/>
        </w:rPr>
        <w:t xml:space="preserve"> FEV</w:t>
      </w:r>
      <w:r w:rsidRPr="005C4F36">
        <w:rPr>
          <w:vertAlign w:val="subscript"/>
          <w:lang w:val="en-US"/>
        </w:rPr>
        <w:t>1</w:t>
      </w:r>
      <w:r>
        <w:rPr>
          <w:lang w:val="en-US"/>
        </w:rPr>
        <w:t>/FVC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women</w:t>
      </w:r>
    </w:p>
    <w:p w14:paraId="6602E551" w14:textId="77777777" w:rsidR="008F35DB" w:rsidRPr="00C26B44" w:rsidRDefault="008F35DB" w:rsidP="008F35DB">
      <w:pPr>
        <w:rPr>
          <w:lang w:val="en-US"/>
        </w:rPr>
      </w:pPr>
      <w:r w:rsidRPr="00C26B44">
        <w:rPr>
          <w:noProof/>
          <w:sz w:val="16"/>
          <w:szCs w:val="16"/>
          <w:lang w:val="en-IN" w:eastAsia="en-IN"/>
        </w:rPr>
        <w:drawing>
          <wp:inline distT="0" distB="0" distL="0" distR="0" wp14:anchorId="1B4CD5BC" wp14:editId="6DB041BF">
            <wp:extent cx="5029200" cy="3657600"/>
            <wp:effectExtent l="0" t="0" r="0" b="0"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4379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</w:p>
    <w:p w14:paraId="423D33C7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40F82353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0A6FEC51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02C985A5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0818B07C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3637389A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  <w:sectPr w:rsidR="008F35DB" w:rsidRPr="00E857E9" w:rsidSect="00C3752E">
          <w:pgSz w:w="11900" w:h="16840"/>
          <w:pgMar w:top="1417" w:right="1701" w:bottom="1417" w:left="1701" w:header="708" w:footer="708" w:gutter="0"/>
          <w:cols w:space="708"/>
        </w:sectPr>
      </w:pPr>
    </w:p>
    <w:p w14:paraId="7F833536" w14:textId="7A464B97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lastRenderedPageBreak/>
        <w:t xml:space="preserve">Figure </w:t>
      </w:r>
      <w:r w:rsidR="007F4BE7">
        <w:rPr>
          <w:lang w:val="en-US"/>
        </w:rPr>
        <w:t>A.</w:t>
      </w:r>
      <w:r>
        <w:rPr>
          <w:lang w:val="en-US"/>
        </w:rPr>
        <w:t>6</w:t>
      </w:r>
      <w:r w:rsidRPr="00C26B44">
        <w:rPr>
          <w:lang w:val="en-US"/>
        </w:rPr>
        <w:t>.  Box plot of quantil</w:t>
      </w:r>
      <w:r>
        <w:rPr>
          <w:lang w:val="en-US"/>
        </w:rPr>
        <w:t>e</w:t>
      </w:r>
      <w:r w:rsidRPr="00C26B44">
        <w:rPr>
          <w:lang w:val="en-US"/>
        </w:rPr>
        <w:t xml:space="preserve"> </w:t>
      </w:r>
      <w:r>
        <w:rPr>
          <w:lang w:val="en-US"/>
        </w:rPr>
        <w:t>(</w:t>
      </w:r>
      <w:r w:rsidRPr="00E857E9">
        <w:rPr>
          <w:lang w:val="en-US"/>
        </w:rPr>
        <w:t>standardized</w:t>
      </w:r>
      <w:r>
        <w:rPr>
          <w:lang w:val="en-US"/>
        </w:rPr>
        <w:t xml:space="preserve">) </w:t>
      </w:r>
      <w:r w:rsidRPr="00C26B44">
        <w:rPr>
          <w:lang w:val="en-US"/>
        </w:rPr>
        <w:t>residual</w:t>
      </w:r>
      <w:r>
        <w:rPr>
          <w:lang w:val="en-US"/>
        </w:rPr>
        <w:t xml:space="preserve"> FEV</w:t>
      </w:r>
      <w:r w:rsidRPr="005C4F36">
        <w:rPr>
          <w:vertAlign w:val="subscript"/>
          <w:lang w:val="en-US"/>
        </w:rPr>
        <w:t>1</w:t>
      </w:r>
      <w:r>
        <w:rPr>
          <w:lang w:val="en-US"/>
        </w:rPr>
        <w:t>/FVC</w:t>
      </w:r>
      <w:r w:rsidRPr="00C26B44">
        <w:rPr>
          <w:lang w:val="en-US"/>
        </w:rPr>
        <w:t xml:space="preserve"> by type of model</w:t>
      </w:r>
      <w:r w:rsidR="00B01F6F">
        <w:rPr>
          <w:lang w:val="en-US"/>
        </w:rPr>
        <w:t xml:space="preserve"> and age group for men</w:t>
      </w:r>
    </w:p>
    <w:p w14:paraId="679D6242" w14:textId="77777777" w:rsidR="008F35DB" w:rsidRPr="00C26B44" w:rsidRDefault="008F35DB" w:rsidP="008F35DB">
      <w:pPr>
        <w:rPr>
          <w:lang w:val="en-US"/>
        </w:rPr>
      </w:pPr>
      <w:r w:rsidRPr="00C26B44">
        <w:rPr>
          <w:noProof/>
          <w:sz w:val="16"/>
          <w:szCs w:val="16"/>
          <w:lang w:val="en-IN" w:eastAsia="en-IN"/>
        </w:rPr>
        <w:drawing>
          <wp:inline distT="0" distB="0" distL="0" distR="0" wp14:anchorId="1DD71BEC" wp14:editId="6056F6FD">
            <wp:extent cx="5029200" cy="3657600"/>
            <wp:effectExtent l="0" t="0" r="0" b="0"/>
            <wp:docPr id="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F71BE" w14:textId="77777777" w:rsidR="008F35DB" w:rsidRPr="00C26B44" w:rsidRDefault="008F35DB" w:rsidP="008F35DB">
      <w:pPr>
        <w:rPr>
          <w:lang w:val="en-US"/>
        </w:rPr>
      </w:pPr>
    </w:p>
    <w:p w14:paraId="004B51DB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  <w:r w:rsidRPr="00C26B44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648FEB24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LR: linear regression model</w:t>
      </w:r>
    </w:p>
    <w:p w14:paraId="003CA0D8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30F33B63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7E3A124A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14DC9A7F" w14:textId="77777777" w:rsidR="008F35DB" w:rsidRPr="00E857E9" w:rsidRDefault="008F35DB" w:rsidP="008F35DB">
      <w:pPr>
        <w:rPr>
          <w:sz w:val="16"/>
          <w:szCs w:val="16"/>
          <w:lang w:val="en-US"/>
        </w:rPr>
        <w:sectPr w:rsidR="008F35DB" w:rsidRPr="00E857E9" w:rsidSect="00C3752E">
          <w:pgSz w:w="11900" w:h="16840"/>
          <w:pgMar w:top="1417" w:right="1701" w:bottom="1417" w:left="1701" w:header="708" w:footer="708" w:gutter="0"/>
          <w:cols w:space="708"/>
        </w:sectPr>
      </w:pPr>
    </w:p>
    <w:p w14:paraId="6E1FA61E" w14:textId="0F7BB605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lastRenderedPageBreak/>
        <w:t>Table</w:t>
      </w:r>
      <w:r w:rsidR="008E6A89">
        <w:rPr>
          <w:lang w:val="en-US"/>
        </w:rPr>
        <w:t xml:space="preserve"> </w:t>
      </w:r>
      <w:r w:rsidR="007F4BE7">
        <w:rPr>
          <w:lang w:val="en-US"/>
        </w:rPr>
        <w:t>A.</w:t>
      </w:r>
      <w:r w:rsidR="008E6A89">
        <w:rPr>
          <w:lang w:val="en-US"/>
        </w:rPr>
        <w:t>3</w:t>
      </w:r>
      <w:r w:rsidRPr="00C26B44">
        <w:rPr>
          <w:lang w:val="en-US"/>
        </w:rPr>
        <w:t>.  Comparis</w:t>
      </w:r>
      <w:r>
        <w:rPr>
          <w:lang w:val="en-US"/>
        </w:rPr>
        <w:t>o</w:t>
      </w:r>
      <w:r w:rsidRPr="00C26B44">
        <w:rPr>
          <w:lang w:val="en-US"/>
        </w:rPr>
        <w:t>n</w:t>
      </w:r>
      <w:r>
        <w:rPr>
          <w:lang w:val="en-US"/>
        </w:rPr>
        <w:t>s</w:t>
      </w:r>
      <w:r w:rsidRPr="00C26B44">
        <w:rPr>
          <w:lang w:val="en-US"/>
        </w:rPr>
        <w:t xml:space="preserve"> of median</w:t>
      </w:r>
      <w:r>
        <w:rPr>
          <w:lang w:val="en-US"/>
        </w:rPr>
        <w:t xml:space="preserve">s* (p25, p75) </w:t>
      </w:r>
      <w:r w:rsidRPr="00C26B44">
        <w:rPr>
          <w:lang w:val="en-US"/>
        </w:rPr>
        <w:t>of quantil</w:t>
      </w:r>
      <w:r>
        <w:rPr>
          <w:lang w:val="en-US"/>
        </w:rPr>
        <w:t>e</w:t>
      </w:r>
      <w:r w:rsidRPr="00C26B44">
        <w:rPr>
          <w:lang w:val="en-US"/>
        </w:rPr>
        <w:t xml:space="preserve"> error by type of model and age group for women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687"/>
        <w:gridCol w:w="1542"/>
        <w:gridCol w:w="609"/>
        <w:gridCol w:w="177"/>
        <w:gridCol w:w="1542"/>
        <w:gridCol w:w="1542"/>
        <w:gridCol w:w="609"/>
        <w:gridCol w:w="177"/>
        <w:gridCol w:w="1591"/>
        <w:gridCol w:w="1542"/>
        <w:gridCol w:w="609"/>
      </w:tblGrid>
      <w:tr w:rsidR="008F35DB" w:rsidRPr="00DA696D" w14:paraId="5B49D7C9" w14:textId="77777777" w:rsidTr="00C3752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34BEA4" w14:textId="77777777" w:rsidR="008F35DB" w:rsidRPr="00DA696D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Age group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2693A" w14:textId="77777777" w:rsidR="008F35DB" w:rsidRPr="00CE4D40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ln(</w:t>
            </w: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FEV</w:t>
            </w:r>
            <w:r w:rsidRPr="008E2621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bscript"/>
                <w:lang w:val="en-US"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32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E9C1" w14:textId="77777777" w:rsidR="008F35DB" w:rsidRPr="00DA696D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Ln(</w:t>
            </w: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FVC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791D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2BDE" w14:textId="77777777" w:rsidR="008F35DB" w:rsidRPr="00DA696D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Ln(</w:t>
            </w: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FEV</w:t>
            </w:r>
            <w:r w:rsidRPr="008E2621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bscript"/>
                <w:lang w:val="en-US" w:eastAsia="es-ES"/>
              </w:rPr>
              <w:t>1</w:t>
            </w: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/FVC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)</w:t>
            </w:r>
          </w:p>
        </w:tc>
      </w:tr>
      <w:tr w:rsidR="008F35DB" w:rsidRPr="00DA696D" w14:paraId="0F75F761" w14:textId="77777777" w:rsidTr="00C3752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828D7" w14:textId="77777777" w:rsidR="008F35DB" w:rsidRPr="00E857E9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38C61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D61FF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37C0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8787F" w14:textId="77777777" w:rsidR="008F35DB" w:rsidRPr="00DA696D" w:rsidRDefault="008F35DB" w:rsidP="00C3752E">
            <w:pPr>
              <w:keepNext/>
              <w:keepLines/>
              <w:spacing w:before="200" w:after="0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37F5F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342E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AC4B" w14:textId="77777777" w:rsidR="008F35DB" w:rsidRPr="00DA696D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E7C15" w14:textId="77777777" w:rsidR="008F35DB" w:rsidRPr="00DA696D" w:rsidRDefault="008F35DB" w:rsidP="00C3752E">
            <w:pPr>
              <w:keepNext/>
              <w:keepLines/>
              <w:spacing w:before="200" w:after="0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0C5E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64AB8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D1CC7" w14:textId="77777777" w:rsidR="008F35DB" w:rsidRPr="00DA696D" w:rsidRDefault="008F35DB" w:rsidP="00C3752E">
            <w:pPr>
              <w:keepNext/>
              <w:keepLines/>
              <w:spacing w:before="200" w:after="0"/>
              <w:jc w:val="center"/>
              <w:outlineLvl w:val="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</w:tr>
      <w:tr w:rsidR="008F35DB" w:rsidRPr="00DA696D" w14:paraId="568D8D6D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0C1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5FB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-0.014 (-0.708, 0.733)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8D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0.012 (-1.088, 1.163)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415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07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3F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-0.094 (-1.126, 0.719)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132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0.055 (-1.188, 0.873)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38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1F8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25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0.042 (-0.696, 0.808)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B9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0.016 (-0.751, 1.531)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C19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0.486</w:t>
            </w:r>
          </w:p>
        </w:tc>
      </w:tr>
      <w:tr w:rsidR="008F35DB" w:rsidRPr="00DA696D" w14:paraId="1F587954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805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591A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-0.015 (-0.638, 0.659)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FE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-0.189 (-0.776, 0.435)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B67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00D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43D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0.024 (-0.657, 0.661)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AC7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-0.053 (-0.694, 0.486)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C91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636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75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-0.040 (-0.590, 0.611)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562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-0.042 (-0.645, 0.532)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E0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2E09C8FE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4F4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11-15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BE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-0.044 ( -0.677, 0.665)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4A9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0.073 (-0.560, 0.715)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E2B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3CE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58A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-0.028 (-0.689, 0.680)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10F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0.036 (-0.647, 0.681)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D4B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022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A0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-0.010 (-0.680, 0.739)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711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0.201 (-0.444, 0.855)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31B5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465B1EA5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82C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16-20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EEB9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-0.021 (-0.639, 0.732)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E30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0.447 (-0.088, 1.120)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8499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CBB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F20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0.045 (-0.688, 0.756)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FD6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0.407 (-0.299, 1.079)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38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C1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2760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-0.011 (-0.628, 0.736)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797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0.317 (-0.316, 0.915)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EA8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3028BA8D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7A3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21-25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E8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-0.107 (-0.764, 0.470)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E3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0.052 (-0.513, 0.512)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BDC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1F2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6E5C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-0.249 (-0.675, 0.542)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7CC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0.069 (-0.390, 0.612)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17F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823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C32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-0.237 (-0.951, 0.458)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E94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-0.221 (-0.913, 0.446)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772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4B3FF8AB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885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8A2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0.013 (-0.555, 0.537)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F5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-0.188 (-0.805, 0.328)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C02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88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D5B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-0.011 (-0.541, 0.400)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51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-0.161 (-0.569, 0.448)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218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6E3A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38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-0.138 (-0.655, 0.553)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F0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-0.371 (-0.892, 0.150)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A3A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64251CC7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34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F56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   0.050 (-0.736, 0-.704)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29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-0.161 (-0.925, 0.451)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9D69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790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9CC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-0.050 (-0.836, 0.908)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B62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-0.236 (-0.889, 0.618)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5FB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F66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929C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0.080 (-0.808, 0.987)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A70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-0.316 (-1.143, 0.420)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D445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402929B7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E398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2E3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-0.072 (-0.980, 0.651)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A2E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-0.260 (-1.298, 0.426)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32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1CE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515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-0.083 (-0.756, 0.597)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29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-0.088 (-0.989, 0.545)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255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790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EF0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-0.006 (-0.569, 0.665)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2E6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-0.184 (-0.778, 0.325)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862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647B7715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224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EA1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0.056 (-0.612, 0.724)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D7D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-0.065 (-0.740, 0.601)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BAB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EFE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A83C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0.088 (-0.540, 0.657)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0A4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-0.017 (-0.602, 0.561)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2D62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DF39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404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-0.194 (-0.813, 0.609)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FB4C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-0.249 (-0.909, 0.457)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71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56BE42CC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6A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46-50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EA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0.033 (-0.740, 0.734)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942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-0.013 (-0.934, 0.596)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ABE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793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1B67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-0.054 (-0.803, 0.604)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6A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-0.188 (-0.919, 0.519)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C0A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1E63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A56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0.171 (-0.522, 0.777)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B69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0.233 (-0.484, 0.731)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AD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725F716D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AA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51-55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94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0.007 (-0.626, 0.640)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297E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-0.111 (-0.755, 0.692)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894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0EE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D2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0.024 (-0.529, 0.604)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79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-0.092 (-0.683, 0.476)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F61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AA7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D78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-0.013 (-0.706, 0.593)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A3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0.146 (-0.625, 0.729)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141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4BB50763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5B1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56-60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117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-0.033 (-0.669,  0.779)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E17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-0.005 (-0.551, 0.877)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CB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CC0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D6E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0.039 (-0.621, 0.696)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EE5B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-0.010 (-0.691, 0.707)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82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6A2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5C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0.141 (-0.582, 0.659)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84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0.361 (-0.394, 0.895)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0A4E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52C6DEF5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B84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61-65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CE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0.075 (-0.765,  0.638)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6D1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0.488 (-0.646, 0.994)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27F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76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FD4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-0.175 (-0.998, 0.722)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9589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0.084 (-1.036, 0.968)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959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B9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EBC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0.076 (-0.673, 0.999)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CBD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0.468 (-0.486, 1.324)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64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DA696D" w14:paraId="6DC905B7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7ED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66-70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30A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-0.014 (-0.754, 0.508)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638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0.555 (-0.617, 1.296)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7C0C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CD2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1A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0.139 (-1.197, 0.716)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68E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0.651 (-1.007, 1.377)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579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C2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788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-0.353 (-1.105, 0.100)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16D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0.122 (-0.816, 0.618)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B4E8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0.003</w:t>
            </w:r>
          </w:p>
        </w:tc>
      </w:tr>
      <w:tr w:rsidR="008F35DB" w:rsidRPr="00DA696D" w14:paraId="631BB5E0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2ABA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71-75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51D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0.650 (0.211, 0.826)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7AE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1.825 (1.234, 2.075)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87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DB9F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236D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0.196 (-0.149, 0.493)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DD1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1.265 (0.618, 1.684)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D887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67B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1272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0.559 (-0.252, 1.074)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70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1.135 ( 0.279, 1.648)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F64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0.005</w:t>
            </w:r>
          </w:p>
        </w:tc>
      </w:tr>
      <w:tr w:rsidR="008F35DB" w:rsidRPr="00DA696D" w14:paraId="65A1FDC7" w14:textId="77777777" w:rsidTr="00C3752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3535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76+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EFC22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0.220 (-1.324, 0.290)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81EF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1.467 (-0.633, 2.209)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A90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47CE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A4B3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0.290 (-0.785, 0.688)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1C2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1.436 (0.379, 2.451)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D5B1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CB2C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26C96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-1.024 (-1.285, -0.051)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5B21" w14:textId="77777777" w:rsidR="008F35DB" w:rsidRPr="00DA696D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-0.547 (-1.131, 0.474)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0FA60" w14:textId="77777777" w:rsidR="008F35DB" w:rsidRPr="00DA696D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A69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0.080</w:t>
            </w:r>
          </w:p>
        </w:tc>
      </w:tr>
    </w:tbl>
    <w:p w14:paraId="1291B162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* Comparision was made by Wilcoxon matched-pairs signed-ranks test</w:t>
      </w:r>
    </w:p>
    <w:p w14:paraId="7A4EBA44" w14:textId="77777777" w:rsidR="008F35DB" w:rsidRPr="00DA696D" w:rsidRDefault="008F35DB" w:rsidP="008F35DB">
      <w:pPr>
        <w:spacing w:after="0"/>
        <w:rPr>
          <w:sz w:val="16"/>
          <w:szCs w:val="16"/>
          <w:lang w:val="en-US"/>
        </w:rPr>
      </w:pPr>
      <w:r w:rsidRPr="00DA696D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394CAF5A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A696D">
        <w:rPr>
          <w:sz w:val="16"/>
          <w:szCs w:val="16"/>
          <w:lang w:val="en-US"/>
        </w:rPr>
        <w:t>LR: linear regression model</w:t>
      </w:r>
      <w:r w:rsidRPr="006B67F4">
        <w:rPr>
          <w:sz w:val="16"/>
          <w:szCs w:val="16"/>
          <w:lang w:val="en-US"/>
        </w:rPr>
        <w:t xml:space="preserve"> </w:t>
      </w:r>
    </w:p>
    <w:p w14:paraId="4DEFD1DB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0452A750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71E958FD" w14:textId="77777777" w:rsidR="008F35DB" w:rsidRPr="00E857E9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</w:p>
    <w:p w14:paraId="2007D334" w14:textId="77777777" w:rsidR="008F35DB" w:rsidRPr="00E857E9" w:rsidRDefault="008F35DB" w:rsidP="008F35DB">
      <w:pPr>
        <w:spacing w:after="0"/>
        <w:rPr>
          <w:sz w:val="20"/>
          <w:szCs w:val="20"/>
          <w:lang w:val="en-US"/>
        </w:rPr>
        <w:sectPr w:rsidR="008F35DB" w:rsidRPr="00E857E9" w:rsidSect="00C3752E">
          <w:pgSz w:w="16840" w:h="11900" w:orient="landscape"/>
          <w:pgMar w:top="1701" w:right="1417" w:bottom="1701" w:left="1417" w:header="708" w:footer="708" w:gutter="0"/>
          <w:cols w:space="708"/>
        </w:sectPr>
      </w:pPr>
    </w:p>
    <w:p w14:paraId="673E3DF1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</w:p>
    <w:p w14:paraId="59DB2E66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</w:p>
    <w:p w14:paraId="488FF5D1" w14:textId="392D3225" w:rsidR="008F35DB" w:rsidRPr="00C26B44" w:rsidRDefault="008F35DB" w:rsidP="008F35DB">
      <w:pPr>
        <w:rPr>
          <w:lang w:val="en-US"/>
        </w:rPr>
      </w:pPr>
      <w:r w:rsidRPr="00C26B44">
        <w:rPr>
          <w:lang w:val="en-US"/>
        </w:rPr>
        <w:t xml:space="preserve">Table </w:t>
      </w:r>
      <w:r w:rsidR="007F4BE7">
        <w:rPr>
          <w:lang w:val="en-US"/>
        </w:rPr>
        <w:t>A.</w:t>
      </w:r>
      <w:r w:rsidR="008E6A89">
        <w:rPr>
          <w:lang w:val="en-US"/>
        </w:rPr>
        <w:t>4</w:t>
      </w:r>
      <w:r w:rsidRPr="00C26B44">
        <w:rPr>
          <w:lang w:val="en-US"/>
        </w:rPr>
        <w:t>.  Comparison</w:t>
      </w:r>
      <w:r>
        <w:rPr>
          <w:lang w:val="en-US"/>
        </w:rPr>
        <w:t>s</w:t>
      </w:r>
      <w:r w:rsidRPr="00C26B44">
        <w:rPr>
          <w:lang w:val="en-US"/>
        </w:rPr>
        <w:t xml:space="preserve"> of median</w:t>
      </w:r>
      <w:r>
        <w:rPr>
          <w:lang w:val="en-US"/>
        </w:rPr>
        <w:t>s</w:t>
      </w:r>
      <w:r w:rsidRPr="00C26B44">
        <w:rPr>
          <w:lang w:val="en-US"/>
        </w:rPr>
        <w:t xml:space="preserve">* </w:t>
      </w:r>
      <w:r>
        <w:rPr>
          <w:lang w:val="en-US"/>
        </w:rPr>
        <w:t xml:space="preserve">(p25, p75) </w:t>
      </w:r>
      <w:r w:rsidRPr="00C26B44">
        <w:rPr>
          <w:lang w:val="en-US"/>
        </w:rPr>
        <w:t>of quantil</w:t>
      </w:r>
      <w:r>
        <w:rPr>
          <w:lang w:val="en-US"/>
        </w:rPr>
        <w:t>e</w:t>
      </w:r>
      <w:r w:rsidRPr="00C26B44">
        <w:rPr>
          <w:lang w:val="en-US"/>
        </w:rPr>
        <w:t xml:space="preserve"> error by type of model and age group for men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542"/>
        <w:gridCol w:w="1542"/>
        <w:gridCol w:w="609"/>
        <w:gridCol w:w="177"/>
        <w:gridCol w:w="1542"/>
        <w:gridCol w:w="1542"/>
        <w:gridCol w:w="609"/>
        <w:gridCol w:w="177"/>
        <w:gridCol w:w="177"/>
        <w:gridCol w:w="1529"/>
        <w:gridCol w:w="1810"/>
        <w:gridCol w:w="709"/>
      </w:tblGrid>
      <w:tr w:rsidR="008F35DB" w:rsidRPr="00E857E9" w14:paraId="7ECE5F81" w14:textId="77777777" w:rsidTr="00C3752E">
        <w:trPr>
          <w:trHeight w:val="300"/>
        </w:trPr>
        <w:tc>
          <w:tcPr>
            <w:tcW w:w="8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D628F1" w14:textId="77777777" w:rsidR="008F35DB" w:rsidRPr="00D94B61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Age group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D9379" w14:textId="77777777" w:rsidR="008F35DB" w:rsidRPr="00CF19A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ln(</w:t>
            </w: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FEV</w:t>
            </w:r>
            <w:r w:rsidRPr="00286B9D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bscript"/>
                <w:lang w:val="en-US"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)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4E58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D4116" w14:textId="77777777" w:rsidR="008F35DB" w:rsidRPr="00D94B61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ln(</w:t>
            </w: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FVC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)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CEE4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023A" w14:textId="77777777" w:rsidR="008F35DB" w:rsidRPr="00D94B61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FEV</w:t>
            </w:r>
            <w:r w:rsidRPr="00286B9D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bscript"/>
                <w:lang w:val="en-US" w:eastAsia="es-ES"/>
              </w:rPr>
              <w:t>1</w:t>
            </w: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/FVC</w:t>
            </w:r>
          </w:p>
        </w:tc>
      </w:tr>
      <w:tr w:rsidR="008F35DB" w:rsidRPr="00E857E9" w14:paraId="19E192DB" w14:textId="77777777" w:rsidTr="00C3752E">
        <w:trPr>
          <w:trHeight w:val="300"/>
        </w:trPr>
        <w:tc>
          <w:tcPr>
            <w:tcW w:w="8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2E268" w14:textId="77777777" w:rsidR="008F35DB" w:rsidRPr="00E857E9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8414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BB401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561CE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F4B4" w14:textId="77777777" w:rsidR="008F35DB" w:rsidRPr="00E857E9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6133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CA21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11D58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8C24" w14:textId="77777777" w:rsidR="008F35DB" w:rsidRPr="00E857E9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00C62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LMS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7D421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LR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EF99" w14:textId="77777777" w:rsidR="008F35DB" w:rsidRPr="00E857E9" w:rsidRDefault="008F35DB" w:rsidP="00C375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E857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P value</w:t>
            </w:r>
          </w:p>
        </w:tc>
      </w:tr>
      <w:tr w:rsidR="008F35DB" w:rsidRPr="00E857E9" w14:paraId="6AD9F24C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9FF7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0-5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C0B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0.004 (-0.790, 0.520)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B3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0.135 (-0.581, 0.787)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DC9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0.050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D57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0D31" w14:textId="77777777" w:rsidR="008F35DB" w:rsidRPr="00D94B61" w:rsidRDefault="008F35DB" w:rsidP="00C3752E">
            <w:pPr>
              <w:spacing w:after="0"/>
              <w:ind w:left="-1506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-0.034 (-0.596, 0.823)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F30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0.026 (-0.435, 0.499)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8C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0.274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2F8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C74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-0.421 (-0.782, 0.719)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E7B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-0.360 (-0.935, 1.008)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4C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0.838</w:t>
            </w:r>
          </w:p>
        </w:tc>
      </w:tr>
      <w:tr w:rsidR="008F35DB" w:rsidRPr="00E857E9" w14:paraId="36EB061F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4D10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6-10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379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0.012 (-0.675, 0.709)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F22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-0.026 (-0.669, 0.491)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88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C0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F8D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0.012 (-0.652, 0.726)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2E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-0.008 (-0.620, 0.561)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BE6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E72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BC4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0.058 (-0.653, 0.653)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F78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-0.036 (-0.778, 0.542)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2E3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0539B4BC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A7EE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11-15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390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-0.018 (-0.700, 0.635)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1DE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-0.167 (-0.718, 0.390)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2EF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745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95B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-0.024 (-0.709, 0.664)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C7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-0.134 (-0.769, 0.431)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0DC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1E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DA7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-0.079 (-0.687, 0.626)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0E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0.057 (-0.605, 0.725)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C7B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490D1B92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4533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16-20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722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0.027 (-0.705, 0.685)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D4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0.637 (-0.004, 1.239)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325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95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28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-0.006 (-0.656, 0.670)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C98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0.443 (-0.147, 1.009)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AC2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22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094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0.059 (-0.655, 0.793)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0E0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0.578 (-0.202, 1.257)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0A3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7E7064E8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901A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21-25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E3A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-0.094 (-0.738, 0.651)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407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0.387 (-0.204, 1.036)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B5D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3A0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7B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0.116 (-0.775, 0.754)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BC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0.693 (-0.204, 1.163)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069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344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D8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-0.264 (-0.782, 0.508)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6CD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-0.049 (-0.792, 0.600)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4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0.035</w:t>
            </w:r>
          </w:p>
        </w:tc>
      </w:tr>
      <w:tr w:rsidR="008F35DB" w:rsidRPr="00E857E9" w14:paraId="79A1D41A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A6F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26-30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B6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-0.112 (-0.708, 0.650)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F34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-0.015 (-0.468, 0.609)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253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5FB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52B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-0.014 (-0.688, 0.709)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F34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0.179 (-0.472, 0.861)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C3B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CE1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36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0.007 (-0.786, 0.714)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E05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-0.254 (-0.962, 0.318)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EC8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6191E645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DA36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31-35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1B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0.004 (-0.722, 0.807)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389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0.059 (-0.664, 0.675)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BF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0.119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DB7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C3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-0.115 (-0.780, 0.720)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C67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0.072 (-0.689, 0.751)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7C3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5FC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998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0.086 (-0.666, 0.706)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F6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-0.082 (-0.833, 0.374)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0A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47BE43BE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CBB8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36-40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5D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-0.024 (-0.648, 0.585)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745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-0.053 (-0.589, 0.558)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8C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E3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C2F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-0.005 (-0.692, 0.625)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470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0.024 (-0.627, 0.597)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C41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0.319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B42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8FF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0.096 (-0.578, 0.712)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C9D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0.076 (-0.632, 0.563)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B47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1A481F18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B10E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41-45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88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0.037 (-0.707, 0.727)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9E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0.049 (-0.657, 0.674)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86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AA8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99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0.053 (-0.682, 0.670)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3DA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0.063 (-0.657, 0.672)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82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D0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2B3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-0.004 (-0.618, 0.607)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1E1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0.016 (-0.573, 0.530)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5C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08BE2964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951D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46-50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589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-0.024 (-0.633, 0.646)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927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0.015 (-0.625, 0.642)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D799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CAA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3E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-0.005 (-0.645, 0.714)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F06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-0.008 (-0.680, 0.668)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976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36A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C3B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0.016 (-0.657, 0.631)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1B7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0.081 (-0.570, 0.620)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EDC9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0.003</w:t>
            </w:r>
          </w:p>
        </w:tc>
      </w:tr>
      <w:tr w:rsidR="008F35DB" w:rsidRPr="00E857E9" w14:paraId="2CFF2C83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8DFD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51-55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E04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0.002 (-0.657, 0.641)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49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0.038 (-0.647, 0.708)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82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969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33A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-0.010 (-0.657, 0.638)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08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0.004 (-0.699, 0.641)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C29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6A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0D7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0.028 (-0.660, 0.721)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790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0.135 (-0.509, 0.785)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153A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30CC1F0A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5A48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56-60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5AF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-0.064 (-0.685, 0.706)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A0C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0.040 (-0.646, 0.818)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A1E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CEF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A33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-0.023 (-0.703, 0.673)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5E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0.046 (-0.710, 0.728)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285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0.526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813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407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0.001 (-0.675, 0.733)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1A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0.163 (-0.578, 0.777)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6FB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  <w:tr w:rsidR="008F35DB" w:rsidRPr="00E857E9" w14:paraId="6A2876FD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8386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61-65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AB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0.057 (-0.610, 0.752)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FF49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0.181 (-0.530, 0.963)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E7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69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52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0.007 (-0.613, 0.837)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CA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0.138 (-0.551, 0.968)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6AF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59D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972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-0.100 (-0.819, 0.549)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8C6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-0.008 (-0.798, 0.610)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D53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0.976</w:t>
            </w:r>
          </w:p>
        </w:tc>
      </w:tr>
      <w:tr w:rsidR="008F35DB" w:rsidRPr="00E857E9" w14:paraId="6CB26103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BEF9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66-70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1F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-0.180 (-0.728, 0.648)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9DF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0.103 (-0.661, 0.860)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936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B65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143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-0.081 (-0.805, 0.619)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903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0.177 (-0.668, 0.933)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23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346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1A99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-0.087 (-0.712, 0.678)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51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-0.023 (-0.691, 0.672)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FD6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0.005</w:t>
            </w:r>
          </w:p>
        </w:tc>
      </w:tr>
      <w:tr w:rsidR="008F35DB" w:rsidRPr="00E857E9" w14:paraId="5F3A80E9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8EF4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71-75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89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-0.356 (-1.011, 0.665)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52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-0.013 (-0.980, 1.110)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E9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A21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9FC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-0.351 (-0.990, 0.532)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0A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0.028 (-0.748, 0.955)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215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17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D4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-0.077 (-0.662, 0.810)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594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-0.033 (-0.811, 0.783)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11D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0.001</w:t>
            </w:r>
          </w:p>
        </w:tc>
      </w:tr>
      <w:tr w:rsidR="008F35DB" w:rsidRPr="00E857E9" w14:paraId="288E8571" w14:textId="77777777" w:rsidTr="00C3752E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06081" w14:textId="77777777" w:rsidR="008F35DB" w:rsidRPr="00D94B61" w:rsidRDefault="008F35DB" w:rsidP="00C3752E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76+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2A5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-0.231 (-0.947, 0.621)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C9158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0.360 (-0.734, 1.375)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9DDC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0.004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BFF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42AD0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-0.004 (-1.013, 0.998)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321F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0.720 (-0.596, 1.696)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B0D1" w14:textId="77777777" w:rsidR="008F35DB" w:rsidRPr="00D94B61" w:rsidRDefault="008F35DB" w:rsidP="00DF42DD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2ECB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1F07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 xml:space="preserve"> 0.083 (-0.886, 0.575)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51DF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-0.055 (-1.068, 0.483)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79EE" w14:textId="77777777" w:rsidR="008F35DB" w:rsidRPr="00D94B61" w:rsidRDefault="008F35DB" w:rsidP="00C3752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</w:pPr>
            <w:r w:rsidRPr="00D94B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ES"/>
              </w:rPr>
              <w:t>&lt;0.001</w:t>
            </w:r>
          </w:p>
        </w:tc>
      </w:tr>
    </w:tbl>
    <w:p w14:paraId="7EA1FBB1" w14:textId="77777777" w:rsidR="008F35DB" w:rsidRPr="00C26B44" w:rsidRDefault="008F35DB" w:rsidP="008F35DB">
      <w:pPr>
        <w:spacing w:after="0"/>
        <w:rPr>
          <w:sz w:val="16"/>
          <w:szCs w:val="16"/>
          <w:lang w:val="en-US"/>
        </w:rPr>
      </w:pPr>
    </w:p>
    <w:p w14:paraId="2741A59F" w14:textId="77777777" w:rsidR="008F35DB" w:rsidRPr="00D94B61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* Comparision was made by Wilcoxon matched-pairs signed-ranks test</w:t>
      </w:r>
    </w:p>
    <w:p w14:paraId="1C7B8308" w14:textId="77777777" w:rsidR="008F35DB" w:rsidRPr="00DA696D" w:rsidRDefault="008F35DB" w:rsidP="008F35DB">
      <w:pPr>
        <w:spacing w:after="0"/>
        <w:rPr>
          <w:sz w:val="16"/>
          <w:szCs w:val="16"/>
          <w:lang w:val="en-US"/>
        </w:rPr>
      </w:pPr>
      <w:r w:rsidRPr="00DA696D">
        <w:rPr>
          <w:sz w:val="16"/>
          <w:szCs w:val="16"/>
          <w:lang w:val="en-US"/>
        </w:rPr>
        <w:t xml:space="preserve">LMS model: Generalized additive model for location, scale and shape, LMS method. </w:t>
      </w:r>
    </w:p>
    <w:p w14:paraId="495E7B35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>LR: linear regression model</w:t>
      </w:r>
    </w:p>
    <w:p w14:paraId="48A98E06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D94B61">
        <w:rPr>
          <w:sz w:val="16"/>
          <w:szCs w:val="16"/>
          <w:lang w:val="en-US"/>
        </w:rPr>
        <w:t>FEV</w:t>
      </w:r>
      <w:r w:rsidRPr="00DA696D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: Forced expiratory volume in 1s. </w:t>
      </w:r>
    </w:p>
    <w:p w14:paraId="2BBA59FE" w14:textId="77777777" w:rsidR="008F35DB" w:rsidRDefault="008F35DB" w:rsidP="008F35DB">
      <w:pPr>
        <w:spacing w:after="0"/>
        <w:rPr>
          <w:sz w:val="16"/>
          <w:szCs w:val="16"/>
          <w:lang w:val="en-US"/>
        </w:rPr>
      </w:pPr>
      <w:r w:rsidRPr="00E857E9">
        <w:rPr>
          <w:sz w:val="16"/>
          <w:szCs w:val="16"/>
          <w:lang w:val="en-US"/>
        </w:rPr>
        <w:t xml:space="preserve">FVC: Forced vital capacity. </w:t>
      </w:r>
    </w:p>
    <w:p w14:paraId="271B28A3" w14:textId="77777777" w:rsidR="008F35DB" w:rsidRPr="00C26B44" w:rsidRDefault="008F35DB" w:rsidP="008F35DB">
      <w:pPr>
        <w:spacing w:after="0"/>
        <w:rPr>
          <w:lang w:val="en-US"/>
        </w:rPr>
      </w:pPr>
      <w:r w:rsidRPr="00E857E9">
        <w:rPr>
          <w:sz w:val="16"/>
          <w:szCs w:val="16"/>
          <w:lang w:val="en-US"/>
        </w:rPr>
        <w:t>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>/FVC: ratio of FEV</w:t>
      </w:r>
      <w:r w:rsidRPr="00E857E9">
        <w:rPr>
          <w:sz w:val="16"/>
          <w:szCs w:val="16"/>
          <w:vertAlign w:val="subscript"/>
          <w:lang w:val="en-US"/>
        </w:rPr>
        <w:t>1</w:t>
      </w:r>
      <w:r w:rsidRPr="00E857E9">
        <w:rPr>
          <w:sz w:val="16"/>
          <w:szCs w:val="16"/>
          <w:lang w:val="en-US"/>
        </w:rPr>
        <w:t xml:space="preserve"> and FVC.</w:t>
      </w:r>
      <w:r w:rsidRPr="00C26B44">
        <w:rPr>
          <w:lang w:val="en-US"/>
        </w:rPr>
        <w:t xml:space="preserve"> </w:t>
      </w:r>
    </w:p>
    <w:p w14:paraId="57F2B401" w14:textId="77777777" w:rsidR="008F35DB" w:rsidRDefault="008F35DB" w:rsidP="008F35DB"/>
    <w:p w14:paraId="14F06C73" w14:textId="77777777" w:rsidR="002C4397" w:rsidRDefault="002C4397"/>
    <w:sectPr w:rsidR="002C4397" w:rsidSect="00C3752E">
      <w:pgSz w:w="16840" w:h="11900" w:orient="landscape"/>
      <w:pgMar w:top="1701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45B60" w14:textId="77777777" w:rsidR="00937358" w:rsidRDefault="00937358" w:rsidP="00DC5148">
      <w:pPr>
        <w:spacing w:after="0"/>
      </w:pPr>
      <w:r>
        <w:separator/>
      </w:r>
    </w:p>
  </w:endnote>
  <w:endnote w:type="continuationSeparator" w:id="0">
    <w:p w14:paraId="5AA271D4" w14:textId="77777777" w:rsidR="00937358" w:rsidRDefault="00937358" w:rsidP="00DC51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1E143" w14:textId="77777777" w:rsidR="00937358" w:rsidRDefault="00937358" w:rsidP="00DC5148">
      <w:pPr>
        <w:spacing w:after="0"/>
      </w:pPr>
      <w:r>
        <w:separator/>
      </w:r>
    </w:p>
  </w:footnote>
  <w:footnote w:type="continuationSeparator" w:id="0">
    <w:p w14:paraId="3DC25FFC" w14:textId="77777777" w:rsidR="00937358" w:rsidRDefault="00937358" w:rsidP="00DC51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DB"/>
    <w:rsid w:val="0000267A"/>
    <w:rsid w:val="00051950"/>
    <w:rsid w:val="000535F7"/>
    <w:rsid w:val="00057135"/>
    <w:rsid w:val="0006159D"/>
    <w:rsid w:val="00071203"/>
    <w:rsid w:val="00092B15"/>
    <w:rsid w:val="000B064F"/>
    <w:rsid w:val="000B21CE"/>
    <w:rsid w:val="000B4C0F"/>
    <w:rsid w:val="000D518C"/>
    <w:rsid w:val="000D69BA"/>
    <w:rsid w:val="000F32B1"/>
    <w:rsid w:val="00101B39"/>
    <w:rsid w:val="00106371"/>
    <w:rsid w:val="00107B9C"/>
    <w:rsid w:val="001154DA"/>
    <w:rsid w:val="00144942"/>
    <w:rsid w:val="00153A7F"/>
    <w:rsid w:val="0016565A"/>
    <w:rsid w:val="001B6AE4"/>
    <w:rsid w:val="00240657"/>
    <w:rsid w:val="00292CC3"/>
    <w:rsid w:val="002A163C"/>
    <w:rsid w:val="002B0435"/>
    <w:rsid w:val="002B4EF5"/>
    <w:rsid w:val="002C4397"/>
    <w:rsid w:val="002E6299"/>
    <w:rsid w:val="002F22EB"/>
    <w:rsid w:val="002F2415"/>
    <w:rsid w:val="002F52EB"/>
    <w:rsid w:val="0031283A"/>
    <w:rsid w:val="0031330B"/>
    <w:rsid w:val="00346204"/>
    <w:rsid w:val="00383B7A"/>
    <w:rsid w:val="003842AE"/>
    <w:rsid w:val="003850B6"/>
    <w:rsid w:val="003A5671"/>
    <w:rsid w:val="00405763"/>
    <w:rsid w:val="00412ADB"/>
    <w:rsid w:val="0043240F"/>
    <w:rsid w:val="00455E79"/>
    <w:rsid w:val="00466519"/>
    <w:rsid w:val="00472EC9"/>
    <w:rsid w:val="004925D7"/>
    <w:rsid w:val="004A1C5E"/>
    <w:rsid w:val="004A7995"/>
    <w:rsid w:val="004F06A0"/>
    <w:rsid w:val="00511D20"/>
    <w:rsid w:val="00516B0E"/>
    <w:rsid w:val="00530080"/>
    <w:rsid w:val="00541A8D"/>
    <w:rsid w:val="0054510F"/>
    <w:rsid w:val="0054631B"/>
    <w:rsid w:val="00571A08"/>
    <w:rsid w:val="00577ACF"/>
    <w:rsid w:val="005826B3"/>
    <w:rsid w:val="005A4751"/>
    <w:rsid w:val="005A75B3"/>
    <w:rsid w:val="005D6EE7"/>
    <w:rsid w:val="005F093A"/>
    <w:rsid w:val="0060109C"/>
    <w:rsid w:val="00604E60"/>
    <w:rsid w:val="00616343"/>
    <w:rsid w:val="00622542"/>
    <w:rsid w:val="00627FF3"/>
    <w:rsid w:val="00650221"/>
    <w:rsid w:val="0066102A"/>
    <w:rsid w:val="00665CC0"/>
    <w:rsid w:val="006813FB"/>
    <w:rsid w:val="006F763D"/>
    <w:rsid w:val="00760C93"/>
    <w:rsid w:val="00786F4B"/>
    <w:rsid w:val="007A44FA"/>
    <w:rsid w:val="007B4DDB"/>
    <w:rsid w:val="007D2871"/>
    <w:rsid w:val="007F4BE7"/>
    <w:rsid w:val="00811433"/>
    <w:rsid w:val="00820C06"/>
    <w:rsid w:val="00824F09"/>
    <w:rsid w:val="00836ED4"/>
    <w:rsid w:val="0085123F"/>
    <w:rsid w:val="00861646"/>
    <w:rsid w:val="008E6A89"/>
    <w:rsid w:val="008F35DB"/>
    <w:rsid w:val="009254D6"/>
    <w:rsid w:val="00937358"/>
    <w:rsid w:val="0097271A"/>
    <w:rsid w:val="009B73BE"/>
    <w:rsid w:val="009B7530"/>
    <w:rsid w:val="009E1850"/>
    <w:rsid w:val="00A052E2"/>
    <w:rsid w:val="00A20C79"/>
    <w:rsid w:val="00A23E3B"/>
    <w:rsid w:val="00A279E4"/>
    <w:rsid w:val="00A42874"/>
    <w:rsid w:val="00A547F3"/>
    <w:rsid w:val="00A73019"/>
    <w:rsid w:val="00A81C27"/>
    <w:rsid w:val="00A92D4E"/>
    <w:rsid w:val="00AA0710"/>
    <w:rsid w:val="00AC5C47"/>
    <w:rsid w:val="00AE450F"/>
    <w:rsid w:val="00B01F6F"/>
    <w:rsid w:val="00B17643"/>
    <w:rsid w:val="00B411FA"/>
    <w:rsid w:val="00B57D27"/>
    <w:rsid w:val="00B709FF"/>
    <w:rsid w:val="00B82139"/>
    <w:rsid w:val="00B92D3D"/>
    <w:rsid w:val="00BD6FA6"/>
    <w:rsid w:val="00C31DD4"/>
    <w:rsid w:val="00C32820"/>
    <w:rsid w:val="00C33835"/>
    <w:rsid w:val="00C3752E"/>
    <w:rsid w:val="00C630D5"/>
    <w:rsid w:val="00C6331D"/>
    <w:rsid w:val="00C86D6C"/>
    <w:rsid w:val="00CB004B"/>
    <w:rsid w:val="00CC10A4"/>
    <w:rsid w:val="00CD03CB"/>
    <w:rsid w:val="00D11CE3"/>
    <w:rsid w:val="00D16903"/>
    <w:rsid w:val="00D23BF9"/>
    <w:rsid w:val="00D42863"/>
    <w:rsid w:val="00D57D28"/>
    <w:rsid w:val="00D82849"/>
    <w:rsid w:val="00D93A4F"/>
    <w:rsid w:val="00DA3FBD"/>
    <w:rsid w:val="00DC5148"/>
    <w:rsid w:val="00DF42DD"/>
    <w:rsid w:val="00E03B21"/>
    <w:rsid w:val="00E366FD"/>
    <w:rsid w:val="00E753D7"/>
    <w:rsid w:val="00EC5CCE"/>
    <w:rsid w:val="00EE06E6"/>
    <w:rsid w:val="00EF34D0"/>
    <w:rsid w:val="00F20798"/>
    <w:rsid w:val="00F32F22"/>
    <w:rsid w:val="00F46C39"/>
    <w:rsid w:val="00F7187E"/>
    <w:rsid w:val="00FA36E6"/>
    <w:rsid w:val="00FA4F62"/>
    <w:rsid w:val="00FB137B"/>
    <w:rsid w:val="00FC3FAB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A3408"/>
  <w14:defaultImageDpi w14:val="300"/>
  <w15:docId w15:val="{69D46892-48FA-4170-B96D-2D3BEF4B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5DB"/>
    <w:pPr>
      <w:spacing w:after="200"/>
    </w:pPr>
    <w:rPr>
      <w:lang w:val="es-ES_trad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5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DB"/>
    <w:rPr>
      <w:rFonts w:ascii="Lucida Grande" w:hAnsi="Lucida Grande" w:cs="Lucida Grande"/>
      <w:sz w:val="18"/>
      <w:szCs w:val="18"/>
      <w:lang w:val="es-ES_tradnl" w:eastAsia="ja-JP"/>
    </w:rPr>
  </w:style>
  <w:style w:type="character" w:styleId="PlaceholderText">
    <w:name w:val="Placeholder Text"/>
    <w:basedOn w:val="DefaultParagraphFont"/>
    <w:uiPriority w:val="99"/>
    <w:semiHidden/>
    <w:rsid w:val="00577A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C5148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5148"/>
    <w:rPr>
      <w:lang w:val="es-ES_tradnl" w:eastAsia="ja-JP"/>
    </w:rPr>
  </w:style>
  <w:style w:type="paragraph" w:styleId="Footer">
    <w:name w:val="footer"/>
    <w:basedOn w:val="Normal"/>
    <w:link w:val="FooterChar"/>
    <w:uiPriority w:val="99"/>
    <w:unhideWhenUsed/>
    <w:rsid w:val="00DC5148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5148"/>
    <w:rPr>
      <w:lang w:val="es-ES_tradnl" w:eastAsia="ja-JP"/>
    </w:rPr>
  </w:style>
  <w:style w:type="table" w:styleId="TableGrid">
    <w:name w:val="Table Grid"/>
    <w:basedOn w:val="TableNormal"/>
    <w:uiPriority w:val="59"/>
    <w:rsid w:val="00FA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INER</Company>
  <LinksUpToDate>false</LinksUpToDate>
  <CharactersWithSpaces>13046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Martinez</dc:creator>
  <cp:keywords/>
  <dc:description/>
  <cp:lastModifiedBy>Bandana Sharma</cp:lastModifiedBy>
  <cp:revision>3</cp:revision>
  <dcterms:created xsi:type="dcterms:W3CDTF">2020-02-28T09:05:00Z</dcterms:created>
  <dcterms:modified xsi:type="dcterms:W3CDTF">2020-02-28T09:05:00Z</dcterms:modified>
</cp:coreProperties>
</file>