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72" w:rsidRPr="00591A71" w:rsidRDefault="00802772" w:rsidP="00802772">
      <w:pPr>
        <w:spacing w:after="0" w:line="480" w:lineRule="auto"/>
        <w:ind w:left="-709"/>
        <w:jc w:val="both"/>
        <w:rPr>
          <w:rFonts w:ascii="Calibri" w:hAnsi="Calibri" w:cs="Arial"/>
          <w:b/>
        </w:rPr>
      </w:pPr>
      <w:r w:rsidRPr="00591A71">
        <w:rPr>
          <w:rFonts w:ascii="Calibri" w:hAnsi="Calibri" w:cs="Arial"/>
          <w:b/>
        </w:rPr>
        <w:t xml:space="preserve">Tabla S1. Publicaciones seleccionadas en la revisión sistemática y lectura crítica de la literatura. </w:t>
      </w:r>
    </w:p>
    <w:tbl>
      <w:tblPr>
        <w:tblW w:w="91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957"/>
      </w:tblGrid>
      <w:tr w:rsidR="00802772" w:rsidRPr="0045080F" w:rsidTr="00BF6BD8">
        <w:trPr>
          <w:trHeight w:val="20"/>
        </w:trPr>
        <w:tc>
          <w:tcPr>
            <w:tcW w:w="2225" w:type="dxa"/>
            <w:tcBorders>
              <w:top w:val="single" w:sz="4" w:space="0" w:color="auto"/>
              <w:left w:val="nil"/>
              <w:bottom w:val="single" w:sz="4" w:space="0" w:color="auto"/>
              <w:right w:val="nil"/>
            </w:tcBorders>
            <w:shd w:val="clear" w:color="auto" w:fill="D9D9D9"/>
            <w:vAlign w:val="center"/>
          </w:tcPr>
          <w:p w:rsidR="00802772" w:rsidRPr="0045080F" w:rsidRDefault="00802772" w:rsidP="00914838">
            <w:pPr>
              <w:spacing w:after="0" w:line="480" w:lineRule="auto"/>
              <w:contextualSpacing/>
              <w:rPr>
                <w:rFonts w:ascii="Calibri" w:hAnsi="Calibri" w:cs="Arial"/>
                <w:b/>
              </w:rPr>
            </w:pPr>
            <w:r w:rsidRPr="0045080F">
              <w:rPr>
                <w:rFonts w:ascii="Calibri" w:hAnsi="Calibri" w:cs="Arial"/>
                <w:b/>
              </w:rPr>
              <w:t>Ensayos Clínicos</w:t>
            </w:r>
          </w:p>
        </w:tc>
        <w:tc>
          <w:tcPr>
            <w:tcW w:w="6957" w:type="dxa"/>
            <w:tcBorders>
              <w:top w:val="single" w:sz="4" w:space="0" w:color="auto"/>
              <w:left w:val="nil"/>
              <w:bottom w:val="single" w:sz="4" w:space="0" w:color="auto"/>
              <w:right w:val="nil"/>
            </w:tcBorders>
            <w:shd w:val="clear" w:color="auto" w:fill="D9D9D9"/>
            <w:vAlign w:val="center"/>
          </w:tcPr>
          <w:p w:rsidR="00802772" w:rsidRPr="0045080F" w:rsidRDefault="00802772" w:rsidP="00914838">
            <w:pPr>
              <w:spacing w:after="0" w:line="480" w:lineRule="auto"/>
              <w:contextualSpacing/>
              <w:jc w:val="center"/>
              <w:rPr>
                <w:rFonts w:ascii="Calibri" w:hAnsi="Calibri" w:cs="Arial"/>
                <w:b/>
              </w:rPr>
            </w:pPr>
          </w:p>
        </w:tc>
      </w:tr>
      <w:tr w:rsidR="00802772" w:rsidRPr="0045080F" w:rsidTr="00BF6BD8">
        <w:trPr>
          <w:trHeight w:val="20"/>
        </w:trPr>
        <w:tc>
          <w:tcPr>
            <w:tcW w:w="2225" w:type="dxa"/>
            <w:tcBorders>
              <w:top w:val="single" w:sz="4" w:space="0" w:color="auto"/>
              <w:left w:val="nil"/>
              <w:bottom w:val="single" w:sz="4" w:space="0" w:color="auto"/>
              <w:right w:val="nil"/>
            </w:tcBorders>
            <w:shd w:val="clear" w:color="auto" w:fill="D9D9D9"/>
            <w:vAlign w:val="center"/>
          </w:tcPr>
          <w:p w:rsidR="00802772" w:rsidRPr="0045080F" w:rsidDel="0030462D" w:rsidRDefault="00802772" w:rsidP="00914838">
            <w:pPr>
              <w:spacing w:after="0" w:line="480" w:lineRule="auto"/>
              <w:contextualSpacing/>
              <w:rPr>
                <w:rFonts w:ascii="Calibri" w:hAnsi="Calibri" w:cs="Arial"/>
              </w:rPr>
            </w:pPr>
            <w:r w:rsidRPr="0045080F">
              <w:rPr>
                <w:rFonts w:ascii="Calibri" w:hAnsi="Calibri" w:cs="Arial"/>
              </w:rPr>
              <w:t xml:space="preserve">Brazos de tratamiento </w:t>
            </w:r>
          </w:p>
        </w:tc>
        <w:tc>
          <w:tcPr>
            <w:tcW w:w="6957" w:type="dxa"/>
            <w:tcBorders>
              <w:top w:val="single" w:sz="4" w:space="0" w:color="auto"/>
              <w:left w:val="nil"/>
              <w:bottom w:val="single" w:sz="4" w:space="0" w:color="auto"/>
              <w:right w:val="nil"/>
            </w:tcBorders>
            <w:shd w:val="clear" w:color="auto" w:fill="D9D9D9"/>
            <w:vAlign w:val="center"/>
          </w:tcPr>
          <w:p w:rsidR="00802772" w:rsidRPr="0045080F" w:rsidRDefault="00802772" w:rsidP="00914838">
            <w:pPr>
              <w:spacing w:after="0" w:line="480" w:lineRule="auto"/>
              <w:contextualSpacing/>
              <w:jc w:val="center"/>
              <w:rPr>
                <w:rFonts w:ascii="Calibri" w:hAnsi="Calibri" w:cs="Arial"/>
              </w:rPr>
            </w:pPr>
            <w:r w:rsidRPr="0045080F">
              <w:rPr>
                <w:rFonts w:ascii="Calibri" w:hAnsi="Calibri" w:cs="Arial"/>
              </w:rPr>
              <w:t xml:space="preserve">Referencia </w:t>
            </w:r>
          </w:p>
        </w:tc>
      </w:tr>
      <w:tr w:rsidR="00802772" w:rsidRPr="0045080F" w:rsidTr="00BF6BD8">
        <w:trPr>
          <w:trHeight w:val="20"/>
        </w:trPr>
        <w:tc>
          <w:tcPr>
            <w:tcW w:w="2225" w:type="dxa"/>
            <w:tcBorders>
              <w:top w:val="single" w:sz="4" w:space="0" w:color="auto"/>
              <w:left w:val="nil"/>
              <w:bottom w:val="single" w:sz="4" w:space="0" w:color="auto"/>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IMIQUIMOD CREMA </w:t>
            </w:r>
          </w:p>
          <w:p w:rsidR="00802772" w:rsidRPr="0045080F" w:rsidRDefault="00802772" w:rsidP="00914838">
            <w:pPr>
              <w:spacing w:after="0" w:line="480" w:lineRule="auto"/>
              <w:contextualSpacing/>
              <w:rPr>
                <w:rFonts w:ascii="Calibri" w:hAnsi="Calibri"/>
                <w:color w:val="000000"/>
              </w:rPr>
            </w:pPr>
          </w:p>
        </w:tc>
        <w:tc>
          <w:tcPr>
            <w:tcW w:w="6957" w:type="dxa"/>
            <w:tcBorders>
              <w:top w:val="single" w:sz="4" w:space="0" w:color="auto"/>
              <w:left w:val="nil"/>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7444AF">
              <w:rPr>
                <w:rFonts w:ascii="Calibri" w:hAnsi="Calibri"/>
                <w:color w:val="000000"/>
                <w:lang w:val="en-US"/>
              </w:rPr>
              <w:t>Jiang C, Hu X, Ma G, Chen D, Jin Y, Chen H, Chen X, Lin X. A prospective</w:t>
            </w:r>
            <w:r>
              <w:rPr>
                <w:rFonts w:ascii="Calibri" w:hAnsi="Calibri"/>
                <w:color w:val="000000"/>
                <w:lang w:val="en-US"/>
              </w:rPr>
              <w:t xml:space="preserve"> </w:t>
            </w:r>
            <w:r w:rsidRPr="007444AF">
              <w:rPr>
                <w:rFonts w:ascii="Calibri" w:hAnsi="Calibri"/>
                <w:color w:val="000000"/>
                <w:lang w:val="en-US"/>
              </w:rPr>
              <w:t>self-controlled phase II study of imiquimod 5% cream in the treatment of</w:t>
            </w:r>
            <w:r>
              <w:rPr>
                <w:rFonts w:ascii="Calibri" w:hAnsi="Calibri"/>
                <w:color w:val="000000"/>
                <w:lang w:val="en-US"/>
              </w:rPr>
              <w:t xml:space="preserve"> </w:t>
            </w:r>
            <w:r w:rsidRPr="007444AF">
              <w:rPr>
                <w:rFonts w:ascii="Calibri" w:hAnsi="Calibri"/>
                <w:color w:val="000000"/>
                <w:lang w:val="en-US"/>
              </w:rPr>
              <w:t>infantile hemangioma. Pediatr Dermatol. 2011;28:259-66.</w:t>
            </w:r>
          </w:p>
        </w:tc>
      </w:tr>
      <w:tr w:rsidR="00802772" w:rsidRPr="0045080F" w:rsidTr="00BF6BD8">
        <w:trPr>
          <w:trHeight w:val="20"/>
        </w:trPr>
        <w:tc>
          <w:tcPr>
            <w:tcW w:w="2225" w:type="dxa"/>
            <w:tcBorders>
              <w:left w:val="nil"/>
              <w:bottom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TIMOLOL CREMA </w:t>
            </w:r>
          </w:p>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7444AF">
              <w:rPr>
                <w:rFonts w:ascii="Calibri" w:hAnsi="Calibri"/>
                <w:color w:val="000000"/>
                <w:lang w:val="en-US"/>
              </w:rPr>
              <w:t>Chan H, McKay C, Adams S, Wargon O. RCT of timolol maleate gel for superficial</w:t>
            </w:r>
            <w:r>
              <w:rPr>
                <w:rFonts w:ascii="Calibri" w:hAnsi="Calibri"/>
                <w:color w:val="000000"/>
                <w:lang w:val="en-US"/>
              </w:rPr>
              <w:t xml:space="preserve"> </w:t>
            </w:r>
            <w:r w:rsidRPr="007444AF">
              <w:rPr>
                <w:rFonts w:ascii="Calibri" w:hAnsi="Calibri"/>
                <w:color w:val="000000"/>
                <w:lang w:val="en-US"/>
              </w:rPr>
              <w:t xml:space="preserve">infantile hemangiomas in 5- to 24-week-olds. </w:t>
            </w:r>
            <w:r w:rsidRPr="0047063D">
              <w:rPr>
                <w:rFonts w:ascii="Calibri" w:hAnsi="Calibri"/>
                <w:color w:val="000000"/>
                <w:lang w:val="en-US"/>
              </w:rPr>
              <w:t>Pediatrics. 2013</w:t>
            </w:r>
            <w:r w:rsidRPr="007444AF">
              <w:rPr>
                <w:rFonts w:ascii="Calibri" w:hAnsi="Calibri"/>
                <w:color w:val="000000"/>
              </w:rPr>
              <w:t>;131:e1739-47.</w:t>
            </w:r>
          </w:p>
        </w:tc>
      </w:tr>
      <w:tr w:rsidR="00802772" w:rsidRPr="0045080F" w:rsidTr="00BF6BD8">
        <w:trPr>
          <w:trHeight w:val="20"/>
        </w:trPr>
        <w:tc>
          <w:tcPr>
            <w:tcW w:w="2225" w:type="dxa"/>
            <w:tcBorders>
              <w:top w:val="nil"/>
              <w:left w:val="nil"/>
              <w:bottom w:val="single" w:sz="4" w:space="0" w:color="auto"/>
              <w:right w:val="nil"/>
            </w:tcBorders>
            <w:shd w:val="clear" w:color="auto" w:fill="auto"/>
          </w:tcPr>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7444AF">
              <w:rPr>
                <w:rFonts w:ascii="Calibri" w:hAnsi="Calibri"/>
                <w:color w:val="000000"/>
              </w:rPr>
              <w:t xml:space="preserve">Yu L, Li S, Su B, Liu Z, Fang J, Zhu L, Huang M, Shan W, Song D, Ye B, Luo C. </w:t>
            </w:r>
            <w:r>
              <w:rPr>
                <w:rFonts w:ascii="Calibri" w:hAnsi="Calibri"/>
                <w:color w:val="000000"/>
              </w:rPr>
              <w:t xml:space="preserve"> </w:t>
            </w:r>
            <w:r w:rsidRPr="007444AF">
              <w:rPr>
                <w:rFonts w:ascii="Calibri" w:hAnsi="Calibri"/>
                <w:color w:val="000000"/>
                <w:lang w:val="en-US"/>
              </w:rPr>
              <w:t>Treatment of superficial infantile hemangiomas with timolol: Evaluation of</w:t>
            </w:r>
            <w:r>
              <w:rPr>
                <w:rFonts w:ascii="Calibri" w:hAnsi="Calibri"/>
                <w:color w:val="000000"/>
                <w:lang w:val="en-US"/>
              </w:rPr>
              <w:t xml:space="preserve"> </w:t>
            </w:r>
            <w:r w:rsidRPr="007444AF">
              <w:rPr>
                <w:rFonts w:ascii="Calibri" w:hAnsi="Calibri"/>
                <w:color w:val="000000"/>
                <w:lang w:val="en-US"/>
              </w:rPr>
              <w:t xml:space="preserve">short-term efficacy and safety in infants. </w:t>
            </w:r>
            <w:r w:rsidRPr="007444AF">
              <w:rPr>
                <w:rFonts w:ascii="Calibri" w:hAnsi="Calibri"/>
                <w:color w:val="000000"/>
              </w:rPr>
              <w:t>Exp Ther Med. 2013</w:t>
            </w:r>
            <w:r w:rsidR="005D1D93">
              <w:rPr>
                <w:rFonts w:ascii="Calibri" w:hAnsi="Calibri"/>
                <w:color w:val="000000"/>
              </w:rPr>
              <w:t>;</w:t>
            </w:r>
            <w:r w:rsidRPr="007444AF">
              <w:rPr>
                <w:rFonts w:ascii="Calibri" w:hAnsi="Calibri"/>
                <w:color w:val="000000"/>
              </w:rPr>
              <w:t>;6:388-390.</w:t>
            </w:r>
          </w:p>
        </w:tc>
      </w:tr>
      <w:tr w:rsidR="00802772" w:rsidRPr="0045080F" w:rsidTr="00BF6BD8">
        <w:trPr>
          <w:trHeight w:val="818"/>
        </w:trPr>
        <w:tc>
          <w:tcPr>
            <w:tcW w:w="2225" w:type="dxa"/>
            <w:tcBorders>
              <w:left w:val="nil"/>
              <w:bottom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PROPANONOL SOLUCIÓN </w:t>
            </w:r>
          </w:p>
        </w:tc>
        <w:tc>
          <w:tcPr>
            <w:tcW w:w="6957" w:type="dxa"/>
            <w:tcBorders>
              <w:left w:val="nil"/>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3152B6">
              <w:rPr>
                <w:rFonts w:ascii="Calibri" w:hAnsi="Calibri"/>
                <w:color w:val="000000"/>
                <w:lang w:val="en-US"/>
              </w:rPr>
              <w:t>Hogeling M, Adams S, Wargon O. A randomized controlled trial of propranolol</w:t>
            </w:r>
            <w:r>
              <w:rPr>
                <w:rFonts w:ascii="Calibri" w:hAnsi="Calibri"/>
                <w:color w:val="000000"/>
                <w:lang w:val="en-US"/>
              </w:rPr>
              <w:t xml:space="preserve"> </w:t>
            </w:r>
            <w:r w:rsidRPr="0047063D">
              <w:rPr>
                <w:rFonts w:ascii="Calibri" w:hAnsi="Calibri"/>
                <w:color w:val="000000"/>
                <w:lang w:val="en-US"/>
              </w:rPr>
              <w:t xml:space="preserve">for infantile hemangiomas. Pediatrics. </w:t>
            </w:r>
            <w:r w:rsidRPr="003152B6">
              <w:rPr>
                <w:rFonts w:ascii="Calibri" w:hAnsi="Calibri"/>
                <w:color w:val="000000"/>
              </w:rPr>
              <w:t>2011;128:e259-66.</w:t>
            </w:r>
          </w:p>
        </w:tc>
      </w:tr>
      <w:tr w:rsidR="00802772" w:rsidRPr="0045080F" w:rsidTr="00BF6BD8">
        <w:trPr>
          <w:trHeight w:val="20"/>
        </w:trPr>
        <w:tc>
          <w:tcPr>
            <w:tcW w:w="2225" w:type="dxa"/>
            <w:tcBorders>
              <w:top w:val="nil"/>
              <w:left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47063D">
              <w:rPr>
                <w:rFonts w:ascii="Calibri" w:hAnsi="Calibri"/>
                <w:color w:val="000000"/>
                <w:lang w:val="en-US"/>
              </w:rPr>
              <w:t xml:space="preserve">Léauté-Labrèze C, Dumas de la Roque E, Nacka F, Abouelfath A, Grenier N, </w:t>
            </w:r>
            <w:r w:rsidRPr="009E5D4D">
              <w:rPr>
                <w:rFonts w:ascii="Calibri" w:hAnsi="Calibri"/>
                <w:color w:val="000000"/>
                <w:lang w:val="en-US"/>
              </w:rPr>
              <w:t>Rebola M, Ezzedine K, Moore N. Double-blind randomized pilot trial evaluating the</w:t>
            </w:r>
            <w:r>
              <w:rPr>
                <w:rFonts w:ascii="Calibri" w:hAnsi="Calibri"/>
                <w:color w:val="000000"/>
                <w:lang w:val="en-US"/>
              </w:rPr>
              <w:t xml:space="preserve"> </w:t>
            </w:r>
            <w:r w:rsidRPr="009E5D4D">
              <w:rPr>
                <w:rFonts w:ascii="Calibri" w:hAnsi="Calibri"/>
                <w:color w:val="000000"/>
                <w:lang w:val="en-US"/>
              </w:rPr>
              <w:t>efficacy of oral propranolol on infantile haemangiomas in infants &lt; 4 months of</w:t>
            </w:r>
            <w:r>
              <w:rPr>
                <w:rFonts w:ascii="Calibri" w:hAnsi="Calibri"/>
                <w:color w:val="000000"/>
                <w:lang w:val="en-US"/>
              </w:rPr>
              <w:t xml:space="preserve"> </w:t>
            </w:r>
            <w:r w:rsidRPr="001D0059">
              <w:rPr>
                <w:rFonts w:ascii="Calibri" w:hAnsi="Calibri"/>
                <w:color w:val="000000"/>
                <w:lang w:val="en-US"/>
              </w:rPr>
              <w:t xml:space="preserve">age. Br J Dermatol. </w:t>
            </w:r>
            <w:r w:rsidRPr="003152B6">
              <w:rPr>
                <w:rFonts w:ascii="Calibri" w:hAnsi="Calibri"/>
                <w:color w:val="000000"/>
              </w:rPr>
              <w:t>2013;169:181-3.</w:t>
            </w:r>
          </w:p>
        </w:tc>
      </w:tr>
      <w:tr w:rsidR="00802772" w:rsidRPr="003A5FE6" w:rsidTr="00BF6BD8">
        <w:trPr>
          <w:trHeight w:val="20"/>
        </w:trPr>
        <w:tc>
          <w:tcPr>
            <w:tcW w:w="2225" w:type="dxa"/>
            <w:tcBorders>
              <w:left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CORTICOSTEROIDES TOPICOS vs. CORTICOSTEROIDES INTRALESIONALES</w:t>
            </w:r>
          </w:p>
        </w:tc>
        <w:tc>
          <w:tcPr>
            <w:tcW w:w="6957" w:type="dxa"/>
            <w:tcBorders>
              <w:left w:val="nil"/>
              <w:right w:val="nil"/>
            </w:tcBorders>
            <w:shd w:val="clear" w:color="auto" w:fill="auto"/>
          </w:tcPr>
          <w:p w:rsidR="00802772" w:rsidRPr="00BF6BD8" w:rsidRDefault="00802772" w:rsidP="00914838">
            <w:pPr>
              <w:spacing w:after="0" w:line="480" w:lineRule="auto"/>
              <w:contextualSpacing/>
              <w:jc w:val="both"/>
              <w:rPr>
                <w:rFonts w:ascii="Calibri" w:hAnsi="Calibri"/>
                <w:color w:val="000000"/>
                <w:lang w:val="en-US"/>
              </w:rPr>
            </w:pPr>
            <w:r w:rsidRPr="003152B6">
              <w:rPr>
                <w:rFonts w:ascii="Calibri" w:hAnsi="Calibri"/>
                <w:color w:val="000000"/>
                <w:lang w:val="en-US"/>
              </w:rPr>
              <w:t>Pandey A, Gangopadhyay AN, Sharma SP, Kumar V, Gupta DK, Gopal SC. Evaluation</w:t>
            </w:r>
            <w:r>
              <w:rPr>
                <w:rFonts w:ascii="Calibri" w:hAnsi="Calibri"/>
                <w:color w:val="000000"/>
                <w:lang w:val="en-US"/>
              </w:rPr>
              <w:t xml:space="preserve"> of </w:t>
            </w:r>
            <w:r w:rsidRPr="003152B6">
              <w:rPr>
                <w:rFonts w:ascii="Calibri" w:hAnsi="Calibri"/>
                <w:color w:val="000000"/>
                <w:lang w:val="en-US"/>
              </w:rPr>
              <w:t>topical steroids in the treatment of superficial hemangioma. Skinmed. 2010</w:t>
            </w:r>
            <w:r w:rsidRPr="00BF6BD8">
              <w:rPr>
                <w:rFonts w:ascii="Calibri" w:hAnsi="Calibri"/>
                <w:color w:val="000000"/>
                <w:lang w:val="en-US"/>
              </w:rPr>
              <w:t>;8:9-11.</w:t>
            </w:r>
          </w:p>
        </w:tc>
      </w:tr>
      <w:tr w:rsidR="00802772" w:rsidRPr="0045080F" w:rsidTr="00BF6BD8">
        <w:trPr>
          <w:trHeight w:val="20"/>
        </w:trPr>
        <w:tc>
          <w:tcPr>
            <w:tcW w:w="2225" w:type="dxa"/>
            <w:tcBorders>
              <w:left w:val="nil"/>
              <w:bottom w:val="single" w:sz="4" w:space="0" w:color="auto"/>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ATENOLOL vs. PROPANONOL </w:t>
            </w:r>
          </w:p>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BF6BD8" w:rsidRDefault="00802772" w:rsidP="00914838">
            <w:pPr>
              <w:spacing w:after="0" w:line="480" w:lineRule="auto"/>
              <w:contextualSpacing/>
              <w:jc w:val="both"/>
              <w:rPr>
                <w:rFonts w:ascii="Calibri" w:hAnsi="Calibri"/>
                <w:color w:val="000000"/>
                <w:lang w:val="en-US"/>
              </w:rPr>
            </w:pPr>
            <w:r w:rsidRPr="00BF6BD8">
              <w:rPr>
                <w:rFonts w:ascii="Calibri" w:hAnsi="Calibri"/>
                <w:color w:val="000000"/>
                <w:lang w:val="en-US"/>
              </w:rPr>
              <w:t xml:space="preserve">Ábarzúa-Araya A, Navarrete-Dechent CP, Heusser F, Retamal J, Zegpi-Trueba MS. </w:t>
            </w:r>
          </w:p>
          <w:p w:rsidR="00802772" w:rsidRPr="0045080F" w:rsidRDefault="00802772" w:rsidP="00914838">
            <w:pPr>
              <w:spacing w:after="0" w:line="480" w:lineRule="auto"/>
              <w:contextualSpacing/>
              <w:jc w:val="both"/>
              <w:rPr>
                <w:rFonts w:ascii="Calibri" w:hAnsi="Calibri"/>
                <w:color w:val="000000"/>
              </w:rPr>
            </w:pPr>
            <w:r w:rsidRPr="009E5D4D">
              <w:rPr>
                <w:rFonts w:ascii="Calibri" w:hAnsi="Calibri"/>
                <w:color w:val="000000"/>
                <w:lang w:val="en-US"/>
              </w:rPr>
              <w:t>Atenolol versus propranolol for the treatment of infantile hemangiomas: a</w:t>
            </w:r>
            <w:r>
              <w:rPr>
                <w:rFonts w:ascii="Calibri" w:hAnsi="Calibri"/>
                <w:color w:val="000000"/>
                <w:lang w:val="en-US"/>
              </w:rPr>
              <w:t xml:space="preserve"> </w:t>
            </w:r>
            <w:r w:rsidRPr="009E5D4D">
              <w:rPr>
                <w:rFonts w:ascii="Calibri" w:hAnsi="Calibri"/>
                <w:color w:val="000000"/>
                <w:lang w:val="en-US"/>
              </w:rPr>
              <w:t xml:space="preserve">randomized controlled study. J Am Acad Dermatol. </w:t>
            </w:r>
            <w:r w:rsidRPr="003152B6">
              <w:rPr>
                <w:rFonts w:ascii="Calibri" w:hAnsi="Calibri"/>
                <w:color w:val="000000"/>
              </w:rPr>
              <w:t>2014;70:1045-9.</w:t>
            </w:r>
          </w:p>
        </w:tc>
      </w:tr>
      <w:tr w:rsidR="00802772" w:rsidRPr="003152B6" w:rsidTr="00BF6BD8">
        <w:trPr>
          <w:trHeight w:val="20"/>
        </w:trPr>
        <w:tc>
          <w:tcPr>
            <w:tcW w:w="2225" w:type="dxa"/>
            <w:tcBorders>
              <w:left w:val="nil"/>
              <w:bottom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PROPANONOL vs. PREDNISOLONA</w:t>
            </w:r>
          </w:p>
        </w:tc>
        <w:tc>
          <w:tcPr>
            <w:tcW w:w="6957" w:type="dxa"/>
            <w:tcBorders>
              <w:left w:val="nil"/>
              <w:right w:val="nil"/>
            </w:tcBorders>
            <w:shd w:val="clear" w:color="auto" w:fill="auto"/>
          </w:tcPr>
          <w:p w:rsidR="00802772" w:rsidRPr="003152B6" w:rsidRDefault="00802772" w:rsidP="00914838">
            <w:pPr>
              <w:spacing w:after="0" w:line="480" w:lineRule="auto"/>
              <w:contextualSpacing/>
              <w:jc w:val="both"/>
              <w:rPr>
                <w:rFonts w:ascii="Calibri" w:hAnsi="Calibri"/>
                <w:color w:val="000000"/>
                <w:lang w:val="en-US"/>
              </w:rPr>
            </w:pPr>
            <w:r w:rsidRPr="003152B6">
              <w:rPr>
                <w:rFonts w:ascii="Calibri" w:hAnsi="Calibri"/>
                <w:color w:val="000000"/>
                <w:lang w:val="en-US"/>
              </w:rPr>
              <w:t xml:space="preserve">Malik MA, Menon P, Rao KL, Samujh R. Effect of propranolol vs prednisolone vs </w:t>
            </w:r>
            <w:r>
              <w:rPr>
                <w:rFonts w:ascii="Calibri" w:hAnsi="Calibri"/>
                <w:color w:val="000000"/>
                <w:lang w:val="en-US"/>
              </w:rPr>
              <w:t xml:space="preserve"> </w:t>
            </w:r>
            <w:r w:rsidRPr="003152B6">
              <w:rPr>
                <w:rFonts w:ascii="Calibri" w:hAnsi="Calibri"/>
                <w:color w:val="000000"/>
                <w:lang w:val="en-US"/>
              </w:rPr>
              <w:t>propranolol with prednisolone in the management of infantile hemangioma: a</w:t>
            </w:r>
            <w:r>
              <w:rPr>
                <w:rFonts w:ascii="Calibri" w:hAnsi="Calibri"/>
                <w:color w:val="000000"/>
                <w:lang w:val="en-US"/>
              </w:rPr>
              <w:t xml:space="preserve"> </w:t>
            </w:r>
            <w:r w:rsidRPr="003152B6">
              <w:rPr>
                <w:rFonts w:ascii="Calibri" w:hAnsi="Calibri"/>
                <w:color w:val="000000"/>
                <w:lang w:val="en-US"/>
              </w:rPr>
              <w:t>randomized controlled study. J Pediatr Surg. 2013;48:2453-9.</w:t>
            </w:r>
          </w:p>
        </w:tc>
      </w:tr>
      <w:tr w:rsidR="00802772" w:rsidRPr="006726AF" w:rsidTr="00BF6BD8">
        <w:trPr>
          <w:trHeight w:val="20"/>
        </w:trPr>
        <w:tc>
          <w:tcPr>
            <w:tcW w:w="2225" w:type="dxa"/>
            <w:tcBorders>
              <w:top w:val="nil"/>
              <w:left w:val="nil"/>
              <w:right w:val="nil"/>
            </w:tcBorders>
            <w:shd w:val="clear" w:color="auto" w:fill="auto"/>
          </w:tcPr>
          <w:p w:rsidR="00802772" w:rsidRPr="003152B6" w:rsidRDefault="00802772" w:rsidP="00914838">
            <w:pPr>
              <w:spacing w:after="0" w:line="480" w:lineRule="auto"/>
              <w:contextualSpacing/>
              <w:rPr>
                <w:rFonts w:ascii="Calibri" w:hAnsi="Calibri"/>
                <w:color w:val="000000"/>
                <w:lang w:val="en-US"/>
              </w:rPr>
            </w:pPr>
          </w:p>
        </w:tc>
        <w:tc>
          <w:tcPr>
            <w:tcW w:w="6957" w:type="dxa"/>
            <w:tcBorders>
              <w:left w:val="nil"/>
              <w:right w:val="nil"/>
            </w:tcBorders>
            <w:shd w:val="clear" w:color="auto" w:fill="auto"/>
          </w:tcPr>
          <w:p w:rsidR="00802772" w:rsidRPr="003152B6" w:rsidRDefault="00802772" w:rsidP="00914838">
            <w:pPr>
              <w:spacing w:after="0" w:line="480" w:lineRule="auto"/>
              <w:contextualSpacing/>
              <w:jc w:val="both"/>
              <w:rPr>
                <w:rFonts w:ascii="Calibri" w:hAnsi="Calibri"/>
                <w:color w:val="000000"/>
                <w:lang w:val="en-US"/>
              </w:rPr>
            </w:pPr>
            <w:r w:rsidRPr="003152B6">
              <w:rPr>
                <w:rFonts w:ascii="Calibri" w:hAnsi="Calibri"/>
                <w:color w:val="000000"/>
                <w:lang w:val="en-US"/>
              </w:rPr>
              <w:t>Bauman NM, McCarter RJ, Guzzetta PC, Shin JJ, Oh AK, Preciado DA, He J, Greene</w:t>
            </w:r>
          </w:p>
          <w:p w:rsidR="00802772" w:rsidRPr="006726AF" w:rsidRDefault="00802772" w:rsidP="00914838">
            <w:pPr>
              <w:spacing w:after="0" w:line="480" w:lineRule="auto"/>
              <w:contextualSpacing/>
              <w:jc w:val="both"/>
              <w:rPr>
                <w:rFonts w:ascii="Calibri" w:hAnsi="Calibri"/>
                <w:color w:val="000000"/>
                <w:lang w:val="en-US"/>
              </w:rPr>
            </w:pPr>
            <w:r w:rsidRPr="003152B6">
              <w:rPr>
                <w:rFonts w:ascii="Calibri" w:hAnsi="Calibri"/>
                <w:color w:val="000000"/>
                <w:lang w:val="en-US"/>
              </w:rPr>
              <w:lastRenderedPageBreak/>
              <w:t>EA, Puttgen KB. Propranolol vs prednisolone for symptomatic proliferating</w:t>
            </w:r>
            <w:r>
              <w:rPr>
                <w:rFonts w:ascii="Calibri" w:hAnsi="Calibri"/>
                <w:color w:val="000000"/>
                <w:lang w:val="en-US"/>
              </w:rPr>
              <w:t xml:space="preserve"> </w:t>
            </w:r>
            <w:r w:rsidRPr="003152B6">
              <w:rPr>
                <w:rFonts w:ascii="Calibri" w:hAnsi="Calibri"/>
                <w:color w:val="000000"/>
                <w:lang w:val="en-US"/>
              </w:rPr>
              <w:t xml:space="preserve">infantile hemangiomas: a randomized clinical trial. </w:t>
            </w:r>
            <w:r w:rsidRPr="006726AF">
              <w:rPr>
                <w:rFonts w:ascii="Calibri" w:hAnsi="Calibri"/>
                <w:color w:val="000000"/>
                <w:lang w:val="en-US"/>
              </w:rPr>
              <w:t>JAMA Otolaryngol Head Neck</w:t>
            </w:r>
            <w:r>
              <w:rPr>
                <w:rFonts w:ascii="Calibri" w:hAnsi="Calibri"/>
                <w:color w:val="000000"/>
                <w:lang w:val="en-US"/>
              </w:rPr>
              <w:t xml:space="preserve"> </w:t>
            </w:r>
            <w:r w:rsidRPr="006726AF">
              <w:rPr>
                <w:rFonts w:ascii="Calibri" w:hAnsi="Calibri"/>
                <w:color w:val="000000"/>
                <w:lang w:val="en-US"/>
              </w:rPr>
              <w:t xml:space="preserve">Surg. 2014;140:323-30. </w:t>
            </w:r>
          </w:p>
        </w:tc>
      </w:tr>
      <w:tr w:rsidR="00802772" w:rsidRPr="006726AF" w:rsidTr="00BF6BD8">
        <w:trPr>
          <w:trHeight w:val="20"/>
        </w:trPr>
        <w:tc>
          <w:tcPr>
            <w:tcW w:w="2225" w:type="dxa"/>
            <w:tcBorders>
              <w:left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lastRenderedPageBreak/>
              <w:t xml:space="preserve">PROPANONOL vs. LÁSER </w:t>
            </w:r>
          </w:p>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6726AF" w:rsidRDefault="00802772" w:rsidP="00914838">
            <w:pPr>
              <w:spacing w:after="0" w:line="480" w:lineRule="auto"/>
              <w:contextualSpacing/>
              <w:jc w:val="both"/>
              <w:rPr>
                <w:rFonts w:ascii="Calibri" w:hAnsi="Calibri"/>
                <w:color w:val="000000"/>
                <w:lang w:val="en-US"/>
              </w:rPr>
            </w:pPr>
            <w:r w:rsidRPr="006726AF">
              <w:rPr>
                <w:rFonts w:ascii="Calibri" w:hAnsi="Calibri"/>
                <w:color w:val="000000"/>
              </w:rPr>
              <w:t>Kagami S, Kuwano Y, Shibata S, Uwajima Y, Yamada D, Miyamoto A, Miyagawa T,</w:t>
            </w:r>
            <w:r>
              <w:rPr>
                <w:rFonts w:ascii="Calibri" w:hAnsi="Calibri"/>
                <w:color w:val="000000"/>
              </w:rPr>
              <w:t xml:space="preserve"> </w:t>
            </w:r>
            <w:r w:rsidRPr="001D0059">
              <w:rPr>
                <w:rFonts w:ascii="Calibri" w:hAnsi="Calibri"/>
                <w:color w:val="000000"/>
              </w:rPr>
              <w:t xml:space="preserve">Araki M, Takahashi K, Isomura S, Aozasa N, Masui Y, Yamamoto M, Inuzuka R, Katori T, Sato S. Propranolol is more effective than pulsed dye laser and cryosurgery for infantile hemangiomas. </w:t>
            </w:r>
            <w:r w:rsidRPr="006726AF">
              <w:rPr>
                <w:rFonts w:ascii="Calibri" w:hAnsi="Calibri"/>
                <w:color w:val="000000"/>
                <w:lang w:val="en-US"/>
              </w:rPr>
              <w:t>Eur J Pediatr. 2013;172:1521-6.</w:t>
            </w:r>
          </w:p>
        </w:tc>
      </w:tr>
      <w:tr w:rsidR="00802772" w:rsidRPr="003A5FE6" w:rsidTr="00BF6BD8">
        <w:trPr>
          <w:trHeight w:val="20"/>
        </w:trPr>
        <w:tc>
          <w:tcPr>
            <w:tcW w:w="2225" w:type="dxa"/>
            <w:tcBorders>
              <w:left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LÁSER </w:t>
            </w:r>
            <w:r w:rsidR="005D1D93">
              <w:rPr>
                <w:rFonts w:ascii="Calibri" w:hAnsi="Calibri"/>
                <w:color w:val="000000"/>
              </w:rPr>
              <w:t>E</w:t>
            </w:r>
            <w:r w:rsidRPr="0045080F">
              <w:rPr>
                <w:rFonts w:ascii="Calibri" w:hAnsi="Calibri"/>
                <w:color w:val="000000"/>
              </w:rPr>
              <w:t xml:space="preserve"> IMIQUIMOD </w:t>
            </w:r>
          </w:p>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1D0059" w:rsidRDefault="00802772" w:rsidP="00914838">
            <w:pPr>
              <w:spacing w:after="0" w:line="480" w:lineRule="auto"/>
              <w:contextualSpacing/>
              <w:jc w:val="both"/>
              <w:rPr>
                <w:rFonts w:ascii="Calibri" w:hAnsi="Calibri"/>
                <w:color w:val="000000"/>
                <w:lang w:val="en-US"/>
              </w:rPr>
            </w:pPr>
            <w:r w:rsidRPr="006726AF">
              <w:rPr>
                <w:rFonts w:ascii="Calibri" w:hAnsi="Calibri"/>
                <w:color w:val="000000"/>
                <w:lang w:val="en-US"/>
              </w:rPr>
              <w:t>Tremaine AM, Armstrong J, Huang YC, Elkeeb L, Ortiz A, Harris R, Choi B, Kelly</w:t>
            </w:r>
            <w:r>
              <w:rPr>
                <w:rFonts w:ascii="Calibri" w:hAnsi="Calibri"/>
                <w:color w:val="000000"/>
                <w:lang w:val="en-US"/>
              </w:rPr>
              <w:t xml:space="preserve"> </w:t>
            </w:r>
            <w:r w:rsidRPr="006726AF">
              <w:rPr>
                <w:rFonts w:ascii="Calibri" w:hAnsi="Calibri"/>
                <w:color w:val="000000"/>
                <w:lang w:val="en-US"/>
              </w:rPr>
              <w:t>KM.</w:t>
            </w:r>
            <w:r>
              <w:rPr>
                <w:rFonts w:ascii="Calibri" w:hAnsi="Calibri"/>
                <w:color w:val="000000"/>
                <w:lang w:val="en-US"/>
              </w:rPr>
              <w:t xml:space="preserve"> </w:t>
            </w:r>
            <w:r w:rsidRPr="006726AF">
              <w:rPr>
                <w:rFonts w:ascii="Calibri" w:hAnsi="Calibri"/>
                <w:color w:val="000000"/>
                <w:lang w:val="en-US"/>
              </w:rPr>
              <w:t>Enhanced port-wine stain lightening achieved with combined treatment of</w:t>
            </w:r>
            <w:r>
              <w:rPr>
                <w:rFonts w:ascii="Calibri" w:hAnsi="Calibri"/>
                <w:color w:val="000000"/>
                <w:lang w:val="en-US"/>
              </w:rPr>
              <w:t xml:space="preserve"> </w:t>
            </w:r>
            <w:r w:rsidRPr="006726AF">
              <w:rPr>
                <w:rFonts w:ascii="Calibri" w:hAnsi="Calibri"/>
                <w:color w:val="000000"/>
                <w:lang w:val="en-US"/>
              </w:rPr>
              <w:t xml:space="preserve">selective photothermolysis and imiquimod. J Am Acad Dermatol. </w:t>
            </w:r>
            <w:r w:rsidRPr="001D0059">
              <w:rPr>
                <w:rFonts w:ascii="Calibri" w:hAnsi="Calibri"/>
                <w:color w:val="000000"/>
                <w:lang w:val="en-US"/>
              </w:rPr>
              <w:t>2012;66:634-41.</w:t>
            </w:r>
          </w:p>
        </w:tc>
      </w:tr>
      <w:tr w:rsidR="00802772" w:rsidRPr="006726AF" w:rsidTr="00BF6BD8">
        <w:trPr>
          <w:trHeight w:val="20"/>
        </w:trPr>
        <w:tc>
          <w:tcPr>
            <w:tcW w:w="2225" w:type="dxa"/>
            <w:tcBorders>
              <w:left w:val="nil"/>
              <w:bottom w:val="single" w:sz="4" w:space="0" w:color="auto"/>
              <w:right w:val="nil"/>
            </w:tcBorders>
            <w:shd w:val="clear" w:color="auto" w:fill="auto"/>
          </w:tcPr>
          <w:p w:rsidR="00802772" w:rsidRPr="001D0059" w:rsidRDefault="00802772" w:rsidP="00914838">
            <w:pPr>
              <w:spacing w:after="0" w:line="480" w:lineRule="auto"/>
              <w:contextualSpacing/>
              <w:rPr>
                <w:rFonts w:ascii="Calibri" w:hAnsi="Calibri"/>
                <w:color w:val="000000"/>
                <w:lang w:val="en-US"/>
              </w:rPr>
            </w:pPr>
            <w:r w:rsidRPr="001D0059">
              <w:rPr>
                <w:rFonts w:ascii="Calibri" w:hAnsi="Calibri"/>
                <w:color w:val="000000"/>
                <w:lang w:val="en-US"/>
              </w:rPr>
              <w:t>LÁSER E INDOCIANINA</w:t>
            </w:r>
          </w:p>
          <w:p w:rsidR="00802772" w:rsidRPr="001D0059" w:rsidRDefault="00802772" w:rsidP="00914838">
            <w:pPr>
              <w:spacing w:after="0" w:line="480" w:lineRule="auto"/>
              <w:contextualSpacing/>
              <w:rPr>
                <w:rFonts w:ascii="Calibri" w:hAnsi="Calibri"/>
                <w:color w:val="000000"/>
                <w:lang w:val="en-US"/>
              </w:rPr>
            </w:pPr>
          </w:p>
        </w:tc>
        <w:tc>
          <w:tcPr>
            <w:tcW w:w="6957" w:type="dxa"/>
            <w:tcBorders>
              <w:left w:val="nil"/>
              <w:right w:val="nil"/>
            </w:tcBorders>
            <w:shd w:val="clear" w:color="auto" w:fill="auto"/>
          </w:tcPr>
          <w:p w:rsidR="00802772" w:rsidRPr="006726AF" w:rsidRDefault="00802772" w:rsidP="00914838">
            <w:pPr>
              <w:spacing w:after="0" w:line="480" w:lineRule="auto"/>
              <w:contextualSpacing/>
              <w:jc w:val="both"/>
              <w:rPr>
                <w:rFonts w:ascii="Calibri" w:hAnsi="Calibri"/>
                <w:color w:val="000000"/>
                <w:lang w:val="en-US"/>
              </w:rPr>
            </w:pPr>
            <w:r w:rsidRPr="006726AF">
              <w:rPr>
                <w:rFonts w:ascii="Calibri" w:hAnsi="Calibri"/>
                <w:color w:val="000000"/>
                <w:lang w:val="en-US"/>
              </w:rPr>
              <w:t>Klein A, Szeimies RM, Bäumler W, Zeman F, Schreml S, Hohenleutner U,</w:t>
            </w:r>
            <w:r>
              <w:rPr>
                <w:rFonts w:ascii="Calibri" w:hAnsi="Calibri"/>
                <w:color w:val="000000"/>
                <w:lang w:val="en-US"/>
              </w:rPr>
              <w:t xml:space="preserve"> </w:t>
            </w:r>
            <w:r w:rsidRPr="006726AF">
              <w:rPr>
                <w:rFonts w:ascii="Calibri" w:hAnsi="Calibri"/>
                <w:color w:val="000000"/>
                <w:lang w:val="en-US"/>
              </w:rPr>
              <w:t>Landthaler M, Koller M, Babilas P. Indocyanine green-augmented diode laser</w:t>
            </w:r>
            <w:r>
              <w:rPr>
                <w:rFonts w:ascii="Calibri" w:hAnsi="Calibri"/>
                <w:color w:val="000000"/>
                <w:lang w:val="en-US"/>
              </w:rPr>
              <w:t xml:space="preserve"> </w:t>
            </w:r>
            <w:r w:rsidRPr="006726AF">
              <w:rPr>
                <w:rFonts w:ascii="Calibri" w:hAnsi="Calibri"/>
                <w:color w:val="000000"/>
                <w:lang w:val="en-US"/>
              </w:rPr>
              <w:t>treatment of port-wine stains: clinical and histological evidence for a new</w:t>
            </w:r>
            <w:r>
              <w:rPr>
                <w:rFonts w:ascii="Calibri" w:hAnsi="Calibri"/>
                <w:color w:val="000000"/>
                <w:lang w:val="en-US"/>
              </w:rPr>
              <w:t xml:space="preserve"> </w:t>
            </w:r>
            <w:r w:rsidRPr="006726AF">
              <w:rPr>
                <w:rFonts w:ascii="Calibri" w:hAnsi="Calibri"/>
                <w:color w:val="000000"/>
                <w:lang w:val="en-US"/>
              </w:rPr>
              <w:t>treatment option from a randomized controlled trial. Br J Dermatol. 2012;167:333-42.</w:t>
            </w:r>
          </w:p>
        </w:tc>
      </w:tr>
      <w:tr w:rsidR="00802772" w:rsidRPr="001D0059" w:rsidTr="00BF6BD8">
        <w:trPr>
          <w:trHeight w:val="20"/>
        </w:trPr>
        <w:tc>
          <w:tcPr>
            <w:tcW w:w="2225" w:type="dxa"/>
            <w:tcBorders>
              <w:left w:val="nil"/>
              <w:bottom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1D0059">
              <w:rPr>
                <w:rFonts w:ascii="Calibri" w:hAnsi="Calibri"/>
                <w:color w:val="000000"/>
              </w:rPr>
              <w:t>L</w:t>
            </w:r>
            <w:r>
              <w:rPr>
                <w:rFonts w:ascii="Calibri" w:hAnsi="Calibri"/>
                <w:color w:val="000000"/>
              </w:rPr>
              <w:t>Á</w:t>
            </w:r>
            <w:r w:rsidRPr="001D0059">
              <w:rPr>
                <w:rFonts w:ascii="Calibri" w:hAnsi="Calibri"/>
                <w:color w:val="000000"/>
              </w:rPr>
              <w:t>SER</w:t>
            </w:r>
            <w:r>
              <w:rPr>
                <w:rFonts w:ascii="Calibri" w:hAnsi="Calibri"/>
                <w:color w:val="000000"/>
              </w:rPr>
              <w:t xml:space="preserve"> </w:t>
            </w:r>
            <w:r w:rsidRPr="001D0059">
              <w:rPr>
                <w:rFonts w:ascii="Calibri" w:hAnsi="Calibri"/>
                <w:color w:val="000000"/>
              </w:rPr>
              <w:t>Y</w:t>
            </w:r>
            <w:r>
              <w:rPr>
                <w:rFonts w:ascii="Calibri" w:hAnsi="Calibri"/>
                <w:color w:val="000000"/>
              </w:rPr>
              <w:t xml:space="preserve"> </w:t>
            </w:r>
            <w:r w:rsidRPr="001D0059">
              <w:rPr>
                <w:rFonts w:ascii="Calibri" w:hAnsi="Calibri"/>
                <w:color w:val="000000"/>
              </w:rPr>
              <w:t>FOTODINAMICA</w:t>
            </w:r>
          </w:p>
        </w:tc>
        <w:tc>
          <w:tcPr>
            <w:tcW w:w="6957" w:type="dxa"/>
            <w:tcBorders>
              <w:left w:val="nil"/>
              <w:right w:val="nil"/>
            </w:tcBorders>
            <w:shd w:val="clear" w:color="auto" w:fill="auto"/>
          </w:tcPr>
          <w:p w:rsidR="00802772" w:rsidRPr="001D0059" w:rsidRDefault="00802772" w:rsidP="00914838">
            <w:pPr>
              <w:spacing w:after="0" w:line="480" w:lineRule="auto"/>
              <w:contextualSpacing/>
              <w:jc w:val="both"/>
              <w:rPr>
                <w:rFonts w:ascii="Calibri" w:hAnsi="Calibri"/>
                <w:color w:val="000000"/>
                <w:lang w:val="en-US"/>
              </w:rPr>
            </w:pPr>
            <w:r w:rsidRPr="001D0059">
              <w:rPr>
                <w:rFonts w:ascii="Calibri" w:hAnsi="Calibri"/>
                <w:color w:val="000000"/>
              </w:rPr>
              <w:t xml:space="preserve">Gao K, Huang Z, Yuan KH, Zhang B, Hu ZQ. </w:t>
            </w:r>
            <w:r w:rsidRPr="001D0059">
              <w:rPr>
                <w:rFonts w:ascii="Calibri" w:hAnsi="Calibri"/>
                <w:color w:val="000000"/>
                <w:lang w:val="en-US"/>
              </w:rPr>
              <w:t>Side-by-side comparison of</w:t>
            </w:r>
            <w:r>
              <w:rPr>
                <w:rFonts w:ascii="Calibri" w:hAnsi="Calibri"/>
                <w:color w:val="000000"/>
                <w:lang w:val="en-US"/>
              </w:rPr>
              <w:t xml:space="preserve"> </w:t>
            </w:r>
            <w:r w:rsidRPr="001D0059">
              <w:rPr>
                <w:rFonts w:ascii="Calibri" w:hAnsi="Calibri"/>
                <w:color w:val="000000"/>
                <w:lang w:val="en-US"/>
              </w:rPr>
              <w:t>photodynamic therapy and pulsed-dye laser treatment of port-wine stain</w:t>
            </w:r>
            <w:r>
              <w:rPr>
                <w:rFonts w:ascii="Calibri" w:hAnsi="Calibri"/>
                <w:color w:val="000000"/>
                <w:lang w:val="en-US"/>
              </w:rPr>
              <w:t xml:space="preserve"> </w:t>
            </w:r>
            <w:r w:rsidRPr="001D0059">
              <w:rPr>
                <w:rFonts w:ascii="Calibri" w:hAnsi="Calibri"/>
                <w:color w:val="000000"/>
                <w:lang w:val="en-US"/>
              </w:rPr>
              <w:t>birthmarks. Br J Dermatol. 2013;168:1040-6.</w:t>
            </w:r>
          </w:p>
        </w:tc>
      </w:tr>
      <w:tr w:rsidR="00802772" w:rsidRPr="003A5FE6" w:rsidTr="00BF6BD8">
        <w:trPr>
          <w:trHeight w:val="20"/>
        </w:trPr>
        <w:tc>
          <w:tcPr>
            <w:tcW w:w="2225" w:type="dxa"/>
            <w:tcBorders>
              <w:left w:val="nil"/>
              <w:bottom w:val="nil"/>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LÁSER vs. CRIOTERAPIA vs. OBSERVACIÓN </w:t>
            </w:r>
          </w:p>
          <w:p w:rsidR="00802772" w:rsidRPr="0045080F" w:rsidRDefault="00802772" w:rsidP="00914838">
            <w:pPr>
              <w:spacing w:after="0" w:line="480" w:lineRule="auto"/>
              <w:contextualSpacing/>
              <w:rPr>
                <w:rFonts w:ascii="Calibri" w:hAnsi="Calibri"/>
                <w:color w:val="000000"/>
              </w:rPr>
            </w:pPr>
          </w:p>
        </w:tc>
        <w:tc>
          <w:tcPr>
            <w:tcW w:w="6957" w:type="dxa"/>
            <w:tcBorders>
              <w:left w:val="nil"/>
              <w:right w:val="nil"/>
            </w:tcBorders>
            <w:shd w:val="clear" w:color="auto" w:fill="auto"/>
          </w:tcPr>
          <w:p w:rsidR="00802772" w:rsidRPr="00BF6BD8" w:rsidRDefault="00802772" w:rsidP="00914838">
            <w:pPr>
              <w:spacing w:after="0" w:line="480" w:lineRule="auto"/>
              <w:contextualSpacing/>
              <w:jc w:val="both"/>
              <w:rPr>
                <w:rFonts w:ascii="Calibri" w:hAnsi="Calibri"/>
                <w:color w:val="000000"/>
                <w:lang w:val="en-US"/>
              </w:rPr>
            </w:pPr>
            <w:r w:rsidRPr="000A46E4">
              <w:rPr>
                <w:rFonts w:ascii="Calibri" w:hAnsi="Calibri"/>
                <w:color w:val="000000"/>
                <w:lang w:val="en-GB"/>
              </w:rPr>
              <w:t xml:space="preserve">Maier H., Wanka A., Schmalwieser A.W., Maier B., Dani T., Neumann R., et al. </w:t>
            </w:r>
            <w:r w:rsidRPr="006726AF">
              <w:rPr>
                <w:rFonts w:ascii="Calibri" w:hAnsi="Calibri"/>
                <w:color w:val="000000"/>
                <w:lang w:val="en-US"/>
              </w:rPr>
              <w:t>Prospec</w:t>
            </w:r>
            <w:r>
              <w:rPr>
                <w:rFonts w:ascii="Calibri" w:hAnsi="Calibri"/>
                <w:color w:val="000000"/>
                <w:lang w:val="en-US"/>
              </w:rPr>
              <w:t>tive, randomized, investigator</w:t>
            </w:r>
            <w:r w:rsidRPr="006726AF">
              <w:rPr>
                <w:rFonts w:ascii="Calibri" w:hAnsi="Calibri"/>
                <w:color w:val="000000"/>
                <w:lang w:val="en-US"/>
              </w:rPr>
              <w:t xml:space="preserve">‐blind, controlled therapy study on treatment of haemangioma of infancy: Pulsed dye laser versus cryotherapy versus observation. </w:t>
            </w:r>
            <w:r>
              <w:rPr>
                <w:rFonts w:ascii="Calibri" w:hAnsi="Calibri"/>
                <w:color w:val="000000"/>
                <w:lang w:val="en-US"/>
              </w:rPr>
              <w:t xml:space="preserve">Exp </w:t>
            </w:r>
            <w:r w:rsidRPr="006726AF">
              <w:rPr>
                <w:rFonts w:ascii="Calibri" w:hAnsi="Calibri"/>
                <w:color w:val="000000"/>
                <w:lang w:val="en-US"/>
              </w:rPr>
              <w:t xml:space="preserve">Dermatol. </w:t>
            </w:r>
            <w:r w:rsidRPr="00BF6BD8">
              <w:rPr>
                <w:rFonts w:ascii="Calibri" w:hAnsi="Calibri"/>
                <w:color w:val="000000"/>
                <w:lang w:val="en-US"/>
              </w:rPr>
              <w:t xml:space="preserve">2012;21:e15.                </w:t>
            </w:r>
          </w:p>
        </w:tc>
      </w:tr>
      <w:tr w:rsidR="00802772" w:rsidRPr="006726AF" w:rsidTr="00BF6BD8">
        <w:trPr>
          <w:trHeight w:val="20"/>
        </w:trPr>
        <w:tc>
          <w:tcPr>
            <w:tcW w:w="2225" w:type="dxa"/>
            <w:tcBorders>
              <w:top w:val="nil"/>
              <w:left w:val="nil"/>
              <w:right w:val="nil"/>
            </w:tcBorders>
            <w:shd w:val="clear" w:color="auto" w:fill="auto"/>
          </w:tcPr>
          <w:p w:rsidR="00802772" w:rsidRPr="00BF6BD8" w:rsidRDefault="00802772" w:rsidP="00914838">
            <w:pPr>
              <w:spacing w:after="0" w:line="480" w:lineRule="auto"/>
              <w:contextualSpacing/>
              <w:rPr>
                <w:rFonts w:ascii="Calibri" w:hAnsi="Calibri"/>
                <w:color w:val="000000"/>
                <w:lang w:val="en-US"/>
              </w:rPr>
            </w:pPr>
          </w:p>
        </w:tc>
        <w:tc>
          <w:tcPr>
            <w:tcW w:w="6957" w:type="dxa"/>
            <w:tcBorders>
              <w:left w:val="nil"/>
              <w:right w:val="nil"/>
            </w:tcBorders>
            <w:shd w:val="clear" w:color="auto" w:fill="auto"/>
          </w:tcPr>
          <w:p w:rsidR="00802772" w:rsidRPr="006726AF" w:rsidRDefault="00802772" w:rsidP="00914838">
            <w:pPr>
              <w:spacing w:after="0" w:line="480" w:lineRule="auto"/>
              <w:contextualSpacing/>
              <w:jc w:val="both"/>
              <w:rPr>
                <w:rFonts w:ascii="Calibri" w:hAnsi="Calibri"/>
                <w:color w:val="000000"/>
                <w:lang w:val="en-US"/>
              </w:rPr>
            </w:pPr>
            <w:r w:rsidRPr="006726AF">
              <w:rPr>
                <w:rFonts w:ascii="Calibri" w:hAnsi="Calibri"/>
                <w:color w:val="000000"/>
                <w:lang w:val="en-US"/>
              </w:rPr>
              <w:t>Kessels JP, Hamers ET, Ostertag JU. Superficial hemangioma: pulsed dye laser versus wait-and-see. Dermatol Surg. 2013;39:414-21.</w:t>
            </w:r>
          </w:p>
        </w:tc>
      </w:tr>
      <w:tr w:rsidR="00802772" w:rsidRPr="006726AF" w:rsidTr="00BF6BD8">
        <w:trPr>
          <w:trHeight w:val="20"/>
        </w:trPr>
        <w:tc>
          <w:tcPr>
            <w:tcW w:w="2225" w:type="dxa"/>
            <w:tcBorders>
              <w:left w:val="nil"/>
              <w:bottom w:val="single" w:sz="4" w:space="0" w:color="auto"/>
              <w:right w:val="nil"/>
            </w:tcBorders>
            <w:shd w:val="clear" w:color="auto" w:fill="auto"/>
          </w:tcPr>
          <w:p w:rsidR="00802772" w:rsidRPr="0045080F" w:rsidRDefault="00802772" w:rsidP="00914838">
            <w:pPr>
              <w:spacing w:after="0" w:line="480" w:lineRule="auto"/>
              <w:contextualSpacing/>
              <w:rPr>
                <w:rFonts w:ascii="Calibri" w:hAnsi="Calibri"/>
                <w:color w:val="000000"/>
              </w:rPr>
            </w:pPr>
            <w:r w:rsidRPr="0045080F">
              <w:rPr>
                <w:rFonts w:ascii="Calibri" w:hAnsi="Calibri"/>
                <w:color w:val="000000"/>
              </w:rPr>
              <w:t xml:space="preserve">DOS TIPOS DE LÁSER (KTP y Nd: YAG) </w:t>
            </w:r>
          </w:p>
          <w:p w:rsidR="00802772" w:rsidRPr="0045080F" w:rsidRDefault="00802772" w:rsidP="00914838">
            <w:pPr>
              <w:spacing w:after="0" w:line="480" w:lineRule="auto"/>
              <w:contextualSpacing/>
              <w:rPr>
                <w:rFonts w:ascii="Calibri" w:hAnsi="Calibri"/>
                <w:color w:val="000000"/>
              </w:rPr>
            </w:pPr>
          </w:p>
        </w:tc>
        <w:tc>
          <w:tcPr>
            <w:tcW w:w="6957" w:type="dxa"/>
            <w:tcBorders>
              <w:left w:val="nil"/>
              <w:bottom w:val="single" w:sz="4" w:space="0" w:color="auto"/>
              <w:right w:val="nil"/>
            </w:tcBorders>
            <w:shd w:val="clear" w:color="auto" w:fill="auto"/>
          </w:tcPr>
          <w:p w:rsidR="00802772" w:rsidRDefault="00802772" w:rsidP="00914838">
            <w:pPr>
              <w:spacing w:after="0" w:line="480" w:lineRule="auto"/>
              <w:contextualSpacing/>
              <w:jc w:val="both"/>
              <w:rPr>
                <w:rFonts w:ascii="Calibri" w:hAnsi="Calibri"/>
                <w:color w:val="000000"/>
                <w:lang w:val="en-US"/>
              </w:rPr>
            </w:pPr>
            <w:r w:rsidRPr="006726AF">
              <w:rPr>
                <w:rFonts w:ascii="Calibri" w:hAnsi="Calibri"/>
                <w:color w:val="000000"/>
                <w:lang w:val="en-US"/>
              </w:rPr>
              <w:t>Pancar GS, Aydin F, Senturk N, Bek Y, Canturk MT, Turanli AY. Comparison of</w:t>
            </w:r>
            <w:r>
              <w:rPr>
                <w:rFonts w:ascii="Calibri" w:hAnsi="Calibri"/>
                <w:color w:val="000000"/>
                <w:lang w:val="en-US"/>
              </w:rPr>
              <w:t xml:space="preserve"> </w:t>
            </w:r>
            <w:r w:rsidRPr="006726AF">
              <w:rPr>
                <w:rFonts w:ascii="Calibri" w:hAnsi="Calibri"/>
                <w:color w:val="000000"/>
                <w:lang w:val="en-US"/>
              </w:rPr>
              <w:t>the 532-nm KTP and 1064-nm Nd:YAG lasers for the treatment of cherry angiomas. J  Cosmet Laser Ther. 2011;13:138-41.</w:t>
            </w:r>
          </w:p>
          <w:p w:rsidR="003A5FE6" w:rsidRDefault="003A5FE6" w:rsidP="00914838">
            <w:pPr>
              <w:spacing w:after="0" w:line="480" w:lineRule="auto"/>
              <w:contextualSpacing/>
              <w:jc w:val="both"/>
              <w:rPr>
                <w:rFonts w:ascii="Calibri" w:hAnsi="Calibri"/>
                <w:color w:val="000000"/>
                <w:lang w:val="en-US"/>
              </w:rPr>
            </w:pPr>
          </w:p>
          <w:p w:rsidR="00BF6BD8" w:rsidRPr="006726AF" w:rsidRDefault="00BF6BD8" w:rsidP="00914838">
            <w:pPr>
              <w:spacing w:after="0" w:line="480" w:lineRule="auto"/>
              <w:contextualSpacing/>
              <w:jc w:val="both"/>
              <w:rPr>
                <w:rFonts w:ascii="Calibri" w:hAnsi="Calibri"/>
                <w:color w:val="000000"/>
                <w:lang w:val="en-US"/>
              </w:rPr>
            </w:pPr>
          </w:p>
        </w:tc>
      </w:tr>
      <w:tr w:rsidR="00802772" w:rsidRPr="0045080F" w:rsidTr="00BF6BD8">
        <w:trPr>
          <w:trHeight w:val="20"/>
        </w:trPr>
        <w:tc>
          <w:tcPr>
            <w:tcW w:w="9182" w:type="dxa"/>
            <w:gridSpan w:val="2"/>
            <w:tcBorders>
              <w:top w:val="single" w:sz="4" w:space="0" w:color="auto"/>
              <w:left w:val="nil"/>
              <w:bottom w:val="single" w:sz="4" w:space="0" w:color="auto"/>
              <w:right w:val="nil"/>
            </w:tcBorders>
            <w:shd w:val="clear" w:color="auto" w:fill="BFBFBF"/>
          </w:tcPr>
          <w:p w:rsidR="00802772" w:rsidRPr="0045080F" w:rsidRDefault="00802772" w:rsidP="00914838">
            <w:pPr>
              <w:spacing w:after="0" w:line="480" w:lineRule="auto"/>
              <w:contextualSpacing/>
              <w:rPr>
                <w:rFonts w:ascii="Calibri" w:hAnsi="Calibri"/>
                <w:b/>
                <w:color w:val="000000"/>
              </w:rPr>
            </w:pPr>
            <w:r w:rsidRPr="0045080F">
              <w:rPr>
                <w:rFonts w:ascii="Calibri" w:hAnsi="Calibri"/>
                <w:b/>
                <w:color w:val="000000"/>
              </w:rPr>
              <w:lastRenderedPageBreak/>
              <w:t>Revisiones e Informes de evidencia</w:t>
            </w:r>
          </w:p>
        </w:tc>
      </w:tr>
      <w:tr w:rsidR="00802772" w:rsidRPr="003A5FE6"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BF6BD8" w:rsidRDefault="00802772" w:rsidP="00914838">
            <w:pPr>
              <w:spacing w:after="0" w:line="480" w:lineRule="auto"/>
              <w:contextualSpacing/>
              <w:jc w:val="both"/>
              <w:rPr>
                <w:rFonts w:ascii="Calibri" w:hAnsi="Calibri"/>
                <w:color w:val="000000"/>
                <w:lang w:val="pt-PT"/>
              </w:rPr>
            </w:pPr>
            <w:r w:rsidRPr="009E5D4D">
              <w:rPr>
                <w:rFonts w:ascii="Calibri" w:hAnsi="Calibri"/>
                <w:color w:val="000000"/>
                <w:lang w:val="en-US"/>
              </w:rPr>
              <w:t xml:space="preserve">38th Annual Meeting of the Society for Pediatric Dermatology. </w:t>
            </w:r>
            <w:r w:rsidRPr="00BF6BD8">
              <w:rPr>
                <w:rFonts w:ascii="Calibri" w:hAnsi="Calibri"/>
                <w:color w:val="000000"/>
                <w:lang w:val="pt-PT"/>
              </w:rPr>
              <w:t>Pediatr Dermatol [Internet]. 2012;29(5). (http://www.embase.com/search/results?subaction=viewrecord&amp;from=export&amp;id=L70892402)</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Peridis S, Pilgrim G, Athanasopoulos I, Parpounas K. A meta-analysis on the</w:t>
            </w:r>
            <w:r>
              <w:rPr>
                <w:rFonts w:ascii="Calibri" w:hAnsi="Calibri"/>
                <w:color w:val="000000"/>
                <w:lang w:val="en-US"/>
              </w:rPr>
              <w:t xml:space="preserve"> </w:t>
            </w:r>
            <w:r w:rsidRPr="0047063D">
              <w:rPr>
                <w:rFonts w:ascii="Calibri" w:hAnsi="Calibri"/>
                <w:color w:val="000000"/>
                <w:lang w:val="en-US"/>
              </w:rPr>
              <w:t xml:space="preserve">effectiveness of propranolol for the treatment of infantile airway haemangiomas. </w:t>
            </w:r>
            <w:r>
              <w:rPr>
                <w:rFonts w:ascii="Calibri" w:hAnsi="Calibri"/>
                <w:color w:val="000000"/>
                <w:lang w:val="en-US"/>
              </w:rPr>
              <w:t xml:space="preserve"> </w:t>
            </w:r>
            <w:r w:rsidRPr="0047063D">
              <w:rPr>
                <w:rFonts w:ascii="Calibri" w:hAnsi="Calibri"/>
                <w:color w:val="000000"/>
                <w:lang w:val="en-US"/>
              </w:rPr>
              <w:t>Int J Pediatr Otorhinolaryngol. 2011;75:455-60.</w:t>
            </w:r>
          </w:p>
        </w:tc>
      </w:tr>
      <w:tr w:rsidR="00802772" w:rsidRPr="0045080F"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5D1D93">
              <w:rPr>
                <w:rFonts w:ascii="Calibri" w:hAnsi="Calibri"/>
                <w:color w:val="000000"/>
              </w:rPr>
              <w:t xml:space="preserve">Xu SQ, Jia RB, Zhang W, Zhu H, Ge SF, Fan XQ. </w:t>
            </w:r>
            <w:r w:rsidRPr="0047063D">
              <w:rPr>
                <w:rFonts w:ascii="Calibri" w:hAnsi="Calibri"/>
                <w:color w:val="000000"/>
                <w:lang w:val="en-US"/>
              </w:rPr>
              <w:t>Beta-blockers versus</w:t>
            </w:r>
            <w:r>
              <w:rPr>
                <w:rFonts w:ascii="Calibri" w:hAnsi="Calibri"/>
                <w:color w:val="000000"/>
                <w:lang w:val="en-US"/>
              </w:rPr>
              <w:t xml:space="preserve"> </w:t>
            </w:r>
            <w:r w:rsidRPr="0047063D">
              <w:rPr>
                <w:rFonts w:ascii="Calibri" w:hAnsi="Calibri"/>
                <w:color w:val="000000"/>
                <w:lang w:val="en-US"/>
              </w:rPr>
              <w:t>corticosteroids in the treatment of infantile hemangioma: an evidence-based</w:t>
            </w:r>
            <w:r>
              <w:rPr>
                <w:rFonts w:ascii="Calibri" w:hAnsi="Calibri"/>
                <w:color w:val="000000"/>
                <w:lang w:val="en-US"/>
              </w:rPr>
              <w:t xml:space="preserve"> </w:t>
            </w:r>
            <w:r w:rsidRPr="0047063D">
              <w:rPr>
                <w:rFonts w:ascii="Calibri" w:hAnsi="Calibri"/>
                <w:color w:val="000000"/>
                <w:lang w:val="en-US"/>
              </w:rPr>
              <w:t xml:space="preserve">systematic review. World J Pediatr. </w:t>
            </w:r>
            <w:r w:rsidRPr="0047063D">
              <w:rPr>
                <w:rFonts w:ascii="Calibri" w:hAnsi="Calibri"/>
                <w:color w:val="000000"/>
              </w:rPr>
              <w:t>2013;9:221-9.</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Bajaj Y, Kapoor K, Ifeacho S, Jephson CG, Albert DM, Harper JI, Hartley BE.</w:t>
            </w:r>
            <w:r>
              <w:rPr>
                <w:rFonts w:ascii="Calibri" w:hAnsi="Calibri"/>
                <w:color w:val="000000"/>
                <w:lang w:val="en-US"/>
              </w:rPr>
              <w:t xml:space="preserve"> </w:t>
            </w:r>
            <w:r w:rsidRPr="0047063D">
              <w:rPr>
                <w:rFonts w:ascii="Calibri" w:hAnsi="Calibri"/>
                <w:color w:val="000000"/>
                <w:lang w:val="en-US"/>
              </w:rPr>
              <w:t>Great Ormond Street Hospital treatment guidelines for use of propranolol in</w:t>
            </w:r>
            <w:r>
              <w:rPr>
                <w:rFonts w:ascii="Calibri" w:hAnsi="Calibri"/>
                <w:color w:val="000000"/>
                <w:lang w:val="en-US"/>
              </w:rPr>
              <w:t xml:space="preserve"> </w:t>
            </w:r>
            <w:r w:rsidRPr="0047063D">
              <w:rPr>
                <w:rFonts w:ascii="Calibri" w:hAnsi="Calibri"/>
                <w:color w:val="000000"/>
                <w:lang w:val="en-US"/>
              </w:rPr>
              <w:t>infantile isolated subglottic haemangioma. J Laryngol Otol. 2013;127:295-8.</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Cohen-Barak E, Rozenman D, Shani Adir A. Infantile haemangiomas and quality of</w:t>
            </w:r>
            <w:r>
              <w:rPr>
                <w:rFonts w:ascii="Calibri" w:hAnsi="Calibri"/>
                <w:color w:val="000000"/>
                <w:lang w:val="en-US"/>
              </w:rPr>
              <w:t xml:space="preserve"> </w:t>
            </w:r>
            <w:r w:rsidRPr="0047063D">
              <w:rPr>
                <w:rFonts w:ascii="Calibri" w:hAnsi="Calibri"/>
                <w:color w:val="000000"/>
                <w:lang w:val="en-US"/>
              </w:rPr>
              <w:t>life. Arch Dis Child. 2013;98:676-9.</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Marqueling AL, Oza V, Frieden IJ, Puttgen KB. Propranolol and infantile</w:t>
            </w:r>
            <w:r>
              <w:rPr>
                <w:rFonts w:ascii="Calibri" w:hAnsi="Calibri"/>
                <w:color w:val="000000"/>
                <w:lang w:val="en-US"/>
              </w:rPr>
              <w:t xml:space="preserve"> </w:t>
            </w:r>
            <w:r w:rsidRPr="0047063D">
              <w:rPr>
                <w:rFonts w:ascii="Calibri" w:hAnsi="Calibri"/>
                <w:color w:val="000000"/>
                <w:lang w:val="en-US"/>
              </w:rPr>
              <w:t>hemangiomas four years later: a systematic review. Pediatr Dermatol. 2013;30:182-91.</w:t>
            </w:r>
          </w:p>
        </w:tc>
      </w:tr>
      <w:tr w:rsidR="00802772" w:rsidRPr="0045080F"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5080F" w:rsidRDefault="00802772" w:rsidP="00914838">
            <w:pPr>
              <w:spacing w:after="0" w:line="480" w:lineRule="auto"/>
              <w:contextualSpacing/>
              <w:jc w:val="both"/>
              <w:rPr>
                <w:rFonts w:ascii="Calibri" w:hAnsi="Calibri"/>
                <w:color w:val="000000"/>
              </w:rPr>
            </w:pPr>
            <w:r w:rsidRPr="0047063D">
              <w:rPr>
                <w:rFonts w:ascii="Calibri" w:hAnsi="Calibri"/>
                <w:color w:val="000000"/>
                <w:lang w:val="en-US"/>
              </w:rPr>
              <w:t>Dalby TK, Lester-Smith D. Propranolol for the treatment of infantile</w:t>
            </w:r>
            <w:r>
              <w:rPr>
                <w:rFonts w:ascii="Calibri" w:hAnsi="Calibri"/>
                <w:color w:val="000000"/>
                <w:lang w:val="en-US"/>
              </w:rPr>
              <w:t xml:space="preserve"> </w:t>
            </w:r>
            <w:r w:rsidRPr="0047063D">
              <w:rPr>
                <w:rFonts w:ascii="Calibri" w:hAnsi="Calibri"/>
                <w:color w:val="000000"/>
                <w:lang w:val="en-US"/>
              </w:rPr>
              <w:t xml:space="preserve">haemangioma. J Paediatr Child Health. </w:t>
            </w:r>
            <w:r w:rsidRPr="0047063D">
              <w:rPr>
                <w:rFonts w:ascii="Calibri" w:hAnsi="Calibri"/>
                <w:color w:val="000000"/>
              </w:rPr>
              <w:t>2013;49:148-51.</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BF6BD8">
              <w:rPr>
                <w:rFonts w:ascii="Calibri" w:hAnsi="Calibri"/>
                <w:color w:val="000000"/>
                <w:lang w:val="pt-PT"/>
              </w:rPr>
              <w:t xml:space="preserve">Sánchez-Carpintero I, Ruiz-Rodriguez R, López-Gutiérrez JC. </w:t>
            </w:r>
            <w:r w:rsidRPr="0047063D">
              <w:rPr>
                <w:rFonts w:ascii="Calibri" w:hAnsi="Calibri"/>
                <w:color w:val="000000"/>
                <w:lang w:val="en-US"/>
              </w:rPr>
              <w:t>[Propranolol in</w:t>
            </w:r>
            <w:r>
              <w:rPr>
                <w:rFonts w:ascii="Calibri" w:hAnsi="Calibri"/>
                <w:color w:val="000000"/>
                <w:lang w:val="en-US"/>
              </w:rPr>
              <w:t xml:space="preserve"> </w:t>
            </w:r>
            <w:r w:rsidRPr="0047063D">
              <w:rPr>
                <w:rFonts w:ascii="Calibri" w:hAnsi="Calibri"/>
                <w:color w:val="000000"/>
                <w:lang w:val="en-US"/>
              </w:rPr>
              <w:t>the treatment of infantile hemangioma: clinical effectiveness, risks, and</w:t>
            </w:r>
            <w:r>
              <w:rPr>
                <w:rFonts w:ascii="Calibri" w:hAnsi="Calibri"/>
                <w:color w:val="000000"/>
                <w:lang w:val="en-US"/>
              </w:rPr>
              <w:t xml:space="preserve"> </w:t>
            </w:r>
            <w:r w:rsidRPr="0047063D">
              <w:rPr>
                <w:rFonts w:ascii="Calibri" w:hAnsi="Calibri"/>
                <w:color w:val="000000"/>
                <w:lang w:val="en-US"/>
              </w:rPr>
              <w:t>recommendations]. Actas Dermosifiliogr. 2011;102:766-79.</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Fette A. Propranolol in use for treatment of complex infant hemangiomas:</w:t>
            </w:r>
            <w:r>
              <w:rPr>
                <w:rFonts w:ascii="Calibri" w:hAnsi="Calibri"/>
                <w:color w:val="000000"/>
                <w:lang w:val="en-US"/>
              </w:rPr>
              <w:t xml:space="preserve"> </w:t>
            </w:r>
            <w:r w:rsidRPr="0047063D">
              <w:rPr>
                <w:rFonts w:ascii="Calibri" w:hAnsi="Calibri"/>
                <w:color w:val="000000"/>
                <w:lang w:val="en-US"/>
              </w:rPr>
              <w:t>literature review regarding current guidelines for preassessment and standards of</w:t>
            </w:r>
            <w:r>
              <w:rPr>
                <w:rFonts w:ascii="Calibri" w:hAnsi="Calibri"/>
                <w:color w:val="000000"/>
                <w:lang w:val="en-US"/>
              </w:rPr>
              <w:t xml:space="preserve"> </w:t>
            </w:r>
            <w:r w:rsidRPr="0047063D">
              <w:rPr>
                <w:rFonts w:ascii="Calibri" w:hAnsi="Calibri"/>
                <w:color w:val="000000"/>
                <w:lang w:val="en-US"/>
              </w:rPr>
              <w:t>care before initiation of therapy. ScientificWorldJournal. 2013 20;2013:850193.</w:t>
            </w:r>
          </w:p>
        </w:tc>
      </w:tr>
      <w:tr w:rsidR="00802772" w:rsidRPr="0047063D" w:rsidTr="00BF6BD8">
        <w:trPr>
          <w:trHeight w:val="2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Izadpanah A, Izadpanah A, Kanevsky J, Belzile E, Schwarz K. Propranolol versus corticosteroids in the treatment of infantile hemangioma: a systematic review and</w:t>
            </w:r>
            <w:r>
              <w:rPr>
                <w:rFonts w:ascii="Calibri" w:hAnsi="Calibri"/>
                <w:color w:val="000000"/>
                <w:lang w:val="en-US"/>
              </w:rPr>
              <w:t xml:space="preserve"> </w:t>
            </w:r>
            <w:r w:rsidRPr="0047063D">
              <w:rPr>
                <w:rFonts w:ascii="Calibri" w:hAnsi="Calibri"/>
                <w:color w:val="000000"/>
                <w:lang w:val="en-US"/>
              </w:rPr>
              <w:t>meta-analysis. Plast Reconstr Surg. 2013;131:601-13.</w:t>
            </w:r>
          </w:p>
        </w:tc>
      </w:tr>
      <w:tr w:rsidR="00802772" w:rsidRPr="0047063D" w:rsidTr="00BF6BD8">
        <w:trPr>
          <w:trHeight w:val="777"/>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BF6BD8">
              <w:rPr>
                <w:rFonts w:ascii="Calibri" w:hAnsi="Calibri"/>
                <w:color w:val="000000"/>
                <w:lang w:val="pt-PT"/>
              </w:rPr>
              <w:t xml:space="preserve">Menezes MD, McCarter R, Greene EA, Bauman NM. </w:t>
            </w:r>
            <w:r w:rsidRPr="0047063D">
              <w:rPr>
                <w:rFonts w:ascii="Calibri" w:hAnsi="Calibri"/>
                <w:color w:val="000000"/>
                <w:lang w:val="en-US"/>
              </w:rPr>
              <w:t>Status of propranolol for</w:t>
            </w:r>
            <w:r>
              <w:rPr>
                <w:rFonts w:ascii="Calibri" w:hAnsi="Calibri"/>
                <w:color w:val="000000"/>
                <w:lang w:val="en-US"/>
              </w:rPr>
              <w:t xml:space="preserve"> </w:t>
            </w:r>
            <w:r w:rsidRPr="0047063D">
              <w:rPr>
                <w:rFonts w:ascii="Calibri" w:hAnsi="Calibri"/>
                <w:color w:val="000000"/>
                <w:lang w:val="en-US"/>
              </w:rPr>
              <w:t>treatment of infantile hemangioma and description of a randomized clinical trial.</w:t>
            </w:r>
            <w:r>
              <w:rPr>
                <w:rFonts w:ascii="Calibri" w:hAnsi="Calibri"/>
                <w:color w:val="000000"/>
                <w:lang w:val="en-US"/>
              </w:rPr>
              <w:t xml:space="preserve"> </w:t>
            </w:r>
            <w:r w:rsidRPr="0047063D">
              <w:rPr>
                <w:rFonts w:ascii="Calibri" w:hAnsi="Calibri"/>
                <w:color w:val="000000"/>
                <w:lang w:val="en-US"/>
              </w:rPr>
              <w:t>Ann Otol Rhinol Laryngol. 2011;120:686-95.</w:t>
            </w:r>
          </w:p>
        </w:tc>
      </w:tr>
      <w:tr w:rsidR="00802772" w:rsidRPr="0047063D" w:rsidTr="00BF6BD8">
        <w:trPr>
          <w:trHeight w:val="770"/>
        </w:trPr>
        <w:tc>
          <w:tcPr>
            <w:tcW w:w="9182" w:type="dxa"/>
            <w:gridSpan w:val="2"/>
            <w:tcBorders>
              <w:top w:val="single" w:sz="4" w:space="0" w:color="auto"/>
              <w:left w:val="nil"/>
              <w:bottom w:val="single" w:sz="4" w:space="0" w:color="auto"/>
              <w:right w:val="nil"/>
            </w:tcBorders>
            <w:shd w:val="clear" w:color="auto" w:fill="auto"/>
          </w:tcPr>
          <w:p w:rsidR="00802772" w:rsidRPr="0047063D" w:rsidRDefault="00802772" w:rsidP="00914838">
            <w:pPr>
              <w:spacing w:after="0" w:line="480" w:lineRule="auto"/>
              <w:contextualSpacing/>
              <w:jc w:val="both"/>
              <w:rPr>
                <w:rFonts w:ascii="Calibri" w:hAnsi="Calibri"/>
                <w:color w:val="000000"/>
                <w:lang w:val="en-US"/>
              </w:rPr>
            </w:pPr>
            <w:r w:rsidRPr="0047063D">
              <w:rPr>
                <w:rFonts w:ascii="Calibri" w:hAnsi="Calibri"/>
                <w:color w:val="000000"/>
                <w:lang w:val="en-US"/>
              </w:rPr>
              <w:t>Spiteri Cornish K, Reddy AR. The use of propranolol in the management of</w:t>
            </w:r>
            <w:r>
              <w:rPr>
                <w:rFonts w:ascii="Calibri" w:hAnsi="Calibri"/>
                <w:color w:val="000000"/>
                <w:lang w:val="en-US"/>
              </w:rPr>
              <w:t xml:space="preserve"> </w:t>
            </w:r>
            <w:r w:rsidRPr="0047063D">
              <w:rPr>
                <w:rFonts w:ascii="Calibri" w:hAnsi="Calibri"/>
                <w:color w:val="000000"/>
                <w:lang w:val="en-US"/>
              </w:rPr>
              <w:t>periocular capillary haemangioma-a systematic review. Eye (Lond). 2011;25:1277-83.</w:t>
            </w:r>
          </w:p>
        </w:tc>
      </w:tr>
    </w:tbl>
    <w:p w:rsidR="00C42E12" w:rsidRDefault="003A5FE6" w:rsidP="003A5FE6">
      <w:bookmarkStart w:id="0" w:name="_GoBack"/>
      <w:bookmarkEnd w:id="0"/>
    </w:p>
    <w:sectPr w:rsidR="00C42E1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E4" w:rsidRDefault="005D1D93">
      <w:pPr>
        <w:spacing w:after="0"/>
      </w:pPr>
      <w:r>
        <w:separator/>
      </w:r>
    </w:p>
  </w:endnote>
  <w:endnote w:type="continuationSeparator" w:id="0">
    <w:p w:rsidR="00F837E4" w:rsidRDefault="005D1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70" w:rsidRDefault="00802772">
    <w:pPr>
      <w:pStyle w:val="Piedepgina"/>
      <w:jc w:val="center"/>
    </w:pPr>
    <w:r>
      <w:fldChar w:fldCharType="begin"/>
    </w:r>
    <w:r>
      <w:instrText>PAGE   \* MERGEFORMAT</w:instrText>
    </w:r>
    <w:r>
      <w:fldChar w:fldCharType="separate"/>
    </w:r>
    <w:r w:rsidR="003A5FE6">
      <w:rPr>
        <w:noProof/>
      </w:rPr>
      <w:t>3</w:t>
    </w:r>
    <w:r>
      <w:fldChar w:fldCharType="end"/>
    </w:r>
  </w:p>
  <w:p w:rsidR="009C7270" w:rsidRDefault="003A5F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E4" w:rsidRDefault="005D1D93">
      <w:pPr>
        <w:spacing w:after="0"/>
      </w:pPr>
      <w:r>
        <w:separator/>
      </w:r>
    </w:p>
  </w:footnote>
  <w:footnote w:type="continuationSeparator" w:id="0">
    <w:p w:rsidR="00F837E4" w:rsidRDefault="005D1D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72"/>
    <w:rsid w:val="000D6219"/>
    <w:rsid w:val="0011219E"/>
    <w:rsid w:val="003A5FE6"/>
    <w:rsid w:val="004439D0"/>
    <w:rsid w:val="005D1D93"/>
    <w:rsid w:val="00802772"/>
    <w:rsid w:val="00802E88"/>
    <w:rsid w:val="00BF6BD8"/>
    <w:rsid w:val="00F83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72"/>
    <w:pPr>
      <w:suppressAutoHyphens/>
      <w:spacing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02772"/>
    <w:pPr>
      <w:spacing w:after="0"/>
    </w:pPr>
  </w:style>
  <w:style w:type="character" w:customStyle="1" w:styleId="PiedepginaCar">
    <w:name w:val="Pie de página Car"/>
    <w:basedOn w:val="Fuentedeprrafopredeter"/>
    <w:link w:val="Piedepgina"/>
    <w:uiPriority w:val="99"/>
    <w:rsid w:val="00802772"/>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5D1D9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9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72"/>
    <w:pPr>
      <w:suppressAutoHyphens/>
      <w:spacing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02772"/>
    <w:pPr>
      <w:spacing w:after="0"/>
    </w:pPr>
  </w:style>
  <w:style w:type="character" w:customStyle="1" w:styleId="PiedepginaCar">
    <w:name w:val="Pie de página Car"/>
    <w:basedOn w:val="Fuentedeprrafopredeter"/>
    <w:link w:val="Piedepgina"/>
    <w:uiPriority w:val="99"/>
    <w:rsid w:val="00802772"/>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5D1D9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9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GOC</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VAlbert</dc:creator>
  <cp:lastModifiedBy>ATC</cp:lastModifiedBy>
  <cp:revision>2</cp:revision>
  <dcterms:created xsi:type="dcterms:W3CDTF">2015-09-29T11:23:00Z</dcterms:created>
  <dcterms:modified xsi:type="dcterms:W3CDTF">2015-09-29T11:23:00Z</dcterms:modified>
</cp:coreProperties>
</file>