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3853" w14:textId="289B490A" w:rsidR="000318A3" w:rsidRPr="007B7CBF" w:rsidRDefault="007B7CBF" w:rsidP="007B7CBF">
      <w:pPr>
        <w:spacing w:after="0" w:line="360" w:lineRule="auto"/>
        <w:jc w:val="both"/>
        <w:rPr>
          <w:rFonts w:ascii="Times New Roman" w:hAnsi="Times New Roman"/>
          <w:b/>
          <w:sz w:val="24"/>
          <w:szCs w:val="24"/>
          <w:highlight w:val="yellow"/>
        </w:rPr>
      </w:pPr>
      <w:r w:rsidRPr="007B7CBF">
        <w:rPr>
          <w:rFonts w:ascii="Times New Roman" w:hAnsi="Times New Roman"/>
          <w:b/>
          <w:sz w:val="24"/>
          <w:szCs w:val="24"/>
          <w:highlight w:val="yellow"/>
        </w:rPr>
        <w:t>ANPEDIA-19-114</w:t>
      </w:r>
    </w:p>
    <w:p w14:paraId="684DDFD2" w14:textId="363BC1DA" w:rsidR="007B7CBF" w:rsidRPr="007B7CBF" w:rsidRDefault="007B7CBF" w:rsidP="007B7CBF">
      <w:pPr>
        <w:spacing w:after="0" w:line="360" w:lineRule="auto"/>
        <w:jc w:val="both"/>
        <w:rPr>
          <w:rFonts w:ascii="Times New Roman" w:hAnsi="Times New Roman"/>
          <w:b/>
          <w:sz w:val="24"/>
          <w:szCs w:val="24"/>
          <w:lang w:val="es-ES"/>
        </w:rPr>
      </w:pPr>
      <w:r w:rsidRPr="007B7CBF">
        <w:rPr>
          <w:rFonts w:ascii="Times New Roman" w:hAnsi="Times New Roman"/>
          <w:b/>
          <w:sz w:val="24"/>
          <w:szCs w:val="24"/>
          <w:highlight w:val="yellow"/>
          <w:lang w:val="es-ES"/>
        </w:rPr>
        <w:t>E-APPENDED</w:t>
      </w:r>
    </w:p>
    <w:p w14:paraId="111A0E3A" w14:textId="47A17322" w:rsidR="000318A3" w:rsidRPr="007B7CBF" w:rsidRDefault="000318A3" w:rsidP="007B7CBF">
      <w:pPr>
        <w:pStyle w:val="Estilo1"/>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PROTOCOLO DE ESTUDIO Y TRATAMIENTO DE LA P.T.I.</w:t>
      </w:r>
      <w:r w:rsidR="007B7CBF" w:rsidRPr="007B7CBF">
        <w:rPr>
          <w:rFonts w:ascii="Times New Roman" w:hAnsi="Times New Roman"/>
          <w:b/>
          <w:sz w:val="24"/>
          <w:szCs w:val="24"/>
          <w:lang w:val="es-ES_tradnl"/>
        </w:rPr>
        <w:t xml:space="preserve"> </w:t>
      </w:r>
      <w:r w:rsidRPr="007B7CBF">
        <w:rPr>
          <w:rFonts w:ascii="Times New Roman" w:hAnsi="Times New Roman"/>
          <w:b/>
          <w:sz w:val="24"/>
          <w:szCs w:val="24"/>
          <w:lang w:val="es-ES_tradnl"/>
        </w:rPr>
        <w:t>PTI-2018</w:t>
      </w:r>
      <w:r w:rsidR="00386B7A" w:rsidRPr="00386B7A">
        <w:rPr>
          <w:rFonts w:ascii="Times New Roman" w:hAnsi="Times New Roman"/>
          <w:b/>
          <w:sz w:val="24"/>
          <w:szCs w:val="24"/>
          <w:vertAlign w:val="superscript"/>
          <w:lang w:val="es-ES_tradnl"/>
        </w:rPr>
        <w:t>◊</w:t>
      </w:r>
    </w:p>
    <w:p w14:paraId="2A8768A3" w14:textId="3D2A24DA" w:rsidR="007B7CBF" w:rsidRPr="007B7CBF" w:rsidRDefault="007B7CBF" w:rsidP="007B7CBF">
      <w:pPr>
        <w:pStyle w:val="Estilo1"/>
        <w:spacing w:after="0" w:line="480" w:lineRule="auto"/>
        <w:jc w:val="both"/>
        <w:rPr>
          <w:rFonts w:ascii="Times New Roman" w:hAnsi="Times New Roman"/>
          <w:sz w:val="24"/>
          <w:szCs w:val="24"/>
          <w:lang w:val="es-ES_tradnl"/>
        </w:rPr>
      </w:pPr>
      <w:r w:rsidRPr="007B7CBF">
        <w:rPr>
          <w:rFonts w:ascii="Times New Roman" w:hAnsi="Times New Roman"/>
          <w:b/>
          <w:smallCaps w:val="0"/>
          <w:sz w:val="24"/>
          <w:szCs w:val="24"/>
          <w:lang w:val="es-ES_tradnl"/>
        </w:rPr>
        <w:t xml:space="preserve">Título abreviado: </w:t>
      </w:r>
      <w:r w:rsidRPr="007B7CBF">
        <w:rPr>
          <w:rFonts w:ascii="Times New Roman" w:hAnsi="Times New Roman"/>
          <w:smallCaps w:val="0"/>
          <w:sz w:val="24"/>
          <w:szCs w:val="24"/>
          <w:lang w:val="es-ES_tradnl"/>
        </w:rPr>
        <w:t>PROTOCOLO</w:t>
      </w:r>
      <w:r w:rsidRPr="007B7CBF">
        <w:rPr>
          <w:rFonts w:ascii="Times New Roman" w:hAnsi="Times New Roman"/>
          <w:sz w:val="24"/>
          <w:szCs w:val="24"/>
          <w:lang w:val="es-ES_tradnl"/>
        </w:rPr>
        <w:t xml:space="preserve"> DE ESTUDIO Y TRATAMIENTO DE LA P.T.I.</w:t>
      </w:r>
      <w:r>
        <w:rPr>
          <w:rFonts w:ascii="Times New Roman" w:hAnsi="Times New Roman"/>
          <w:sz w:val="24"/>
          <w:szCs w:val="24"/>
          <w:lang w:val="es-ES_tradnl"/>
        </w:rPr>
        <w:t xml:space="preserve"> </w:t>
      </w:r>
      <w:r w:rsidRPr="007B7CBF">
        <w:rPr>
          <w:rFonts w:ascii="Times New Roman" w:hAnsi="Times New Roman"/>
          <w:sz w:val="24"/>
          <w:szCs w:val="24"/>
          <w:lang w:val="es-ES_tradnl"/>
        </w:rPr>
        <w:t>PTI-2018</w:t>
      </w:r>
    </w:p>
    <w:p w14:paraId="4E6B15E8" w14:textId="5A701FCA" w:rsidR="00386B7A" w:rsidRPr="007B7CBF" w:rsidRDefault="007B7CBF" w:rsidP="00386B7A">
      <w:pPr>
        <w:pStyle w:val="Estilo1"/>
        <w:spacing w:after="0" w:line="480" w:lineRule="auto"/>
        <w:jc w:val="both"/>
        <w:rPr>
          <w:rFonts w:ascii="Times New Roman" w:hAnsi="Times New Roman"/>
          <w:sz w:val="24"/>
          <w:szCs w:val="24"/>
          <w:lang w:val="es-ES_tradnl"/>
        </w:rPr>
      </w:pPr>
      <w:r w:rsidRPr="007B7CBF">
        <w:rPr>
          <w:rFonts w:ascii="Times New Roman" w:hAnsi="Times New Roman"/>
          <w:smallCaps w:val="0"/>
          <w:sz w:val="24"/>
          <w:szCs w:val="24"/>
          <w:lang w:val="es-ES_tradnl"/>
        </w:rPr>
        <w:t>Emilio Monteagudo</w:t>
      </w:r>
      <w:r w:rsidRPr="007B7CBF">
        <w:rPr>
          <w:rFonts w:ascii="Times New Roman" w:hAnsi="Times New Roman"/>
          <w:smallCaps w:val="0"/>
          <w:sz w:val="24"/>
          <w:szCs w:val="24"/>
          <w:vertAlign w:val="superscript"/>
          <w:lang w:val="es-ES_tradnl"/>
        </w:rPr>
        <w:t>a</w:t>
      </w:r>
      <w:r w:rsidR="00386B7A">
        <w:rPr>
          <w:rFonts w:ascii="Times New Roman" w:hAnsi="Times New Roman"/>
          <w:smallCaps w:val="0"/>
          <w:sz w:val="24"/>
          <w:szCs w:val="24"/>
          <w:vertAlign w:val="superscript"/>
          <w:lang w:val="es-ES_tradnl"/>
        </w:rPr>
        <w:t>*</w:t>
      </w:r>
      <w:r w:rsidRPr="007B7CBF">
        <w:rPr>
          <w:rFonts w:ascii="Times New Roman" w:hAnsi="Times New Roman"/>
          <w:smallCaps w:val="0"/>
          <w:sz w:val="24"/>
          <w:szCs w:val="24"/>
          <w:lang w:val="es-ES_tradnl"/>
        </w:rPr>
        <w:t>,</w:t>
      </w:r>
      <w:r>
        <w:rPr>
          <w:rFonts w:ascii="Times New Roman" w:hAnsi="Times New Roman"/>
          <w:smallCaps w:val="0"/>
          <w:sz w:val="24"/>
          <w:szCs w:val="24"/>
          <w:lang w:val="es-ES_tradnl"/>
        </w:rPr>
        <w:t xml:space="preserve"> </w:t>
      </w:r>
      <w:r w:rsidRPr="007B7CBF">
        <w:rPr>
          <w:rFonts w:ascii="Times New Roman" w:hAnsi="Times New Roman"/>
          <w:smallCaps w:val="0"/>
          <w:sz w:val="24"/>
          <w:szCs w:val="24"/>
          <w:lang w:val="es-ES_tradnl"/>
        </w:rPr>
        <w:t>Itziar Astigarraga</w:t>
      </w:r>
      <w:r w:rsidRPr="007B7CBF">
        <w:rPr>
          <w:rFonts w:ascii="Times New Roman" w:hAnsi="Times New Roman"/>
          <w:smallCaps w:val="0"/>
          <w:sz w:val="24"/>
          <w:szCs w:val="24"/>
          <w:vertAlign w:val="superscript"/>
          <w:lang w:val="es-ES_tradnl"/>
        </w:rPr>
        <w:t>b</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w:t>
      </w:r>
      <w:r w:rsidR="00386B7A" w:rsidRPr="007B7CBF">
        <w:rPr>
          <w:rFonts w:ascii="Times New Roman" w:hAnsi="Times New Roman"/>
          <w:smallCaps w:val="0"/>
          <w:sz w:val="24"/>
          <w:szCs w:val="24"/>
          <w:lang w:val="es-ES_tradnl"/>
        </w:rPr>
        <w:t>Áurea Cervera</w:t>
      </w:r>
      <w:r w:rsidR="00386B7A" w:rsidRPr="00386B7A">
        <w:rPr>
          <w:rFonts w:ascii="Times New Roman" w:hAnsi="Times New Roman"/>
          <w:smallCaps w:val="0"/>
          <w:sz w:val="24"/>
          <w:szCs w:val="24"/>
          <w:vertAlign w:val="superscript"/>
          <w:lang w:val="es-ES_tradnl"/>
        </w:rPr>
        <w:t>c</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w:t>
      </w:r>
      <w:r w:rsidR="00386B7A" w:rsidRPr="007B7CBF">
        <w:rPr>
          <w:rFonts w:ascii="Times New Roman" w:hAnsi="Times New Roman"/>
          <w:smallCaps w:val="0"/>
          <w:sz w:val="24"/>
          <w:szCs w:val="24"/>
          <w:lang w:val="es-ES_tradnl"/>
        </w:rPr>
        <w:t>Mª Angeles Dasí</w:t>
      </w:r>
      <w:r w:rsidR="00386B7A" w:rsidRPr="00386B7A">
        <w:rPr>
          <w:rFonts w:ascii="Times New Roman" w:hAnsi="Times New Roman"/>
          <w:smallCaps w:val="0"/>
          <w:sz w:val="24"/>
          <w:szCs w:val="24"/>
          <w:vertAlign w:val="superscript"/>
          <w:lang w:val="es-ES_tradnl"/>
        </w:rPr>
        <w:t>d</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w:t>
      </w:r>
      <w:r w:rsidR="00386B7A" w:rsidRPr="007B7CBF">
        <w:rPr>
          <w:rFonts w:ascii="Times New Roman" w:hAnsi="Times New Roman"/>
          <w:smallCaps w:val="0"/>
          <w:sz w:val="24"/>
          <w:szCs w:val="24"/>
          <w:lang w:val="es-ES_tradnl"/>
        </w:rPr>
        <w:t>Ana Sastre</w:t>
      </w:r>
      <w:r w:rsidR="00386B7A" w:rsidRPr="00386B7A">
        <w:rPr>
          <w:rFonts w:ascii="Times New Roman" w:hAnsi="Times New Roman"/>
          <w:smallCaps w:val="0"/>
          <w:sz w:val="24"/>
          <w:szCs w:val="24"/>
          <w:vertAlign w:val="superscript"/>
          <w:lang w:val="es-ES_tradnl"/>
        </w:rPr>
        <w:t>e</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w:t>
      </w:r>
      <w:r w:rsidR="00386B7A" w:rsidRPr="007B7CBF">
        <w:rPr>
          <w:rFonts w:ascii="Times New Roman" w:hAnsi="Times New Roman"/>
          <w:smallCaps w:val="0"/>
          <w:sz w:val="24"/>
          <w:szCs w:val="24"/>
          <w:lang w:val="es-ES_tradnl"/>
        </w:rPr>
        <w:t>Rubén Berrueco</w:t>
      </w:r>
      <w:r w:rsidR="00386B7A" w:rsidRPr="00386B7A">
        <w:rPr>
          <w:rFonts w:ascii="Times New Roman" w:hAnsi="Times New Roman"/>
          <w:smallCaps w:val="0"/>
          <w:sz w:val="24"/>
          <w:szCs w:val="24"/>
          <w:vertAlign w:val="superscript"/>
          <w:lang w:val="es-ES_tradnl"/>
        </w:rPr>
        <w:t>f</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w:t>
      </w:r>
      <w:r w:rsidR="00386B7A" w:rsidRPr="007B7CBF">
        <w:rPr>
          <w:rFonts w:ascii="Times New Roman" w:hAnsi="Times New Roman"/>
          <w:smallCaps w:val="0"/>
          <w:sz w:val="24"/>
          <w:szCs w:val="24"/>
          <w:lang w:val="es-ES_tradnl"/>
        </w:rPr>
        <w:t>José Luis Dapena</w:t>
      </w:r>
      <w:r w:rsidR="00386B7A" w:rsidRPr="00386B7A">
        <w:rPr>
          <w:rFonts w:ascii="Times New Roman" w:hAnsi="Times New Roman"/>
          <w:smallCaps w:val="0"/>
          <w:sz w:val="24"/>
          <w:szCs w:val="24"/>
          <w:vertAlign w:val="superscript"/>
          <w:lang w:val="es-ES_tradnl"/>
        </w:rPr>
        <w:t>g</w:t>
      </w:r>
      <w:r w:rsidR="00386B7A" w:rsidRPr="00386B7A">
        <w:rPr>
          <w:rFonts w:ascii="Times New Roman" w:hAnsi="Times New Roman"/>
          <w:smallCaps w:val="0"/>
          <w:sz w:val="24"/>
          <w:szCs w:val="24"/>
          <w:lang w:val="es-ES_tradnl"/>
        </w:rPr>
        <w:t>,</w:t>
      </w:r>
      <w:r w:rsidR="00386B7A">
        <w:rPr>
          <w:rFonts w:ascii="Times New Roman" w:hAnsi="Times New Roman"/>
          <w:smallCaps w:val="0"/>
          <w:sz w:val="24"/>
          <w:szCs w:val="24"/>
          <w:lang w:val="es-ES_tradnl"/>
        </w:rPr>
        <w:t xml:space="preserve"> en representación del G</w:t>
      </w:r>
      <w:r w:rsidR="00386B7A" w:rsidRPr="00386B7A">
        <w:rPr>
          <w:rFonts w:ascii="Times New Roman" w:hAnsi="Times New Roman"/>
          <w:smallCaps w:val="0"/>
          <w:sz w:val="24"/>
          <w:szCs w:val="24"/>
          <w:lang w:val="es-ES_tradnl"/>
        </w:rPr>
        <w:t xml:space="preserve">rupo de </w:t>
      </w:r>
      <w:r w:rsidR="00386B7A">
        <w:rPr>
          <w:rFonts w:ascii="Times New Roman" w:hAnsi="Times New Roman"/>
          <w:smallCaps w:val="0"/>
          <w:sz w:val="24"/>
          <w:szCs w:val="24"/>
          <w:lang w:val="es-ES_tradnl"/>
        </w:rPr>
        <w:t>T</w:t>
      </w:r>
      <w:r w:rsidR="00386B7A" w:rsidRPr="00386B7A">
        <w:rPr>
          <w:rFonts w:ascii="Times New Roman" w:hAnsi="Times New Roman"/>
          <w:smallCaps w:val="0"/>
          <w:sz w:val="24"/>
          <w:szCs w:val="24"/>
          <w:lang w:val="es-ES_tradnl"/>
        </w:rPr>
        <w:t>rabajo de la</w:t>
      </w:r>
      <w:r w:rsidR="00386B7A" w:rsidRPr="007B7CBF">
        <w:rPr>
          <w:rFonts w:ascii="Times New Roman" w:hAnsi="Times New Roman"/>
          <w:sz w:val="24"/>
          <w:szCs w:val="24"/>
          <w:lang w:val="es-ES_tradnl"/>
        </w:rPr>
        <w:t xml:space="preserve"> PTI </w:t>
      </w:r>
      <w:r w:rsidR="00386B7A" w:rsidRPr="00386B7A">
        <w:rPr>
          <w:rFonts w:ascii="Times New Roman" w:hAnsi="Times New Roman"/>
          <w:smallCaps w:val="0"/>
          <w:sz w:val="24"/>
          <w:szCs w:val="24"/>
          <w:lang w:val="es-ES_tradnl"/>
        </w:rPr>
        <w:t>de la</w:t>
      </w:r>
      <w:r w:rsidR="00386B7A" w:rsidRPr="007B7CBF">
        <w:rPr>
          <w:rFonts w:ascii="Times New Roman" w:hAnsi="Times New Roman"/>
          <w:sz w:val="24"/>
          <w:szCs w:val="24"/>
          <w:lang w:val="es-ES_tradnl"/>
        </w:rPr>
        <w:t xml:space="preserve"> SEHOP</w:t>
      </w:r>
    </w:p>
    <w:p w14:paraId="16DF6528" w14:textId="457CA91A" w:rsidR="007B7CBF" w:rsidRDefault="007B7CBF" w:rsidP="00386B7A">
      <w:pPr>
        <w:spacing w:after="0" w:line="480" w:lineRule="auto"/>
        <w:jc w:val="both"/>
        <w:rPr>
          <w:rFonts w:ascii="Times New Roman" w:hAnsi="Times New Roman"/>
          <w:smallCaps/>
          <w:sz w:val="24"/>
          <w:szCs w:val="24"/>
          <w:lang w:val="es-ES_tradnl"/>
        </w:rPr>
      </w:pPr>
      <w:r w:rsidRPr="00386B7A">
        <w:rPr>
          <w:rFonts w:ascii="Times New Roman" w:hAnsi="Times New Roman"/>
          <w:sz w:val="24"/>
          <w:szCs w:val="24"/>
          <w:vertAlign w:val="superscript"/>
          <w:lang w:val="es-ES_tradnl"/>
        </w:rPr>
        <w:t>a</w:t>
      </w:r>
      <w:r w:rsidR="00386B7A" w:rsidRPr="00386B7A">
        <w:rPr>
          <w:rFonts w:ascii="Times New Roman" w:hAnsi="Times New Roman"/>
          <w:sz w:val="24"/>
          <w:szCs w:val="24"/>
          <w:lang w:val="es-ES"/>
        </w:rPr>
        <w:t xml:space="preserve">Servicio de Pediatría y sus Áreas Específicas. </w:t>
      </w:r>
      <w:r w:rsidRPr="007B7CBF">
        <w:rPr>
          <w:rFonts w:ascii="Times New Roman" w:hAnsi="Times New Roman"/>
          <w:sz w:val="24"/>
          <w:szCs w:val="24"/>
          <w:lang w:val="es-ES_tradnl"/>
        </w:rPr>
        <w:t>Hospital Infantil La Fe, Valencia</w:t>
      </w:r>
      <w:r>
        <w:rPr>
          <w:rFonts w:ascii="Times New Roman" w:hAnsi="Times New Roman"/>
          <w:smallCaps/>
          <w:sz w:val="24"/>
          <w:szCs w:val="24"/>
          <w:lang w:val="es-ES_tradnl"/>
        </w:rPr>
        <w:t xml:space="preserve">, </w:t>
      </w:r>
    </w:p>
    <w:p w14:paraId="58D8BF14" w14:textId="1C31593C" w:rsidR="007B7CBF" w:rsidRPr="007B7CBF" w:rsidRDefault="00386B7A" w:rsidP="007B7CBF">
      <w:pPr>
        <w:pStyle w:val="Estilo1"/>
        <w:spacing w:after="0" w:line="480" w:lineRule="auto"/>
        <w:jc w:val="both"/>
        <w:rPr>
          <w:rFonts w:ascii="Times New Roman" w:hAnsi="Times New Roman"/>
          <w:smallCaps w:val="0"/>
          <w:sz w:val="24"/>
          <w:szCs w:val="24"/>
          <w:lang w:val="es-ES_tradnl"/>
        </w:rPr>
      </w:pPr>
      <w:r w:rsidRPr="007B7CBF">
        <w:rPr>
          <w:rFonts w:ascii="Times New Roman" w:hAnsi="Times New Roman"/>
          <w:smallCaps w:val="0"/>
          <w:sz w:val="24"/>
          <w:szCs w:val="24"/>
          <w:vertAlign w:val="superscript"/>
          <w:lang w:val="es-ES_tradnl"/>
        </w:rPr>
        <w:t>b</w:t>
      </w:r>
      <w:r w:rsidR="007B7CBF" w:rsidRPr="007B7CBF">
        <w:rPr>
          <w:rFonts w:ascii="Times New Roman" w:hAnsi="Times New Roman"/>
          <w:smallCaps w:val="0"/>
          <w:sz w:val="24"/>
          <w:szCs w:val="24"/>
          <w:lang w:val="es-ES_tradnl"/>
        </w:rPr>
        <w:t>Hospital de Cruces. Bilbao.</w:t>
      </w:r>
    </w:p>
    <w:p w14:paraId="0E2740D4" w14:textId="0956A349" w:rsidR="007B7CBF" w:rsidRPr="007B7CBF" w:rsidRDefault="00386B7A" w:rsidP="007B7CBF">
      <w:pPr>
        <w:pStyle w:val="Estilo1"/>
        <w:spacing w:after="0" w:line="480" w:lineRule="auto"/>
        <w:jc w:val="both"/>
        <w:rPr>
          <w:rFonts w:ascii="Times New Roman" w:hAnsi="Times New Roman"/>
          <w:smallCaps w:val="0"/>
          <w:sz w:val="24"/>
          <w:szCs w:val="24"/>
          <w:lang w:val="es-ES_tradnl"/>
        </w:rPr>
      </w:pPr>
      <w:r w:rsidRPr="00386B7A">
        <w:rPr>
          <w:rFonts w:ascii="Times New Roman" w:hAnsi="Times New Roman"/>
          <w:smallCaps w:val="0"/>
          <w:sz w:val="24"/>
          <w:szCs w:val="24"/>
          <w:vertAlign w:val="superscript"/>
          <w:lang w:val="es-ES_tradnl"/>
        </w:rPr>
        <w:t>c</w:t>
      </w:r>
      <w:r w:rsidR="007B7CBF" w:rsidRPr="007B7CBF">
        <w:rPr>
          <w:rFonts w:ascii="Times New Roman" w:hAnsi="Times New Roman"/>
          <w:smallCaps w:val="0"/>
          <w:sz w:val="24"/>
          <w:szCs w:val="24"/>
          <w:lang w:val="es-ES_tradnl"/>
        </w:rPr>
        <w:t>Hospital de Móstoles, Madrid</w:t>
      </w:r>
    </w:p>
    <w:p w14:paraId="12EEC156" w14:textId="6820AF8F" w:rsidR="007B7CBF" w:rsidRPr="007B7CBF" w:rsidRDefault="00386B7A" w:rsidP="007B7CBF">
      <w:pPr>
        <w:pStyle w:val="Estilo1"/>
        <w:spacing w:after="0" w:line="480" w:lineRule="auto"/>
        <w:jc w:val="both"/>
        <w:rPr>
          <w:rFonts w:ascii="Times New Roman" w:hAnsi="Times New Roman"/>
          <w:smallCaps w:val="0"/>
          <w:sz w:val="24"/>
          <w:szCs w:val="24"/>
          <w:lang w:val="es-ES_tradnl"/>
        </w:rPr>
      </w:pPr>
      <w:r w:rsidRPr="00386B7A">
        <w:rPr>
          <w:rFonts w:ascii="Times New Roman" w:hAnsi="Times New Roman"/>
          <w:smallCaps w:val="0"/>
          <w:sz w:val="24"/>
          <w:szCs w:val="24"/>
          <w:vertAlign w:val="superscript"/>
          <w:lang w:val="es-ES_tradnl"/>
        </w:rPr>
        <w:t>d</w:t>
      </w:r>
      <w:r w:rsidR="007B7CBF" w:rsidRPr="007B7CBF">
        <w:rPr>
          <w:rFonts w:ascii="Times New Roman" w:hAnsi="Times New Roman"/>
          <w:smallCaps w:val="0"/>
          <w:sz w:val="24"/>
          <w:szCs w:val="24"/>
          <w:lang w:val="es-ES_tradnl"/>
        </w:rPr>
        <w:t>Hospital Infantil La Fe, Valencia</w:t>
      </w:r>
    </w:p>
    <w:p w14:paraId="6C7BBC2F" w14:textId="2A14D4BD" w:rsidR="007B7CBF" w:rsidRPr="007B7CBF" w:rsidRDefault="00386B7A" w:rsidP="007B7CBF">
      <w:pPr>
        <w:pStyle w:val="Estilo1"/>
        <w:spacing w:after="0" w:line="480" w:lineRule="auto"/>
        <w:jc w:val="both"/>
        <w:rPr>
          <w:rFonts w:ascii="Times New Roman" w:hAnsi="Times New Roman"/>
          <w:smallCaps w:val="0"/>
          <w:sz w:val="24"/>
          <w:szCs w:val="24"/>
          <w:lang w:val="es-ES_tradnl"/>
        </w:rPr>
      </w:pPr>
      <w:r w:rsidRPr="00386B7A">
        <w:rPr>
          <w:rFonts w:ascii="Times New Roman" w:hAnsi="Times New Roman"/>
          <w:smallCaps w:val="0"/>
          <w:sz w:val="24"/>
          <w:szCs w:val="24"/>
          <w:vertAlign w:val="superscript"/>
          <w:lang w:val="es-ES_tradnl"/>
        </w:rPr>
        <w:t>e</w:t>
      </w:r>
      <w:r w:rsidR="007B7CBF" w:rsidRPr="007B7CBF">
        <w:rPr>
          <w:rFonts w:ascii="Times New Roman" w:hAnsi="Times New Roman"/>
          <w:smallCaps w:val="0"/>
          <w:sz w:val="24"/>
          <w:szCs w:val="24"/>
          <w:lang w:val="es-ES_tradnl"/>
        </w:rPr>
        <w:t>Hospital Infantil La Paz, Madrid</w:t>
      </w:r>
    </w:p>
    <w:p w14:paraId="61EF3CE6" w14:textId="20CC5711" w:rsidR="007B7CBF" w:rsidRPr="007B7CBF" w:rsidRDefault="00386B7A" w:rsidP="007B7CBF">
      <w:pPr>
        <w:pStyle w:val="Estilo1"/>
        <w:spacing w:after="0" w:line="480" w:lineRule="auto"/>
        <w:jc w:val="both"/>
        <w:rPr>
          <w:rFonts w:ascii="Times New Roman" w:hAnsi="Times New Roman"/>
          <w:smallCaps w:val="0"/>
          <w:sz w:val="24"/>
          <w:szCs w:val="24"/>
          <w:lang w:val="es-ES_tradnl"/>
        </w:rPr>
      </w:pPr>
      <w:r w:rsidRPr="00386B7A">
        <w:rPr>
          <w:rFonts w:ascii="Times New Roman" w:hAnsi="Times New Roman"/>
          <w:smallCaps w:val="0"/>
          <w:sz w:val="24"/>
          <w:szCs w:val="24"/>
          <w:vertAlign w:val="superscript"/>
          <w:lang w:val="es-ES_tradnl"/>
        </w:rPr>
        <w:t>f</w:t>
      </w:r>
      <w:r w:rsidR="007B7CBF" w:rsidRPr="007B7CBF">
        <w:rPr>
          <w:rFonts w:ascii="Times New Roman" w:hAnsi="Times New Roman"/>
          <w:smallCaps w:val="0"/>
          <w:sz w:val="24"/>
          <w:szCs w:val="24"/>
          <w:lang w:val="es-ES_tradnl"/>
        </w:rPr>
        <w:t>Hospital Sant Joan de Déu, Barcelona</w:t>
      </w:r>
    </w:p>
    <w:p w14:paraId="32003E10" w14:textId="57BF1801" w:rsidR="007B7CBF" w:rsidRDefault="00386B7A" w:rsidP="007B7CBF">
      <w:pPr>
        <w:pStyle w:val="Estilo1"/>
        <w:spacing w:after="0" w:line="480" w:lineRule="auto"/>
        <w:jc w:val="both"/>
        <w:rPr>
          <w:rFonts w:ascii="Times New Roman" w:hAnsi="Times New Roman"/>
          <w:smallCaps w:val="0"/>
          <w:sz w:val="24"/>
          <w:szCs w:val="24"/>
          <w:lang w:val="es-ES_tradnl"/>
        </w:rPr>
      </w:pPr>
      <w:r w:rsidRPr="00386B7A">
        <w:rPr>
          <w:rFonts w:ascii="Times New Roman" w:hAnsi="Times New Roman"/>
          <w:smallCaps w:val="0"/>
          <w:sz w:val="24"/>
          <w:szCs w:val="24"/>
          <w:vertAlign w:val="superscript"/>
          <w:lang w:val="es-ES_tradnl"/>
        </w:rPr>
        <w:t>g</w:t>
      </w:r>
      <w:r w:rsidR="007B7CBF" w:rsidRPr="007B7CBF">
        <w:rPr>
          <w:rFonts w:ascii="Times New Roman" w:hAnsi="Times New Roman"/>
          <w:smallCaps w:val="0"/>
          <w:sz w:val="24"/>
          <w:szCs w:val="24"/>
          <w:lang w:val="es-ES_tradnl"/>
        </w:rPr>
        <w:t>Hospital Infantil Valle de Hebrón, Barcelona</w:t>
      </w:r>
    </w:p>
    <w:p w14:paraId="5908CFE1" w14:textId="421BCBB2" w:rsidR="00386B7A" w:rsidRDefault="00386B7A" w:rsidP="007B7CBF">
      <w:pPr>
        <w:pStyle w:val="Estilo1"/>
        <w:spacing w:after="0" w:line="480" w:lineRule="auto"/>
        <w:jc w:val="both"/>
        <w:rPr>
          <w:rFonts w:ascii="Times New Roman" w:hAnsi="Times New Roman"/>
          <w:smallCaps w:val="0"/>
          <w:sz w:val="24"/>
          <w:szCs w:val="24"/>
          <w:lang w:val="es-ES_tradnl"/>
        </w:rPr>
      </w:pPr>
    </w:p>
    <w:p w14:paraId="4E59C4FA" w14:textId="1A805DF4" w:rsidR="007B7CBF" w:rsidRDefault="00386B7A" w:rsidP="00386B7A">
      <w:pPr>
        <w:pStyle w:val="Estilo1"/>
        <w:spacing w:after="0" w:line="480" w:lineRule="auto"/>
        <w:jc w:val="both"/>
        <w:rPr>
          <w:rFonts w:ascii="Times New Roman" w:hAnsi="Times New Roman"/>
          <w:smallCaps w:val="0"/>
          <w:sz w:val="24"/>
          <w:szCs w:val="24"/>
          <w:lang w:val="es-ES"/>
        </w:rPr>
      </w:pPr>
      <w:r w:rsidRPr="00386B7A">
        <w:rPr>
          <w:rFonts w:ascii="Times New Roman" w:hAnsi="Times New Roman"/>
          <w:b/>
          <w:sz w:val="24"/>
          <w:szCs w:val="24"/>
          <w:vertAlign w:val="superscript"/>
          <w:lang w:val="es-ES_tradnl"/>
        </w:rPr>
        <w:t>◊</w:t>
      </w:r>
      <w:r w:rsidR="007B7CBF" w:rsidRPr="00386B7A">
        <w:rPr>
          <w:rFonts w:ascii="Times New Roman" w:hAnsi="Times New Roman"/>
          <w:smallCaps w:val="0"/>
          <w:sz w:val="24"/>
          <w:szCs w:val="24"/>
          <w:lang w:val="es-ES"/>
        </w:rPr>
        <w:t xml:space="preserve">Presentado y aprobado en el XI Congreso Nacional de la Sociedad Española de Hematología y Oncología Pediátricas, Alicante 31 de Mayo-2 de Junio de 2018. </w:t>
      </w:r>
    </w:p>
    <w:p w14:paraId="0EB0BDA5" w14:textId="31F38491" w:rsidR="007B7CBF" w:rsidRPr="00386B7A" w:rsidRDefault="00386B7A" w:rsidP="00386B7A">
      <w:pPr>
        <w:pStyle w:val="Estilo1"/>
        <w:spacing w:after="0" w:line="480" w:lineRule="auto"/>
        <w:jc w:val="both"/>
        <w:rPr>
          <w:rFonts w:ascii="Times New Roman" w:hAnsi="Times New Roman"/>
          <w:sz w:val="24"/>
          <w:szCs w:val="24"/>
          <w:lang w:val="es-ES"/>
        </w:rPr>
      </w:pPr>
      <w:r>
        <w:rPr>
          <w:rFonts w:ascii="Times New Roman" w:hAnsi="Times New Roman"/>
          <w:smallCaps w:val="0"/>
          <w:sz w:val="24"/>
          <w:szCs w:val="24"/>
          <w:lang w:val="es-ES"/>
        </w:rPr>
        <w:t xml:space="preserve">*Correo electrónico: </w:t>
      </w:r>
      <w:hyperlink r:id="rId7" w:history="1">
        <w:r w:rsidR="007B7CBF" w:rsidRPr="00386B7A">
          <w:rPr>
            <w:rStyle w:val="Hipervnculo"/>
            <w:rFonts w:ascii="Times New Roman" w:hAnsi="Times New Roman"/>
            <w:smallCaps w:val="0"/>
            <w:sz w:val="24"/>
            <w:szCs w:val="24"/>
            <w:lang w:val="es-ES"/>
          </w:rPr>
          <w:t>emonteagudo@aehh.org</w:t>
        </w:r>
      </w:hyperlink>
    </w:p>
    <w:p w14:paraId="2D6811EC" w14:textId="77777777" w:rsidR="007B7CBF" w:rsidRPr="00386B7A" w:rsidRDefault="007B7CBF" w:rsidP="007B7CBF">
      <w:pPr>
        <w:spacing w:after="0" w:line="480" w:lineRule="auto"/>
        <w:jc w:val="both"/>
        <w:rPr>
          <w:rFonts w:ascii="Times New Roman" w:hAnsi="Times New Roman"/>
          <w:sz w:val="24"/>
          <w:szCs w:val="24"/>
          <w:lang w:val="es-ES"/>
        </w:rPr>
      </w:pPr>
    </w:p>
    <w:p w14:paraId="0C84604E" w14:textId="77777777" w:rsidR="007B7CBF" w:rsidRPr="00386B7A" w:rsidRDefault="007B7CBF" w:rsidP="007B7CBF">
      <w:pPr>
        <w:spacing w:after="0" w:line="480" w:lineRule="auto"/>
        <w:jc w:val="both"/>
        <w:rPr>
          <w:rFonts w:ascii="Times New Roman" w:hAnsi="Times New Roman"/>
          <w:sz w:val="24"/>
          <w:szCs w:val="24"/>
          <w:lang w:val="es-ES"/>
        </w:rPr>
      </w:pPr>
    </w:p>
    <w:p w14:paraId="3CA0C67A" w14:textId="77777777" w:rsidR="000318A3" w:rsidRPr="007B7CBF" w:rsidRDefault="000318A3" w:rsidP="007B7CBF">
      <w:pPr>
        <w:spacing w:after="0" w:line="480" w:lineRule="auto"/>
        <w:jc w:val="both"/>
        <w:rPr>
          <w:rFonts w:ascii="Times New Roman" w:hAnsi="Times New Roman"/>
          <w:b/>
          <w:sz w:val="24"/>
          <w:szCs w:val="24"/>
          <w:lang w:val="es-ES_tradnl"/>
        </w:rPr>
      </w:pPr>
    </w:p>
    <w:p w14:paraId="7EEB1075" w14:textId="77777777" w:rsidR="000318A3" w:rsidRPr="007B7CBF" w:rsidRDefault="000318A3" w:rsidP="007B7CBF">
      <w:pPr>
        <w:spacing w:after="0" w:line="480" w:lineRule="auto"/>
        <w:jc w:val="both"/>
        <w:rPr>
          <w:rFonts w:ascii="Times New Roman" w:hAnsi="Times New Roman"/>
          <w:b/>
          <w:sz w:val="24"/>
          <w:szCs w:val="24"/>
          <w:lang w:val="es-ES_tradnl"/>
        </w:rPr>
      </w:pPr>
    </w:p>
    <w:p w14:paraId="1AE3460D" w14:textId="77777777" w:rsidR="000318A3" w:rsidRPr="007B7CBF" w:rsidRDefault="000318A3" w:rsidP="007B7CBF">
      <w:pPr>
        <w:spacing w:after="0" w:line="480" w:lineRule="auto"/>
        <w:jc w:val="both"/>
        <w:rPr>
          <w:rFonts w:ascii="Times New Roman" w:hAnsi="Times New Roman"/>
          <w:b/>
          <w:sz w:val="24"/>
          <w:szCs w:val="24"/>
          <w:lang w:val="es-ES_tradnl"/>
        </w:rPr>
      </w:pPr>
    </w:p>
    <w:p w14:paraId="1C0329C8" w14:textId="77777777" w:rsidR="000318A3" w:rsidRPr="007B7CBF" w:rsidRDefault="000318A3" w:rsidP="007B7CBF">
      <w:pPr>
        <w:spacing w:after="0" w:line="480" w:lineRule="auto"/>
        <w:jc w:val="both"/>
        <w:rPr>
          <w:rFonts w:ascii="Times New Roman" w:hAnsi="Times New Roman"/>
          <w:b/>
          <w:sz w:val="24"/>
          <w:szCs w:val="24"/>
          <w:lang w:val="es-ES_tradnl"/>
        </w:rPr>
      </w:pPr>
    </w:p>
    <w:p w14:paraId="3A6D306E" w14:textId="77777777" w:rsidR="000318A3" w:rsidRPr="007B7CBF" w:rsidRDefault="000318A3" w:rsidP="007B7CBF">
      <w:pPr>
        <w:pStyle w:val="Estilo1"/>
        <w:spacing w:after="0" w:line="480" w:lineRule="auto"/>
        <w:jc w:val="both"/>
        <w:rPr>
          <w:rFonts w:ascii="Times New Roman" w:hAnsi="Times New Roman"/>
          <w:sz w:val="24"/>
          <w:szCs w:val="24"/>
          <w:lang w:val="es-ES_tradnl"/>
        </w:rPr>
      </w:pPr>
    </w:p>
    <w:p w14:paraId="3AFA2F4D" w14:textId="552A17D4" w:rsidR="000318A3" w:rsidRPr="00386B7A" w:rsidRDefault="00386B7A" w:rsidP="007B7CBF">
      <w:pPr>
        <w:spacing w:after="0" w:line="480" w:lineRule="auto"/>
        <w:jc w:val="both"/>
        <w:rPr>
          <w:rFonts w:ascii="Times New Roman" w:hAnsi="Times New Roman"/>
          <w:b/>
          <w:sz w:val="24"/>
          <w:szCs w:val="24"/>
          <w:lang w:val="es-ES"/>
        </w:rPr>
      </w:pPr>
      <w:r w:rsidRPr="00386B7A">
        <w:rPr>
          <w:rFonts w:ascii="Times New Roman" w:hAnsi="Times New Roman"/>
          <w:b/>
          <w:sz w:val="24"/>
          <w:szCs w:val="24"/>
          <w:lang w:val="es-ES"/>
        </w:rPr>
        <w:t>RESUMEN</w:t>
      </w:r>
    </w:p>
    <w:p w14:paraId="2AF56D39" w14:textId="68231C5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La trombocitopenia inmune primaria, anteriormente conocida como púrpura trombocitopénica inmune, es una enfermedad cuyo manejo diagnóstico y terapéutico ha sido siempre controvertido. La Sociedad Española de Hematología y Oncología Pediátricas, a través del grupo de trabajo de la PTI, ha actualizado el documento con las recomendaciones protocolizadas para el diagnóstico y tratamiento de esta enfermedad, basándose en las guías clínicas disponibles actualmente, revisiones bibliográficas, ensayos clínicos y el consenso de sus miembros. El objetivo principal es disminuir la variabilidad clínica en los procedimientos diagnósticos y terapéuticos con el fin de obtener los mejores resultados clínicos</w:t>
      </w:r>
      <w:r w:rsidR="00212418" w:rsidRPr="007B7CBF">
        <w:rPr>
          <w:rFonts w:ascii="Times New Roman" w:hAnsi="Times New Roman"/>
          <w:sz w:val="24"/>
          <w:szCs w:val="24"/>
          <w:lang w:val="es-ES"/>
        </w:rPr>
        <w:t>,</w:t>
      </w:r>
      <w:r w:rsidRPr="007B7CBF">
        <w:rPr>
          <w:rFonts w:ascii="Times New Roman" w:hAnsi="Times New Roman"/>
          <w:sz w:val="24"/>
          <w:szCs w:val="24"/>
          <w:lang w:val="es-ES"/>
        </w:rPr>
        <w:t xml:space="preserve"> </w:t>
      </w:r>
      <w:r w:rsidR="00212418" w:rsidRPr="007B7CBF">
        <w:rPr>
          <w:rFonts w:ascii="Times New Roman" w:hAnsi="Times New Roman"/>
          <w:sz w:val="24"/>
          <w:szCs w:val="24"/>
          <w:lang w:val="es-ES"/>
        </w:rPr>
        <w:t>los mínimos efectos adversos y preservar la calidad de vida.</w:t>
      </w:r>
    </w:p>
    <w:p w14:paraId="5B41742E" w14:textId="51D156F3" w:rsidR="000318A3" w:rsidRPr="007B7CBF" w:rsidRDefault="00386B7A" w:rsidP="007B7CBF">
      <w:pPr>
        <w:spacing w:after="0" w:line="480" w:lineRule="auto"/>
        <w:jc w:val="both"/>
        <w:rPr>
          <w:rFonts w:ascii="Times New Roman" w:hAnsi="Times New Roman"/>
          <w:sz w:val="24"/>
          <w:szCs w:val="24"/>
          <w:lang w:val="es-ES"/>
        </w:rPr>
      </w:pPr>
      <w:r w:rsidRPr="00386B7A">
        <w:rPr>
          <w:rFonts w:ascii="Times New Roman" w:hAnsi="Times New Roman"/>
          <w:b/>
          <w:sz w:val="24"/>
          <w:szCs w:val="24"/>
          <w:lang w:val="es-ES"/>
        </w:rPr>
        <w:t>Palabras clave</w:t>
      </w:r>
      <w:r>
        <w:rPr>
          <w:rFonts w:ascii="Times New Roman" w:hAnsi="Times New Roman"/>
          <w:b/>
          <w:sz w:val="24"/>
          <w:szCs w:val="24"/>
          <w:lang w:val="es-ES"/>
        </w:rPr>
        <w:t xml:space="preserve">: </w:t>
      </w:r>
      <w:r w:rsidR="000318A3" w:rsidRPr="007B7CBF">
        <w:rPr>
          <w:rFonts w:ascii="Times New Roman" w:hAnsi="Times New Roman"/>
          <w:sz w:val="24"/>
          <w:szCs w:val="24"/>
          <w:lang w:val="es-ES"/>
        </w:rPr>
        <w:t>PTI, púrpura trombocitopénica inmune, trombocitopenia inmune primaria, infancia</w:t>
      </w:r>
    </w:p>
    <w:p w14:paraId="428D0C2E" w14:textId="77777777" w:rsidR="00386B7A" w:rsidRPr="00231FB8" w:rsidRDefault="00386B7A" w:rsidP="007B7CBF">
      <w:pPr>
        <w:spacing w:after="0" w:line="480" w:lineRule="auto"/>
        <w:jc w:val="both"/>
        <w:rPr>
          <w:rFonts w:ascii="Times New Roman" w:hAnsi="Times New Roman"/>
          <w:sz w:val="24"/>
          <w:szCs w:val="24"/>
          <w:lang w:val="es-ES"/>
        </w:rPr>
      </w:pPr>
    </w:p>
    <w:p w14:paraId="3BE40D38" w14:textId="77777777" w:rsidR="00386B7A" w:rsidRPr="00231FB8" w:rsidRDefault="00386B7A" w:rsidP="007B7CBF">
      <w:pPr>
        <w:spacing w:after="0" w:line="480" w:lineRule="auto"/>
        <w:jc w:val="both"/>
        <w:rPr>
          <w:rFonts w:ascii="Times New Roman" w:hAnsi="Times New Roman"/>
          <w:b/>
          <w:sz w:val="24"/>
          <w:szCs w:val="24"/>
          <w:lang w:val="es-ES"/>
        </w:rPr>
      </w:pPr>
    </w:p>
    <w:p w14:paraId="2D78F0D6" w14:textId="77777777" w:rsidR="00386B7A" w:rsidRPr="00231FB8" w:rsidRDefault="00386B7A" w:rsidP="007B7CBF">
      <w:pPr>
        <w:spacing w:after="0" w:line="480" w:lineRule="auto"/>
        <w:jc w:val="both"/>
        <w:rPr>
          <w:rFonts w:ascii="Times New Roman" w:hAnsi="Times New Roman"/>
          <w:b/>
          <w:sz w:val="24"/>
          <w:szCs w:val="24"/>
          <w:lang w:val="es-ES"/>
        </w:rPr>
      </w:pPr>
    </w:p>
    <w:p w14:paraId="317E002F" w14:textId="77777777" w:rsidR="00386B7A" w:rsidRPr="00231FB8" w:rsidRDefault="00386B7A" w:rsidP="007B7CBF">
      <w:pPr>
        <w:spacing w:after="0" w:line="480" w:lineRule="auto"/>
        <w:jc w:val="both"/>
        <w:rPr>
          <w:rFonts w:ascii="Times New Roman" w:hAnsi="Times New Roman"/>
          <w:b/>
          <w:sz w:val="24"/>
          <w:szCs w:val="24"/>
          <w:lang w:val="es-ES"/>
        </w:rPr>
      </w:pPr>
    </w:p>
    <w:p w14:paraId="43F99BAB" w14:textId="77777777" w:rsidR="00386B7A" w:rsidRPr="00231FB8" w:rsidRDefault="00386B7A" w:rsidP="007B7CBF">
      <w:pPr>
        <w:spacing w:after="0" w:line="480" w:lineRule="auto"/>
        <w:jc w:val="both"/>
        <w:rPr>
          <w:rFonts w:ascii="Times New Roman" w:hAnsi="Times New Roman"/>
          <w:b/>
          <w:sz w:val="24"/>
          <w:szCs w:val="24"/>
          <w:lang w:val="es-ES"/>
        </w:rPr>
      </w:pPr>
    </w:p>
    <w:p w14:paraId="77E1EA2D" w14:textId="77777777" w:rsidR="00386B7A" w:rsidRPr="00231FB8" w:rsidRDefault="00386B7A" w:rsidP="007B7CBF">
      <w:pPr>
        <w:spacing w:after="0" w:line="480" w:lineRule="auto"/>
        <w:jc w:val="both"/>
        <w:rPr>
          <w:rFonts w:ascii="Times New Roman" w:hAnsi="Times New Roman"/>
          <w:b/>
          <w:sz w:val="24"/>
          <w:szCs w:val="24"/>
          <w:lang w:val="es-ES"/>
        </w:rPr>
      </w:pPr>
    </w:p>
    <w:p w14:paraId="5EFDFA78" w14:textId="77777777" w:rsidR="00386B7A" w:rsidRPr="00231FB8" w:rsidRDefault="00386B7A" w:rsidP="007B7CBF">
      <w:pPr>
        <w:spacing w:after="0" w:line="480" w:lineRule="auto"/>
        <w:jc w:val="both"/>
        <w:rPr>
          <w:rFonts w:ascii="Times New Roman" w:hAnsi="Times New Roman"/>
          <w:b/>
          <w:sz w:val="24"/>
          <w:szCs w:val="24"/>
          <w:lang w:val="es-ES"/>
        </w:rPr>
      </w:pPr>
    </w:p>
    <w:p w14:paraId="2837647C" w14:textId="77777777" w:rsidR="00386B7A" w:rsidRPr="00231FB8" w:rsidRDefault="00386B7A" w:rsidP="007B7CBF">
      <w:pPr>
        <w:spacing w:after="0" w:line="480" w:lineRule="auto"/>
        <w:jc w:val="both"/>
        <w:rPr>
          <w:rFonts w:ascii="Times New Roman" w:hAnsi="Times New Roman"/>
          <w:b/>
          <w:sz w:val="24"/>
          <w:szCs w:val="24"/>
          <w:lang w:val="es-ES"/>
        </w:rPr>
      </w:pPr>
    </w:p>
    <w:p w14:paraId="340E7256" w14:textId="77777777" w:rsidR="00386B7A" w:rsidRPr="00231FB8" w:rsidRDefault="00386B7A" w:rsidP="007B7CBF">
      <w:pPr>
        <w:spacing w:after="0" w:line="480" w:lineRule="auto"/>
        <w:jc w:val="both"/>
        <w:rPr>
          <w:rFonts w:ascii="Times New Roman" w:hAnsi="Times New Roman"/>
          <w:b/>
          <w:sz w:val="24"/>
          <w:szCs w:val="24"/>
          <w:lang w:val="es-ES"/>
        </w:rPr>
      </w:pPr>
    </w:p>
    <w:p w14:paraId="5BEAEE75" w14:textId="77777777" w:rsidR="00386B7A" w:rsidRPr="00231FB8" w:rsidRDefault="00386B7A" w:rsidP="007B7CBF">
      <w:pPr>
        <w:spacing w:after="0" w:line="480" w:lineRule="auto"/>
        <w:jc w:val="both"/>
        <w:rPr>
          <w:rFonts w:ascii="Times New Roman" w:hAnsi="Times New Roman"/>
          <w:b/>
          <w:sz w:val="24"/>
          <w:szCs w:val="24"/>
          <w:lang w:val="es-ES"/>
        </w:rPr>
      </w:pPr>
    </w:p>
    <w:p w14:paraId="2758F3F4" w14:textId="77777777" w:rsidR="00386B7A" w:rsidRPr="00231FB8" w:rsidRDefault="00386B7A" w:rsidP="007B7CBF">
      <w:pPr>
        <w:spacing w:after="0" w:line="480" w:lineRule="auto"/>
        <w:jc w:val="both"/>
        <w:rPr>
          <w:rFonts w:ascii="Times New Roman" w:hAnsi="Times New Roman"/>
          <w:b/>
          <w:sz w:val="24"/>
          <w:szCs w:val="24"/>
          <w:lang w:val="es-ES"/>
        </w:rPr>
      </w:pPr>
    </w:p>
    <w:p w14:paraId="2ACDFE3E" w14:textId="77777777" w:rsidR="00386B7A" w:rsidRPr="00231FB8" w:rsidRDefault="00386B7A" w:rsidP="007B7CBF">
      <w:pPr>
        <w:spacing w:after="0" w:line="480" w:lineRule="auto"/>
        <w:jc w:val="both"/>
        <w:rPr>
          <w:rFonts w:ascii="Times New Roman" w:hAnsi="Times New Roman"/>
          <w:b/>
          <w:sz w:val="24"/>
          <w:szCs w:val="24"/>
          <w:lang w:val="es-ES"/>
        </w:rPr>
      </w:pPr>
    </w:p>
    <w:p w14:paraId="198B3DAB" w14:textId="77777777" w:rsidR="00231FB8" w:rsidRPr="003C7A83" w:rsidRDefault="00231FB8" w:rsidP="00231FB8">
      <w:pPr>
        <w:spacing w:after="0" w:line="480" w:lineRule="auto"/>
        <w:jc w:val="both"/>
        <w:rPr>
          <w:rFonts w:ascii="Times New Roman" w:hAnsi="Times New Roman"/>
          <w:b/>
          <w:sz w:val="24"/>
          <w:szCs w:val="24"/>
        </w:rPr>
      </w:pPr>
      <w:r w:rsidRPr="009F63A6">
        <w:rPr>
          <w:rFonts w:ascii="Times New Roman" w:hAnsi="Times New Roman"/>
          <w:b/>
          <w:sz w:val="24"/>
          <w:szCs w:val="24"/>
        </w:rPr>
        <w:t>PROTOCOL</w:t>
      </w:r>
      <w:r>
        <w:rPr>
          <w:rFonts w:ascii="Times New Roman" w:hAnsi="Times New Roman"/>
          <w:b/>
          <w:sz w:val="24"/>
          <w:szCs w:val="24"/>
        </w:rPr>
        <w:t xml:space="preserve"> FOR THE STUDY AND TREATMENT OF </w:t>
      </w:r>
      <w:r w:rsidRPr="00D647FA">
        <w:rPr>
          <w:rFonts w:ascii="Times New Roman" w:hAnsi="Times New Roman"/>
          <w:b/>
          <w:caps/>
          <w:sz w:val="24"/>
          <w:szCs w:val="24"/>
        </w:rPr>
        <w:t>Primary immune thrombocytopenia</w:t>
      </w:r>
      <w:r>
        <w:rPr>
          <w:rFonts w:ascii="Times New Roman" w:hAnsi="Times New Roman"/>
          <w:b/>
          <w:caps/>
          <w:sz w:val="24"/>
          <w:szCs w:val="24"/>
        </w:rPr>
        <w:t>:</w:t>
      </w:r>
      <w:r w:rsidRPr="009F63A6">
        <w:rPr>
          <w:rFonts w:ascii="Times New Roman" w:hAnsi="Times New Roman"/>
          <w:b/>
          <w:sz w:val="24"/>
          <w:szCs w:val="24"/>
        </w:rPr>
        <w:t xml:space="preserve">  PTI-2018◊</w:t>
      </w:r>
    </w:p>
    <w:p w14:paraId="0DC98657" w14:textId="77777777" w:rsidR="00231FB8" w:rsidRPr="003C7A83" w:rsidRDefault="00231FB8" w:rsidP="00231FB8">
      <w:pPr>
        <w:spacing w:after="0" w:line="480" w:lineRule="auto"/>
        <w:jc w:val="both"/>
        <w:rPr>
          <w:rFonts w:ascii="Times New Roman" w:hAnsi="Times New Roman"/>
          <w:b/>
          <w:sz w:val="24"/>
          <w:szCs w:val="24"/>
        </w:rPr>
      </w:pPr>
      <w:r w:rsidRPr="003C7A83">
        <w:rPr>
          <w:rFonts w:ascii="Times New Roman" w:hAnsi="Times New Roman"/>
          <w:b/>
          <w:sz w:val="24"/>
          <w:szCs w:val="24"/>
        </w:rPr>
        <w:t>ABSTRACT</w:t>
      </w:r>
    </w:p>
    <w:p w14:paraId="07337A72" w14:textId="77777777" w:rsidR="00231FB8" w:rsidRPr="003C7A83" w:rsidRDefault="00231FB8" w:rsidP="00231FB8">
      <w:pPr>
        <w:spacing w:after="0" w:line="480" w:lineRule="auto"/>
        <w:jc w:val="both"/>
        <w:rPr>
          <w:rFonts w:ascii="Times New Roman" w:hAnsi="Times New Roman"/>
          <w:sz w:val="24"/>
          <w:szCs w:val="24"/>
        </w:rPr>
      </w:pPr>
      <w:r w:rsidRPr="003C7A83">
        <w:rPr>
          <w:rFonts w:ascii="Times New Roman" w:hAnsi="Times New Roman"/>
          <w:sz w:val="24"/>
          <w:szCs w:val="24"/>
        </w:rPr>
        <w:t>Primary immune t</w:t>
      </w:r>
      <w:r>
        <w:rPr>
          <w:rFonts w:ascii="Times New Roman" w:hAnsi="Times New Roman"/>
          <w:sz w:val="24"/>
          <w:szCs w:val="24"/>
        </w:rPr>
        <w:t>h</w:t>
      </w:r>
      <w:r w:rsidRPr="003C7A83">
        <w:rPr>
          <w:rFonts w:ascii="Times New Roman" w:hAnsi="Times New Roman"/>
          <w:sz w:val="24"/>
          <w:szCs w:val="24"/>
        </w:rPr>
        <w:t>romboc</w:t>
      </w:r>
      <w:r>
        <w:rPr>
          <w:rFonts w:ascii="Times New Roman" w:hAnsi="Times New Roman"/>
          <w:sz w:val="24"/>
          <w:szCs w:val="24"/>
        </w:rPr>
        <w:t>y</w:t>
      </w:r>
      <w:r w:rsidRPr="003C7A83">
        <w:rPr>
          <w:rFonts w:ascii="Times New Roman" w:hAnsi="Times New Roman"/>
          <w:sz w:val="24"/>
          <w:szCs w:val="24"/>
        </w:rPr>
        <w:t>topenia</w:t>
      </w:r>
      <w:r>
        <w:rPr>
          <w:rFonts w:ascii="Times New Roman" w:hAnsi="Times New Roman"/>
          <w:sz w:val="24"/>
          <w:szCs w:val="24"/>
        </w:rPr>
        <w:t xml:space="preserve"> (ITP)</w:t>
      </w:r>
      <w:r w:rsidRPr="003C7A83">
        <w:rPr>
          <w:rFonts w:ascii="Times New Roman" w:hAnsi="Times New Roman"/>
          <w:sz w:val="24"/>
          <w:szCs w:val="24"/>
        </w:rPr>
        <w:t xml:space="preserve">, formerly known as immune thrombocytopenic purpura, is a disease </w:t>
      </w:r>
      <w:r>
        <w:rPr>
          <w:rFonts w:ascii="Times New Roman" w:hAnsi="Times New Roman"/>
          <w:sz w:val="24"/>
          <w:szCs w:val="24"/>
        </w:rPr>
        <w:t>for which the</w:t>
      </w:r>
      <w:r w:rsidRPr="003C7A83">
        <w:rPr>
          <w:rFonts w:ascii="Times New Roman" w:hAnsi="Times New Roman"/>
          <w:sz w:val="24"/>
          <w:szCs w:val="24"/>
        </w:rPr>
        <w:t xml:space="preserve"> clinical and therapeutic management has been always controversial. The ITP work group of the Spanish Society of P</w:t>
      </w:r>
      <w:r>
        <w:rPr>
          <w:rFonts w:ascii="Times New Roman" w:hAnsi="Times New Roman"/>
          <w:sz w:val="24"/>
          <w:szCs w:val="24"/>
        </w:rPr>
        <w:t>a</w:t>
      </w:r>
      <w:r w:rsidRPr="003C7A83">
        <w:rPr>
          <w:rFonts w:ascii="Times New Roman" w:hAnsi="Times New Roman"/>
          <w:sz w:val="24"/>
          <w:szCs w:val="24"/>
        </w:rPr>
        <w:t>ediatric H</w:t>
      </w:r>
      <w:r>
        <w:rPr>
          <w:rFonts w:ascii="Times New Roman" w:hAnsi="Times New Roman"/>
          <w:sz w:val="24"/>
          <w:szCs w:val="24"/>
        </w:rPr>
        <w:t>a</w:t>
      </w:r>
      <w:r w:rsidRPr="003C7A83">
        <w:rPr>
          <w:rFonts w:ascii="Times New Roman" w:hAnsi="Times New Roman"/>
          <w:sz w:val="24"/>
          <w:szCs w:val="24"/>
        </w:rPr>
        <w:t xml:space="preserve">ematology and Oncology has updated </w:t>
      </w:r>
      <w:r>
        <w:rPr>
          <w:rFonts w:ascii="Times New Roman" w:hAnsi="Times New Roman"/>
          <w:sz w:val="24"/>
          <w:szCs w:val="24"/>
        </w:rPr>
        <w:t>its</w:t>
      </w:r>
      <w:r w:rsidRPr="003C7A83">
        <w:rPr>
          <w:rFonts w:ascii="Times New Roman" w:hAnsi="Times New Roman"/>
          <w:sz w:val="24"/>
          <w:szCs w:val="24"/>
        </w:rPr>
        <w:t xml:space="preserve"> guidelines for diagnosis and treatment of ITP in children</w:t>
      </w:r>
      <w:r>
        <w:rPr>
          <w:rFonts w:ascii="Times New Roman" w:hAnsi="Times New Roman"/>
          <w:sz w:val="24"/>
          <w:szCs w:val="24"/>
        </w:rPr>
        <w:t>,</w:t>
      </w:r>
      <w:r w:rsidRPr="003C7A83">
        <w:rPr>
          <w:rFonts w:ascii="Times New Roman" w:hAnsi="Times New Roman"/>
          <w:sz w:val="24"/>
          <w:szCs w:val="24"/>
        </w:rPr>
        <w:t xml:space="preserve"> based on current guidelines, bibliographic review, clinical assays</w:t>
      </w:r>
      <w:r>
        <w:rPr>
          <w:rFonts w:ascii="Times New Roman" w:hAnsi="Times New Roman"/>
          <w:sz w:val="24"/>
          <w:szCs w:val="24"/>
        </w:rPr>
        <w:t>,</w:t>
      </w:r>
      <w:r w:rsidRPr="003C7A83">
        <w:rPr>
          <w:rFonts w:ascii="Times New Roman" w:hAnsi="Times New Roman"/>
          <w:sz w:val="24"/>
          <w:szCs w:val="24"/>
        </w:rPr>
        <w:t xml:space="preserve"> and member consensus. </w:t>
      </w:r>
      <w:r>
        <w:rPr>
          <w:rFonts w:ascii="Times New Roman" w:hAnsi="Times New Roman"/>
          <w:sz w:val="24"/>
          <w:szCs w:val="24"/>
        </w:rPr>
        <w:t>The m</w:t>
      </w:r>
      <w:r w:rsidRPr="003C7A83">
        <w:rPr>
          <w:rFonts w:ascii="Times New Roman" w:hAnsi="Times New Roman"/>
          <w:sz w:val="24"/>
          <w:szCs w:val="24"/>
        </w:rPr>
        <w:t xml:space="preserve">ain objective </w:t>
      </w:r>
      <w:r>
        <w:rPr>
          <w:rFonts w:ascii="Times New Roman" w:hAnsi="Times New Roman"/>
          <w:sz w:val="24"/>
          <w:szCs w:val="24"/>
        </w:rPr>
        <w:t>is</w:t>
      </w:r>
      <w:r w:rsidRPr="003C7A83">
        <w:rPr>
          <w:rFonts w:ascii="Times New Roman" w:hAnsi="Times New Roman"/>
          <w:sz w:val="24"/>
          <w:szCs w:val="24"/>
        </w:rPr>
        <w:t xml:space="preserve"> to reduce clinical variability in diagnostic and therapeutic procedures</w:t>
      </w:r>
      <w:r>
        <w:rPr>
          <w:rFonts w:ascii="Times New Roman" w:hAnsi="Times New Roman"/>
          <w:sz w:val="24"/>
          <w:szCs w:val="24"/>
        </w:rPr>
        <w:t>,</w:t>
      </w:r>
      <w:r w:rsidRPr="003C7A83">
        <w:rPr>
          <w:rFonts w:ascii="Times New Roman" w:hAnsi="Times New Roman"/>
          <w:sz w:val="24"/>
          <w:szCs w:val="24"/>
        </w:rPr>
        <w:t xml:space="preserve"> in order to obtain best clinical results with minimal adverse events and good quality of life.</w:t>
      </w:r>
    </w:p>
    <w:p w14:paraId="5CED1BCA" w14:textId="77777777" w:rsidR="00231FB8" w:rsidRPr="003C7A83" w:rsidRDefault="00231FB8" w:rsidP="00231FB8">
      <w:pPr>
        <w:spacing w:after="0" w:line="480" w:lineRule="auto"/>
        <w:jc w:val="both"/>
        <w:rPr>
          <w:rFonts w:ascii="Times New Roman" w:hAnsi="Times New Roman"/>
          <w:sz w:val="24"/>
          <w:szCs w:val="24"/>
        </w:rPr>
      </w:pPr>
      <w:r w:rsidRPr="003C7A83">
        <w:rPr>
          <w:rFonts w:ascii="Times New Roman" w:hAnsi="Times New Roman"/>
          <w:b/>
          <w:sz w:val="24"/>
          <w:szCs w:val="24"/>
        </w:rPr>
        <w:t xml:space="preserve">Keywords: </w:t>
      </w:r>
      <w:r w:rsidRPr="003C7A83">
        <w:rPr>
          <w:rFonts w:ascii="Times New Roman" w:hAnsi="Times New Roman"/>
          <w:sz w:val="24"/>
          <w:szCs w:val="24"/>
        </w:rPr>
        <w:t>ITP, immune thrombocytopenic purpura, primary immune thrombocytopenia, children</w:t>
      </w:r>
    </w:p>
    <w:p w14:paraId="0F4FECF4" w14:textId="77777777" w:rsidR="00231FB8" w:rsidRDefault="00231FB8" w:rsidP="00231FB8">
      <w:pPr>
        <w:spacing w:after="0" w:line="480" w:lineRule="auto"/>
        <w:jc w:val="both"/>
        <w:rPr>
          <w:rFonts w:ascii="Times New Roman" w:hAnsi="Times New Roman"/>
          <w:sz w:val="24"/>
          <w:szCs w:val="24"/>
        </w:rPr>
      </w:pPr>
    </w:p>
    <w:p w14:paraId="5E91BED6" w14:textId="77777777" w:rsidR="002E7F16" w:rsidRPr="007B7CBF" w:rsidRDefault="002E7F16" w:rsidP="007B7CBF">
      <w:pPr>
        <w:spacing w:after="0" w:line="480" w:lineRule="auto"/>
        <w:jc w:val="both"/>
        <w:rPr>
          <w:rFonts w:ascii="Times New Roman" w:hAnsi="Times New Roman"/>
          <w:sz w:val="24"/>
          <w:szCs w:val="24"/>
        </w:rPr>
      </w:pPr>
      <w:bookmarkStart w:id="0" w:name="_GoBack"/>
      <w:bookmarkEnd w:id="0"/>
    </w:p>
    <w:p w14:paraId="0124C8CC" w14:textId="77777777" w:rsidR="00386B7A" w:rsidRDefault="00386B7A" w:rsidP="007B7CBF">
      <w:pPr>
        <w:spacing w:after="0" w:line="480" w:lineRule="auto"/>
        <w:jc w:val="both"/>
        <w:rPr>
          <w:rFonts w:ascii="Times New Roman" w:hAnsi="Times New Roman"/>
          <w:sz w:val="24"/>
          <w:szCs w:val="24"/>
        </w:rPr>
      </w:pPr>
    </w:p>
    <w:p w14:paraId="2BD342F8" w14:textId="77777777" w:rsidR="00386B7A" w:rsidRPr="00231FB8" w:rsidRDefault="00386B7A" w:rsidP="007B7CBF">
      <w:pPr>
        <w:spacing w:after="0" w:line="480" w:lineRule="auto"/>
        <w:jc w:val="both"/>
        <w:rPr>
          <w:rFonts w:ascii="Times New Roman" w:hAnsi="Times New Roman"/>
          <w:sz w:val="24"/>
          <w:szCs w:val="24"/>
        </w:rPr>
      </w:pPr>
    </w:p>
    <w:p w14:paraId="0452EEEF" w14:textId="77777777" w:rsidR="00386B7A" w:rsidRPr="00231FB8" w:rsidRDefault="00386B7A" w:rsidP="007B7CBF">
      <w:pPr>
        <w:spacing w:after="0" w:line="480" w:lineRule="auto"/>
        <w:jc w:val="both"/>
        <w:rPr>
          <w:rFonts w:ascii="Times New Roman" w:hAnsi="Times New Roman"/>
          <w:sz w:val="24"/>
          <w:szCs w:val="24"/>
        </w:rPr>
      </w:pPr>
    </w:p>
    <w:p w14:paraId="629011B5" w14:textId="77777777" w:rsidR="00386B7A" w:rsidRPr="00231FB8" w:rsidRDefault="00386B7A" w:rsidP="007B7CBF">
      <w:pPr>
        <w:spacing w:after="0" w:line="480" w:lineRule="auto"/>
        <w:jc w:val="both"/>
        <w:rPr>
          <w:rFonts w:ascii="Times New Roman" w:hAnsi="Times New Roman"/>
          <w:sz w:val="24"/>
          <w:szCs w:val="24"/>
        </w:rPr>
      </w:pPr>
    </w:p>
    <w:p w14:paraId="5AD2B2A4" w14:textId="77777777" w:rsidR="00386B7A" w:rsidRPr="00231FB8" w:rsidRDefault="00386B7A" w:rsidP="007B7CBF">
      <w:pPr>
        <w:spacing w:after="0" w:line="480" w:lineRule="auto"/>
        <w:jc w:val="both"/>
        <w:rPr>
          <w:rFonts w:ascii="Times New Roman" w:hAnsi="Times New Roman"/>
          <w:sz w:val="24"/>
          <w:szCs w:val="24"/>
        </w:rPr>
      </w:pPr>
    </w:p>
    <w:p w14:paraId="341F4E7D" w14:textId="77777777" w:rsidR="00386B7A" w:rsidRPr="00231FB8" w:rsidRDefault="00386B7A" w:rsidP="007B7CBF">
      <w:pPr>
        <w:spacing w:after="0" w:line="480" w:lineRule="auto"/>
        <w:jc w:val="both"/>
        <w:rPr>
          <w:rFonts w:ascii="Times New Roman" w:hAnsi="Times New Roman"/>
          <w:sz w:val="24"/>
          <w:szCs w:val="24"/>
        </w:rPr>
      </w:pPr>
    </w:p>
    <w:p w14:paraId="5E3CE5ED" w14:textId="77777777" w:rsidR="00386B7A" w:rsidRPr="00231FB8" w:rsidRDefault="00386B7A" w:rsidP="007B7CBF">
      <w:pPr>
        <w:spacing w:after="0" w:line="480" w:lineRule="auto"/>
        <w:jc w:val="both"/>
        <w:rPr>
          <w:rFonts w:ascii="Times New Roman" w:hAnsi="Times New Roman"/>
          <w:sz w:val="24"/>
          <w:szCs w:val="24"/>
        </w:rPr>
      </w:pPr>
    </w:p>
    <w:p w14:paraId="76ED24CE" w14:textId="77777777" w:rsidR="00386B7A" w:rsidRPr="00231FB8" w:rsidRDefault="00386B7A" w:rsidP="007B7CBF">
      <w:pPr>
        <w:spacing w:after="0" w:line="480" w:lineRule="auto"/>
        <w:jc w:val="both"/>
        <w:rPr>
          <w:rFonts w:ascii="Times New Roman" w:hAnsi="Times New Roman"/>
          <w:sz w:val="24"/>
          <w:szCs w:val="24"/>
        </w:rPr>
      </w:pPr>
    </w:p>
    <w:p w14:paraId="4C761D09" w14:textId="77777777" w:rsidR="00386B7A" w:rsidRPr="00231FB8" w:rsidRDefault="00386B7A" w:rsidP="007B7CBF">
      <w:pPr>
        <w:spacing w:after="0" w:line="480" w:lineRule="auto"/>
        <w:jc w:val="both"/>
        <w:rPr>
          <w:rFonts w:ascii="Times New Roman" w:hAnsi="Times New Roman"/>
          <w:sz w:val="24"/>
          <w:szCs w:val="24"/>
        </w:rPr>
      </w:pPr>
    </w:p>
    <w:p w14:paraId="6A280463" w14:textId="77777777" w:rsidR="00386B7A" w:rsidRPr="00231FB8" w:rsidRDefault="00386B7A" w:rsidP="007B7CBF">
      <w:pPr>
        <w:spacing w:after="0" w:line="480" w:lineRule="auto"/>
        <w:jc w:val="both"/>
        <w:rPr>
          <w:rFonts w:ascii="Times New Roman" w:hAnsi="Times New Roman"/>
          <w:sz w:val="24"/>
          <w:szCs w:val="24"/>
        </w:rPr>
      </w:pPr>
    </w:p>
    <w:p w14:paraId="74A9B86E" w14:textId="77777777" w:rsidR="00386B7A" w:rsidRPr="00231FB8" w:rsidRDefault="00386B7A" w:rsidP="007B7CBF">
      <w:pPr>
        <w:spacing w:after="0" w:line="480" w:lineRule="auto"/>
        <w:jc w:val="both"/>
        <w:rPr>
          <w:rFonts w:ascii="Times New Roman" w:hAnsi="Times New Roman"/>
          <w:sz w:val="24"/>
          <w:szCs w:val="24"/>
        </w:rPr>
      </w:pPr>
    </w:p>
    <w:p w14:paraId="02A3E882" w14:textId="77777777" w:rsidR="00386B7A" w:rsidRPr="00231FB8" w:rsidRDefault="00386B7A" w:rsidP="007B7CBF">
      <w:pPr>
        <w:spacing w:after="0" w:line="480" w:lineRule="auto"/>
        <w:jc w:val="both"/>
        <w:rPr>
          <w:rFonts w:ascii="Times New Roman" w:hAnsi="Times New Roman"/>
          <w:sz w:val="24"/>
          <w:szCs w:val="24"/>
        </w:rPr>
      </w:pPr>
    </w:p>
    <w:p w14:paraId="062F72C2" w14:textId="0F6948FA" w:rsidR="000318A3" w:rsidRPr="00386B7A" w:rsidRDefault="00386B7A" w:rsidP="007B7CBF">
      <w:pPr>
        <w:spacing w:after="0" w:line="480" w:lineRule="auto"/>
        <w:jc w:val="both"/>
        <w:rPr>
          <w:rFonts w:ascii="Times New Roman" w:hAnsi="Times New Roman"/>
          <w:b/>
          <w:sz w:val="24"/>
          <w:szCs w:val="24"/>
          <w:lang w:val="es-ES"/>
        </w:rPr>
      </w:pPr>
      <w:r w:rsidRPr="00386B7A">
        <w:rPr>
          <w:rFonts w:ascii="Times New Roman" w:hAnsi="Times New Roman"/>
          <w:b/>
          <w:sz w:val="24"/>
          <w:szCs w:val="24"/>
          <w:lang w:val="es-ES"/>
        </w:rPr>
        <w:t>ABREVIATURAS</w:t>
      </w:r>
    </w:p>
    <w:p w14:paraId="65523844"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PTI:  púrpura trombocitopénica inmune, trombocitopenia inmune primaria</w:t>
      </w:r>
    </w:p>
    <w:p w14:paraId="1E4586F6"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SEHOP: Sociedad Española de Hematología y Oncología Pediátricas</w:t>
      </w:r>
    </w:p>
    <w:p w14:paraId="6C574150"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TP: tiempo de protrombina </w:t>
      </w:r>
    </w:p>
    <w:p w14:paraId="6A7191DF"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TTPA: tiempo de tromboplastina parcial activado</w:t>
      </w:r>
    </w:p>
    <w:p w14:paraId="21F602F0"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CMV: citomegalovirus </w:t>
      </w:r>
    </w:p>
    <w:p w14:paraId="75DB6C61"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EBV: virus de Epstein Barr</w:t>
      </w:r>
    </w:p>
    <w:p w14:paraId="7DD9B21B"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VIH: virus de la inmunodeficiencia humana</w:t>
      </w:r>
    </w:p>
    <w:p w14:paraId="2392B32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IGIV: inmunoglobulinas intravenosas</w:t>
      </w:r>
    </w:p>
    <w:p w14:paraId="4DF027C0" w14:textId="77777777" w:rsidR="000318A3" w:rsidRPr="00231FB8" w:rsidRDefault="000318A3" w:rsidP="007B7CBF">
      <w:pPr>
        <w:spacing w:after="0" w:line="480" w:lineRule="auto"/>
        <w:jc w:val="both"/>
        <w:rPr>
          <w:rFonts w:ascii="Times New Roman" w:hAnsi="Times New Roman"/>
          <w:sz w:val="24"/>
          <w:szCs w:val="24"/>
        </w:rPr>
      </w:pPr>
      <w:r w:rsidRPr="00231FB8">
        <w:rPr>
          <w:rFonts w:ascii="Times New Roman" w:hAnsi="Times New Roman"/>
          <w:sz w:val="24"/>
          <w:szCs w:val="24"/>
        </w:rPr>
        <w:t>Ig-anti D: inmunoglobulina  anti D</w:t>
      </w:r>
    </w:p>
    <w:p w14:paraId="0561ABA7" w14:textId="77777777" w:rsidR="00AA5366" w:rsidRPr="00231FB8" w:rsidRDefault="00AA5366" w:rsidP="007B7CBF">
      <w:pPr>
        <w:pStyle w:val="Estilo1"/>
        <w:spacing w:after="0" w:line="480" w:lineRule="auto"/>
        <w:jc w:val="both"/>
        <w:outlineLvl w:val="0"/>
        <w:rPr>
          <w:rFonts w:ascii="Times New Roman" w:hAnsi="Times New Roman"/>
          <w:sz w:val="24"/>
          <w:szCs w:val="24"/>
        </w:rPr>
      </w:pPr>
    </w:p>
    <w:p w14:paraId="7BAF5026"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6EA3DEF5"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54965D59"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2809EC2A"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1D644675"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4A41525C"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1DBDCA05"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21205725"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76698714"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667D1B4F"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1B5F14E6"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1625C148"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319F278D" w14:textId="77777777" w:rsidR="00386B7A" w:rsidRPr="00231FB8" w:rsidRDefault="00386B7A" w:rsidP="007B7CBF">
      <w:pPr>
        <w:pStyle w:val="Estilo1"/>
        <w:spacing w:after="0" w:line="480" w:lineRule="auto"/>
        <w:jc w:val="both"/>
        <w:outlineLvl w:val="0"/>
        <w:rPr>
          <w:rFonts w:ascii="Times New Roman" w:hAnsi="Times New Roman"/>
          <w:sz w:val="24"/>
          <w:szCs w:val="24"/>
        </w:rPr>
      </w:pPr>
    </w:p>
    <w:p w14:paraId="4A5592B5" w14:textId="41749C5B" w:rsidR="000318A3" w:rsidRPr="00386B7A" w:rsidRDefault="000318A3" w:rsidP="007B7CBF">
      <w:pPr>
        <w:pStyle w:val="Estilo1"/>
        <w:spacing w:after="0" w:line="480" w:lineRule="auto"/>
        <w:jc w:val="both"/>
        <w:outlineLvl w:val="0"/>
        <w:rPr>
          <w:rFonts w:ascii="Times New Roman" w:hAnsi="Times New Roman"/>
          <w:b/>
          <w:sz w:val="24"/>
          <w:szCs w:val="24"/>
          <w:lang w:val="es-ES_tradnl"/>
        </w:rPr>
      </w:pPr>
      <w:r w:rsidRPr="00386B7A">
        <w:rPr>
          <w:rFonts w:ascii="Times New Roman" w:hAnsi="Times New Roman"/>
          <w:b/>
          <w:sz w:val="24"/>
          <w:szCs w:val="24"/>
          <w:lang w:val="es-ES_tradnl"/>
        </w:rPr>
        <w:t>INTRODUCCIÓN</w:t>
      </w:r>
    </w:p>
    <w:p w14:paraId="4FE9FB93"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La Trombocitopenia Inmune Primaria (PTI) es una enfermedad caracterizada por la presentación habitualmente aguda de una trombocitopenia esencialmente periférica con valores inferiores a 100.000 plaquetas/μL, en niños que carecen de antecedente u otra patología que explique dicha citopenia, con manifestaciones hemorrágicas exclusivamente (generalmente púrpura) o asintomáticos,  que se debe a un mecanismo autoinmune</w:t>
      </w:r>
      <w:r w:rsidRPr="007B7CBF">
        <w:rPr>
          <w:rFonts w:ascii="Times New Roman" w:hAnsi="Times New Roman"/>
          <w:noProof/>
          <w:sz w:val="24"/>
          <w:szCs w:val="24"/>
          <w:lang w:val="es-ES_tradnl"/>
        </w:rPr>
        <w:t>(1)</w:t>
      </w:r>
      <w:r w:rsidRPr="007B7CBF">
        <w:rPr>
          <w:rFonts w:ascii="Times New Roman" w:hAnsi="Times New Roman"/>
          <w:sz w:val="24"/>
          <w:szCs w:val="24"/>
          <w:lang w:val="es-ES_tradnl"/>
        </w:rPr>
        <w:t xml:space="preserve"> .  La incidencia anual es de 1/10.000 niños con un pico entre los 2 y 4 años, no parece haber diferencias debidas al sexo. Suele existir antecedente de infección viral o vacunación  1-3 semanas antes.</w:t>
      </w:r>
    </w:p>
    <w:p w14:paraId="5E651DBA"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El eje central en la etiopatogenia de la PTI es la pérdida de la tolerancia inmunológica hacia los antígenos específicos de las plaquetas. Inicialmente se documentó y estaba asentado el papel del brazo efector humoral (auto anticuerpos específicos) sobre las plaquetas en la patogénesis de la enfermedad, pero con el avance en los conocimientos de la inmunología y las aplicaciones al conocimiento de la PTI se ha observado la importancia que tiene la inmunidad celular de forma directa e indirecta a través de la cooperación T-B. Igualmente, siempre se ha considerado que la trombocitopenia era consecuencia de la destrucción periférica exclusiva de plaquetas, pero en la actualidad se cree que por lo menos en un porcentaje de casos existe afectación en la megacariocitopoyesis, lo que explicaría la ausencia de hiperplasia megacariocítica que se observa en algunos niños y la respuesta al tratamiento con análogos de la trombopoyetina.</w:t>
      </w:r>
    </w:p>
    <w:p w14:paraId="683254EA" w14:textId="0D8F2BC3"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En Marzo 2009 se publicaron las recomendaciones de estandarización de la terminología, definiciones y criterios de respuesta de la PTI para adultos y niños. Se </w:t>
      </w:r>
      <w:r w:rsidRPr="007B7CBF">
        <w:rPr>
          <w:rFonts w:ascii="Times New Roman" w:hAnsi="Times New Roman"/>
          <w:sz w:val="24"/>
          <w:szCs w:val="24"/>
          <w:lang w:val="es-ES_tradnl"/>
        </w:rPr>
        <w:lastRenderedPageBreak/>
        <w:t>elimina el término de púrpura porque el sangrado cutáneo o mucoso está ausente o es mínimo en algunos pacientes. Se mantiene el acrónimo ITP (Immune ThrombocytoPenia) y PTI en castellano, por su amplia difusión y utilización previa</w:t>
      </w:r>
      <w:r w:rsidRPr="007B7CBF">
        <w:rPr>
          <w:rFonts w:ascii="Times New Roman" w:hAnsi="Times New Roman"/>
          <w:noProof/>
          <w:sz w:val="24"/>
          <w:szCs w:val="24"/>
          <w:lang w:val="es-ES_tradnl"/>
        </w:rPr>
        <w:t>(1)</w:t>
      </w:r>
      <w:r w:rsidRPr="007B7CBF">
        <w:rPr>
          <w:rFonts w:ascii="Times New Roman" w:hAnsi="Times New Roman"/>
          <w:sz w:val="24"/>
          <w:szCs w:val="24"/>
          <w:lang w:val="es-ES_tradnl"/>
        </w:rPr>
        <w:t xml:space="preserve">. </w:t>
      </w:r>
    </w:p>
    <w:p w14:paraId="6DF087DF"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En este consenso también se establece el nivel de corte de la cifra de plaquetas en  100.000/μL  para el diagnóstico de PTI, por los recuentos frecuentes entre  100.000 y 150.000/μL en individuos sanos y  embarazadas.  La clasificación se modifica atendiendo a la historia natural de la PTI en la infancia, en la que aproximadamente dos tercios se recuperan espontáneamente en los primeros 6 meses y la posibilidad de remisión es alta entre los 3 y 12 meses</w:t>
      </w:r>
      <w:r w:rsidRPr="007B7CBF">
        <w:rPr>
          <w:rFonts w:ascii="Times New Roman" w:hAnsi="Times New Roman"/>
          <w:noProof/>
          <w:sz w:val="24"/>
          <w:szCs w:val="24"/>
          <w:lang w:val="es-ES_tradnl"/>
        </w:rPr>
        <w:t>(2)</w:t>
      </w:r>
      <w:r w:rsidRPr="007B7CBF">
        <w:rPr>
          <w:rFonts w:ascii="Times New Roman" w:hAnsi="Times New Roman"/>
          <w:sz w:val="24"/>
          <w:szCs w:val="24"/>
          <w:lang w:val="es-ES_tradnl"/>
        </w:rPr>
        <w:t xml:space="preserve">, e incluso puede ser más tardía. </w:t>
      </w:r>
    </w:p>
    <w:p w14:paraId="3F99614F" w14:textId="76168EDF"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Posteriormente, en enero 2010 se publicó el consenso internacional para el diagnóstico y manejo de la PTI</w:t>
      </w:r>
      <w:r w:rsidRPr="007B7CBF">
        <w:rPr>
          <w:rFonts w:ascii="Times New Roman" w:hAnsi="Times New Roman"/>
          <w:noProof/>
          <w:sz w:val="24"/>
          <w:szCs w:val="24"/>
          <w:lang w:val="es-ES_tradnl"/>
        </w:rPr>
        <w:t>(3)</w:t>
      </w:r>
      <w:r w:rsidRPr="007B7CBF">
        <w:rPr>
          <w:rFonts w:ascii="Times New Roman" w:hAnsi="Times New Roman"/>
          <w:sz w:val="24"/>
          <w:szCs w:val="24"/>
          <w:lang w:val="es-ES_tradnl"/>
        </w:rPr>
        <w:t>. El diagnós</w:t>
      </w:r>
      <w:r w:rsidR="00BC74A1" w:rsidRPr="007B7CBF">
        <w:rPr>
          <w:rFonts w:ascii="Times New Roman" w:hAnsi="Times New Roman"/>
          <w:sz w:val="24"/>
          <w:szCs w:val="24"/>
          <w:lang w:val="es-ES_tradnl"/>
        </w:rPr>
        <w:t xml:space="preserve">tico sigue siendo de exclusión. </w:t>
      </w:r>
      <w:r w:rsidRPr="007B7CBF">
        <w:rPr>
          <w:rFonts w:ascii="Times New Roman" w:hAnsi="Times New Roman"/>
          <w:sz w:val="24"/>
          <w:szCs w:val="24"/>
          <w:lang w:val="es-ES_tradnl"/>
        </w:rPr>
        <w:t>El principal problema  es el riesgo aumentado de hemorragia.  No  existe una correlación exacta entre la cifra de plaquetas y las manifestaciones hemorrágicas, aunque éstas son más frecuentes por debajo de 10.000/μL. La mayoría de los pacientes están asintomáticos o tienen petequias, hematomas o equimosis aislados en piel o mucosas</w:t>
      </w:r>
      <w:r w:rsidRPr="007B7CBF">
        <w:rPr>
          <w:rFonts w:ascii="Times New Roman" w:hAnsi="Times New Roman"/>
          <w:noProof/>
          <w:sz w:val="24"/>
          <w:szCs w:val="24"/>
          <w:lang w:val="es-ES_tradnl"/>
        </w:rPr>
        <w:t>(4, 5)</w:t>
      </w:r>
      <w:r w:rsidRPr="007B7CBF">
        <w:rPr>
          <w:rFonts w:ascii="Times New Roman" w:hAnsi="Times New Roman"/>
          <w:sz w:val="24"/>
          <w:szCs w:val="24"/>
          <w:lang w:val="es-ES_tradnl"/>
        </w:rPr>
        <w:t xml:space="preserve">. Sin embargo, algunos casos  pueden sufrir hemorragias más graves  a nivel cutáneo, mucoso, gastrointestinal o incluso intracraneal (0,1-0,5%) </w:t>
      </w:r>
      <w:r w:rsidRPr="007B7CBF">
        <w:rPr>
          <w:rFonts w:ascii="Times New Roman" w:hAnsi="Times New Roman"/>
          <w:noProof/>
          <w:sz w:val="24"/>
          <w:szCs w:val="24"/>
          <w:lang w:val="es-ES_tradnl"/>
        </w:rPr>
        <w:t>(6-9)</w:t>
      </w:r>
      <w:r w:rsidRPr="007B7CBF">
        <w:rPr>
          <w:rFonts w:ascii="Times New Roman" w:hAnsi="Times New Roman"/>
          <w:sz w:val="24"/>
          <w:szCs w:val="24"/>
          <w:lang w:val="es-ES_tradnl"/>
        </w:rPr>
        <w:t xml:space="preserve">. </w:t>
      </w:r>
    </w:p>
    <w:p w14:paraId="28E49190" w14:textId="4FB0144A" w:rsidR="000318A3" w:rsidRPr="007B7CBF" w:rsidRDefault="000318A3" w:rsidP="007B7CBF">
      <w:pPr>
        <w:spacing w:after="0" w:line="480" w:lineRule="auto"/>
        <w:jc w:val="both"/>
        <w:rPr>
          <w:rFonts w:ascii="Times New Roman" w:hAnsi="Times New Roman"/>
          <w:strike/>
          <w:sz w:val="24"/>
          <w:szCs w:val="24"/>
          <w:lang w:val="es-ES_tradnl"/>
        </w:rPr>
      </w:pPr>
      <w:r w:rsidRPr="007B7CBF">
        <w:rPr>
          <w:rFonts w:ascii="Times New Roman" w:hAnsi="Times New Roman"/>
          <w:sz w:val="24"/>
          <w:szCs w:val="24"/>
          <w:lang w:val="es-ES_tradnl"/>
        </w:rPr>
        <w:t xml:space="preserve">En este nuevo protocolo hemos centrado el  objetivo del tratamiento en tratar las hemorragias con relevancia clínica, no en corregir las cifras de plaquetas hasta valores normales. </w:t>
      </w:r>
      <w:r w:rsidR="00BC74A1" w:rsidRPr="007B7CBF">
        <w:rPr>
          <w:rFonts w:ascii="Times New Roman" w:hAnsi="Times New Roman"/>
          <w:sz w:val="24"/>
          <w:szCs w:val="24"/>
          <w:lang w:val="es-ES_tradnl"/>
        </w:rPr>
        <w:t xml:space="preserve">Hay que </w:t>
      </w:r>
      <w:r w:rsidRPr="007B7CBF">
        <w:rPr>
          <w:rFonts w:ascii="Times New Roman" w:hAnsi="Times New Roman"/>
          <w:sz w:val="24"/>
          <w:szCs w:val="24"/>
          <w:lang w:val="es-ES_tradnl"/>
        </w:rPr>
        <w:t>evitar tratamientos innecesarios, potencialmente tóxicos, en pacientes paucisintomáticos y conseguir una adecuada calidad de vida con la mínima toxicidad asociada a la terapia. El tratamiento de las PTI persistentes o crónicas es complejo y se plantean diferentes alternativas.</w:t>
      </w:r>
    </w:p>
    <w:p w14:paraId="63B11A40"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En este Protocolo se actualiza la versión del protocolo PTI-2010</w:t>
      </w:r>
      <w:r w:rsidRPr="007B7CBF">
        <w:rPr>
          <w:rFonts w:ascii="Times New Roman" w:hAnsi="Times New Roman"/>
          <w:noProof/>
          <w:sz w:val="24"/>
          <w:szCs w:val="24"/>
          <w:lang w:val="es-ES_tradnl"/>
        </w:rPr>
        <w:t>(10)</w:t>
      </w:r>
      <w:r w:rsidRPr="007B7CBF">
        <w:rPr>
          <w:rFonts w:ascii="Times New Roman" w:hAnsi="Times New Roman"/>
          <w:sz w:val="24"/>
          <w:szCs w:val="24"/>
          <w:lang w:val="es-ES_tradnl"/>
        </w:rPr>
        <w:t>.</w:t>
      </w:r>
    </w:p>
    <w:p w14:paraId="0DA4056E" w14:textId="77777777" w:rsidR="00386B7A" w:rsidRDefault="00386B7A" w:rsidP="007B7CBF">
      <w:pPr>
        <w:pStyle w:val="Estilo1"/>
        <w:spacing w:after="0" w:line="480" w:lineRule="auto"/>
        <w:jc w:val="both"/>
        <w:outlineLvl w:val="0"/>
        <w:rPr>
          <w:rFonts w:ascii="Times New Roman" w:hAnsi="Times New Roman"/>
          <w:b/>
          <w:sz w:val="24"/>
          <w:szCs w:val="24"/>
          <w:lang w:val="es-ES_tradnl"/>
        </w:rPr>
      </w:pPr>
    </w:p>
    <w:p w14:paraId="1C48FA65" w14:textId="41BD138E" w:rsidR="000318A3" w:rsidRPr="00386B7A" w:rsidRDefault="000318A3" w:rsidP="007B7CBF">
      <w:pPr>
        <w:pStyle w:val="Estilo1"/>
        <w:spacing w:after="0" w:line="480" w:lineRule="auto"/>
        <w:jc w:val="both"/>
        <w:outlineLvl w:val="0"/>
        <w:rPr>
          <w:rFonts w:ascii="Times New Roman" w:hAnsi="Times New Roman"/>
          <w:b/>
          <w:sz w:val="24"/>
          <w:szCs w:val="24"/>
          <w:lang w:val="es-ES_tradnl"/>
        </w:rPr>
      </w:pPr>
      <w:r w:rsidRPr="00386B7A">
        <w:rPr>
          <w:rFonts w:ascii="Times New Roman" w:hAnsi="Times New Roman"/>
          <w:b/>
          <w:sz w:val="24"/>
          <w:szCs w:val="24"/>
          <w:lang w:val="es-ES_tradnl"/>
        </w:rPr>
        <w:lastRenderedPageBreak/>
        <w:t>OBJETIVOS</w:t>
      </w:r>
    </w:p>
    <w:p w14:paraId="36BAB2CF" w14:textId="75FD5AE8" w:rsidR="000318A3" w:rsidRPr="007B7CBF" w:rsidRDefault="00AA5366"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Unificar </w:t>
      </w:r>
      <w:r w:rsidR="000318A3" w:rsidRPr="007B7CBF">
        <w:rPr>
          <w:rFonts w:ascii="Times New Roman" w:hAnsi="Times New Roman"/>
          <w:sz w:val="24"/>
          <w:szCs w:val="24"/>
          <w:lang w:val="es-ES_tradnl"/>
        </w:rPr>
        <w:t>criterios diagnósticos, protocolos de seguim</w:t>
      </w:r>
      <w:r w:rsidR="0034472F" w:rsidRPr="007B7CBF">
        <w:rPr>
          <w:rFonts w:ascii="Times New Roman" w:hAnsi="Times New Roman"/>
          <w:sz w:val="24"/>
          <w:szCs w:val="24"/>
          <w:lang w:val="es-ES_tradnl"/>
        </w:rPr>
        <w:t>iento y tratamiento</w:t>
      </w:r>
      <w:r w:rsidR="000318A3" w:rsidRPr="007B7CBF">
        <w:rPr>
          <w:rFonts w:ascii="Times New Roman" w:hAnsi="Times New Roman"/>
          <w:sz w:val="24"/>
          <w:szCs w:val="24"/>
          <w:lang w:val="es-ES_tradnl"/>
        </w:rPr>
        <w:t xml:space="preserve"> de la PTI.</w:t>
      </w:r>
    </w:p>
    <w:p w14:paraId="336A78EE" w14:textId="3EAC3276"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 xml:space="preserve">CLASIFICACION DIAGNÓSTICA, CRITERIOS DE EVALUACIÓN CLÍNICA Y RESPUESTA AL TRATAMIENTO </w:t>
      </w:r>
    </w:p>
    <w:p w14:paraId="16AE121D" w14:textId="77777777" w:rsidR="000318A3" w:rsidRPr="007B7CBF" w:rsidRDefault="000318A3" w:rsidP="007B7CBF">
      <w:pPr>
        <w:pStyle w:val="Ttulo2"/>
        <w:spacing w:before="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Clasificación diagnóstica </w:t>
      </w:r>
      <w:r w:rsidRPr="007B7CBF">
        <w:rPr>
          <w:rFonts w:ascii="Times New Roman" w:hAnsi="Times New Roman"/>
          <w:noProof/>
          <w:sz w:val="24"/>
          <w:szCs w:val="24"/>
          <w:lang w:val="es-ES_tradnl"/>
        </w:rPr>
        <w:t>(1)</w:t>
      </w:r>
    </w:p>
    <w:p w14:paraId="2EF9993C" w14:textId="77777777" w:rsidR="000318A3" w:rsidRPr="007B7CBF" w:rsidRDefault="000318A3" w:rsidP="007B7CBF">
      <w:pPr>
        <w:spacing w:after="0" w:line="480" w:lineRule="auto"/>
        <w:jc w:val="both"/>
        <w:rPr>
          <w:rFonts w:ascii="Times New Roman" w:hAnsi="Times New Roman"/>
          <w:b/>
          <w:sz w:val="24"/>
          <w:szCs w:val="24"/>
          <w:u w:val="single"/>
          <w:lang w:val="es-ES_tradnl"/>
        </w:rPr>
      </w:pPr>
      <w:r w:rsidRPr="007B7CBF">
        <w:rPr>
          <w:rFonts w:ascii="Times New Roman" w:hAnsi="Times New Roman"/>
          <w:b/>
          <w:sz w:val="24"/>
          <w:szCs w:val="24"/>
          <w:u w:val="single"/>
          <w:lang w:val="es-ES_tradnl"/>
        </w:rPr>
        <w:t>PTI de reciente diagnóstico</w:t>
      </w:r>
    </w:p>
    <w:p w14:paraId="38785D34"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Desde el momento del diagnóstico hasta los 3 meses de evolución.</w:t>
      </w:r>
    </w:p>
    <w:p w14:paraId="7C9C5586" w14:textId="77777777" w:rsidR="000318A3" w:rsidRPr="007B7CBF" w:rsidRDefault="000318A3" w:rsidP="007B7CBF">
      <w:pPr>
        <w:spacing w:after="0" w:line="480" w:lineRule="auto"/>
        <w:jc w:val="both"/>
        <w:rPr>
          <w:rFonts w:ascii="Times New Roman" w:hAnsi="Times New Roman"/>
          <w:b/>
          <w:sz w:val="24"/>
          <w:szCs w:val="24"/>
          <w:u w:val="single"/>
          <w:lang w:val="es-ES_tradnl"/>
        </w:rPr>
      </w:pPr>
      <w:r w:rsidRPr="007B7CBF">
        <w:rPr>
          <w:rFonts w:ascii="Times New Roman" w:hAnsi="Times New Roman"/>
          <w:b/>
          <w:sz w:val="24"/>
          <w:szCs w:val="24"/>
          <w:u w:val="single"/>
          <w:lang w:val="es-ES_tradnl"/>
        </w:rPr>
        <w:t>PTI persistente</w:t>
      </w:r>
    </w:p>
    <w:p w14:paraId="1489FA61"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De duración entre los 3 y 12 meses desde el diagnóstico, incluye a </w:t>
      </w:r>
    </w:p>
    <w:p w14:paraId="0C572918" w14:textId="77777777" w:rsidR="000318A3" w:rsidRPr="007B7CBF" w:rsidRDefault="000318A3" w:rsidP="007B7CBF">
      <w:pPr>
        <w:pStyle w:val="Listamulticolor-nfasis11"/>
        <w:numPr>
          <w:ilvl w:val="0"/>
          <w:numId w:val="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Pacientes que no alcanzan la remisión completa de forma espontánea</w:t>
      </w:r>
    </w:p>
    <w:p w14:paraId="06D026A2" w14:textId="77777777" w:rsidR="000318A3" w:rsidRPr="007B7CBF" w:rsidRDefault="000318A3" w:rsidP="007B7CBF">
      <w:pPr>
        <w:pStyle w:val="Listamulticolor-nfasis11"/>
        <w:numPr>
          <w:ilvl w:val="0"/>
          <w:numId w:val="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Pacientes que no mantiene la remisión completa después de suspender el tratamiento instaurado. </w:t>
      </w:r>
    </w:p>
    <w:p w14:paraId="7A66CF11" w14:textId="77777777" w:rsidR="000318A3" w:rsidRPr="007B7CBF" w:rsidRDefault="000318A3" w:rsidP="007B7CBF">
      <w:pPr>
        <w:spacing w:after="0" w:line="480" w:lineRule="auto"/>
        <w:jc w:val="both"/>
        <w:rPr>
          <w:rFonts w:ascii="Times New Roman" w:hAnsi="Times New Roman"/>
          <w:b/>
          <w:sz w:val="24"/>
          <w:szCs w:val="24"/>
          <w:u w:val="single"/>
          <w:lang w:val="es-ES_tradnl"/>
        </w:rPr>
      </w:pPr>
      <w:r w:rsidRPr="007B7CBF">
        <w:rPr>
          <w:rFonts w:ascii="Times New Roman" w:hAnsi="Times New Roman"/>
          <w:b/>
          <w:sz w:val="24"/>
          <w:szCs w:val="24"/>
          <w:u w:val="single"/>
          <w:lang w:val="es-ES_tradnl"/>
        </w:rPr>
        <w:t>PTI crónica</w:t>
      </w:r>
    </w:p>
    <w:p w14:paraId="5522C48C"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Pacientes que continúan con trombocitopenia después de 12 meses desde el diagnóstico.</w:t>
      </w:r>
    </w:p>
    <w:p w14:paraId="31DB14FD" w14:textId="77777777" w:rsidR="000318A3" w:rsidRPr="007B7CBF" w:rsidRDefault="000318A3" w:rsidP="007B7CBF">
      <w:pPr>
        <w:pStyle w:val="Ttulo2"/>
        <w:spacing w:before="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Criterios de evaluación clínica </w:t>
      </w:r>
      <w:r w:rsidRPr="007B7CBF">
        <w:rPr>
          <w:rFonts w:ascii="Times New Roman" w:hAnsi="Times New Roman"/>
          <w:noProof/>
          <w:sz w:val="24"/>
          <w:szCs w:val="24"/>
          <w:lang w:val="es-ES_tradnl"/>
        </w:rPr>
        <w:t>(10)</w:t>
      </w:r>
    </w:p>
    <w:p w14:paraId="3CC0F77E" w14:textId="27B4E2B8" w:rsidR="000318A3" w:rsidRPr="007B7CBF" w:rsidRDefault="00BC74A1"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Ver tabla 1.</w:t>
      </w:r>
    </w:p>
    <w:p w14:paraId="4957D86D" w14:textId="77777777" w:rsidR="00AA5366" w:rsidRPr="007B7CBF" w:rsidRDefault="00AA5366" w:rsidP="007B7CBF">
      <w:pPr>
        <w:spacing w:after="0" w:line="480" w:lineRule="auto"/>
        <w:jc w:val="both"/>
        <w:rPr>
          <w:rFonts w:ascii="Times New Roman" w:hAnsi="Times New Roman"/>
          <w:sz w:val="24"/>
          <w:szCs w:val="24"/>
          <w:lang w:val="es-ES_tradnl"/>
        </w:rPr>
      </w:pPr>
    </w:p>
    <w:p w14:paraId="2C518491"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FACTORES DE RIESGO HEMORRÁGICO</w:t>
      </w:r>
    </w:p>
    <w:p w14:paraId="616A7406" w14:textId="4BF1F973" w:rsidR="00BC74A1" w:rsidRPr="007B7CBF" w:rsidRDefault="00BC74A1"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Ver tabla 2.</w:t>
      </w:r>
    </w:p>
    <w:p w14:paraId="2A8404D5" w14:textId="77777777" w:rsidR="00AA5366" w:rsidRPr="007B7CBF" w:rsidRDefault="00AA5366" w:rsidP="007B7CBF">
      <w:pPr>
        <w:spacing w:after="0" w:line="480" w:lineRule="auto"/>
        <w:jc w:val="both"/>
        <w:rPr>
          <w:rFonts w:ascii="Times New Roman" w:hAnsi="Times New Roman"/>
          <w:sz w:val="24"/>
          <w:szCs w:val="24"/>
          <w:lang w:val="es-ES"/>
        </w:rPr>
      </w:pPr>
    </w:p>
    <w:p w14:paraId="337B6BCF" w14:textId="77777777" w:rsidR="000318A3" w:rsidRPr="007B7CBF" w:rsidRDefault="000318A3" w:rsidP="007B7CBF">
      <w:pPr>
        <w:pStyle w:val="Ttulo2"/>
        <w:spacing w:before="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Criterios de respuesta al tratamiento </w:t>
      </w:r>
      <w:r w:rsidRPr="007B7CBF">
        <w:rPr>
          <w:rFonts w:ascii="Times New Roman" w:hAnsi="Times New Roman"/>
          <w:noProof/>
          <w:sz w:val="24"/>
          <w:szCs w:val="24"/>
          <w:lang w:val="es-ES_tradnl"/>
        </w:rPr>
        <w:t>(10)</w:t>
      </w:r>
    </w:p>
    <w:p w14:paraId="01FE4611" w14:textId="1CFB8081" w:rsidR="000318A3" w:rsidRPr="007B7CBF" w:rsidRDefault="00BC74A1"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Ver tabla 3.</w:t>
      </w:r>
    </w:p>
    <w:p w14:paraId="437E932B" w14:textId="77777777" w:rsidR="00AA5366" w:rsidRPr="007B7CBF" w:rsidRDefault="00AA5366" w:rsidP="007B7CBF">
      <w:pPr>
        <w:spacing w:after="0" w:line="480" w:lineRule="auto"/>
        <w:jc w:val="both"/>
        <w:rPr>
          <w:rFonts w:ascii="Times New Roman" w:hAnsi="Times New Roman"/>
          <w:sz w:val="24"/>
          <w:szCs w:val="24"/>
          <w:lang w:val="es-ES_tradnl"/>
        </w:rPr>
      </w:pPr>
    </w:p>
    <w:p w14:paraId="12D2A749" w14:textId="6F18A07F"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EXPLORACIONES COMPLEMENTARIAS AL DIAGNÓSTICO</w:t>
      </w:r>
    </w:p>
    <w:p w14:paraId="36685C56"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lastRenderedPageBreak/>
        <w:t>En todos los pacientes con trombocitopenia se debe realizar una historia clínica detallada y una exploración física completa que permitan descartar otras enfermedades hematológicas o situaciones que de forma secundaria puedan producir trombocitopenia .</w:t>
      </w:r>
    </w:p>
    <w:p w14:paraId="316EE270" w14:textId="6A2B8264"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Los estudios detallados a continuación </w:t>
      </w:r>
      <w:r w:rsidR="00BC74A1" w:rsidRPr="007B7CBF">
        <w:rPr>
          <w:rFonts w:ascii="Times New Roman" w:hAnsi="Times New Roman"/>
          <w:sz w:val="24"/>
          <w:szCs w:val="24"/>
          <w:lang w:val="es-ES_tradnl"/>
        </w:rPr>
        <w:t xml:space="preserve">en la tabla 4, </w:t>
      </w:r>
      <w:r w:rsidRPr="007B7CBF">
        <w:rPr>
          <w:rFonts w:ascii="Times New Roman" w:hAnsi="Times New Roman"/>
          <w:sz w:val="24"/>
          <w:szCs w:val="24"/>
          <w:lang w:val="es-ES_tradnl"/>
        </w:rPr>
        <w:t xml:space="preserve">son los recomendados por considerarse básicos </w:t>
      </w:r>
      <w:r w:rsidRPr="007B7CBF">
        <w:rPr>
          <w:rFonts w:ascii="Times New Roman" w:hAnsi="Times New Roman"/>
          <w:noProof/>
          <w:sz w:val="24"/>
          <w:szCs w:val="24"/>
          <w:lang w:val="es-ES_tradnl"/>
        </w:rPr>
        <w:t>(3, 10-12)</w:t>
      </w:r>
      <w:r w:rsidRPr="007B7CBF">
        <w:rPr>
          <w:rFonts w:ascii="Times New Roman" w:hAnsi="Times New Roman"/>
          <w:sz w:val="24"/>
          <w:szCs w:val="24"/>
          <w:lang w:val="es-ES_tradnl"/>
        </w:rPr>
        <w:t>.</w:t>
      </w:r>
    </w:p>
    <w:p w14:paraId="16EDB750" w14:textId="77777777" w:rsidR="00AA5366" w:rsidRPr="007B7CBF" w:rsidRDefault="00AA5366" w:rsidP="007B7CBF">
      <w:pPr>
        <w:spacing w:after="0" w:line="480" w:lineRule="auto"/>
        <w:jc w:val="both"/>
        <w:rPr>
          <w:rFonts w:ascii="Times New Roman" w:hAnsi="Times New Roman"/>
          <w:sz w:val="24"/>
          <w:szCs w:val="24"/>
          <w:lang w:val="es-ES_tradnl"/>
        </w:rPr>
      </w:pPr>
    </w:p>
    <w:p w14:paraId="05F1AE98" w14:textId="1ED21ADB"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 xml:space="preserve">EXPLORACIONES ADICIONALES </w:t>
      </w:r>
    </w:p>
    <w:p w14:paraId="23C3B0C5" w14:textId="497A2D3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Indicadas en pacientes en los que no remite espontáneamente o no responden al tratamiento.</w:t>
      </w:r>
      <w:r w:rsidR="008B6945" w:rsidRPr="007B7CBF">
        <w:rPr>
          <w:rFonts w:ascii="Times New Roman" w:hAnsi="Times New Roman"/>
          <w:sz w:val="24"/>
          <w:szCs w:val="24"/>
          <w:lang w:val="es-ES_tradnl"/>
        </w:rPr>
        <w:t xml:space="preserve"> Se recomienda:</w:t>
      </w:r>
    </w:p>
    <w:p w14:paraId="25614E35" w14:textId="77777777" w:rsidR="000318A3" w:rsidRPr="007B7CBF" w:rsidRDefault="000318A3" w:rsidP="007B7CBF">
      <w:pPr>
        <w:pStyle w:val="Prrafodelista"/>
        <w:numPr>
          <w:ilvl w:val="0"/>
          <w:numId w:val="24"/>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Estudio morfológico de médula ósea por punción aspirativa si no se hizo previamente. Valorar la realización de biopsia, inmunofenotipo y citogenética para completar el estudio.</w:t>
      </w:r>
    </w:p>
    <w:p w14:paraId="21021C86" w14:textId="77777777" w:rsidR="000318A3" w:rsidRPr="007B7CBF" w:rsidRDefault="000318A3" w:rsidP="007B7CBF">
      <w:pPr>
        <w:pStyle w:val="Prrafodelista"/>
        <w:numPr>
          <w:ilvl w:val="0"/>
          <w:numId w:val="24"/>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Poblaciones linfocitarias.</w:t>
      </w:r>
    </w:p>
    <w:p w14:paraId="690D0F47" w14:textId="77777777" w:rsidR="000318A3" w:rsidRPr="007B7CBF" w:rsidRDefault="000318A3" w:rsidP="007B7CBF">
      <w:pPr>
        <w:pStyle w:val="Prrafodelista"/>
        <w:numPr>
          <w:ilvl w:val="0"/>
          <w:numId w:val="24"/>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Anticuerpos antinucleares y opcionalmente otros estudios de autoinmunidad</w:t>
      </w:r>
    </w:p>
    <w:p w14:paraId="35100563" w14:textId="77777777" w:rsidR="000318A3" w:rsidRPr="007B7CBF" w:rsidRDefault="000318A3" w:rsidP="007B7CBF">
      <w:pPr>
        <w:pStyle w:val="Prrafodelista"/>
        <w:spacing w:after="0" w:line="480" w:lineRule="auto"/>
        <w:jc w:val="both"/>
        <w:rPr>
          <w:rFonts w:ascii="Times New Roman" w:hAnsi="Times New Roman"/>
          <w:sz w:val="24"/>
          <w:szCs w:val="24"/>
          <w:lang w:val="es-ES_tradnl"/>
        </w:rPr>
      </w:pPr>
    </w:p>
    <w:p w14:paraId="42AB84B3" w14:textId="7D5CFAA1"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 xml:space="preserve">RECOMENDACIONES GENERALES  </w:t>
      </w:r>
    </w:p>
    <w:p w14:paraId="1A770466" w14:textId="6F256401" w:rsidR="000318A3" w:rsidRPr="007B7CBF" w:rsidRDefault="008B6945"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Ver tabla 5.</w:t>
      </w:r>
    </w:p>
    <w:p w14:paraId="2668539C" w14:textId="77777777" w:rsidR="00AA5366" w:rsidRPr="007B7CBF" w:rsidRDefault="00AA5366" w:rsidP="007B7CBF">
      <w:pPr>
        <w:spacing w:after="0" w:line="480" w:lineRule="auto"/>
        <w:jc w:val="both"/>
        <w:rPr>
          <w:rFonts w:ascii="Times New Roman" w:hAnsi="Times New Roman"/>
          <w:sz w:val="24"/>
          <w:szCs w:val="24"/>
          <w:lang w:val="es-ES_tradnl"/>
        </w:rPr>
      </w:pPr>
    </w:p>
    <w:p w14:paraId="62F0704E" w14:textId="7307DFBB"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PTI DE DIAGNÓSTICO RECIENTE</w:t>
      </w:r>
    </w:p>
    <w:p w14:paraId="3D114377"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El paciente con PTI de diagnóstico reciente</w:t>
      </w:r>
      <w:r w:rsidRPr="007B7CBF">
        <w:rPr>
          <w:rFonts w:ascii="Times New Roman" w:hAnsi="Times New Roman"/>
          <w:noProof/>
          <w:sz w:val="24"/>
          <w:szCs w:val="24"/>
          <w:lang w:val="es-ES_tradnl"/>
        </w:rPr>
        <w:t>(1)</w:t>
      </w:r>
      <w:r w:rsidRPr="007B7CBF">
        <w:rPr>
          <w:rFonts w:ascii="Times New Roman" w:hAnsi="Times New Roman"/>
          <w:sz w:val="24"/>
          <w:szCs w:val="24"/>
          <w:lang w:val="es-ES_tradnl"/>
        </w:rPr>
        <w:t xml:space="preserve"> puede presentar unas manifestaciones hemorrágicas de gravedad variable en general en función de la cifra de plaquetas, actividad habitual y presencia de otros factores que pueden influir en la hemostasia. Hay que valorar siempre el conjunto de datos clínicos y biológicos para un adecuado enfoque terapéutico. Se ha decidido clasificar a los pacientes en diversos grupos en </w:t>
      </w:r>
      <w:r w:rsidRPr="007B7CBF">
        <w:rPr>
          <w:rFonts w:ascii="Times New Roman" w:hAnsi="Times New Roman"/>
          <w:sz w:val="24"/>
          <w:szCs w:val="24"/>
          <w:lang w:val="es-ES_tradnl"/>
        </w:rPr>
        <w:lastRenderedPageBreak/>
        <w:t>función de las manifestaciones clínicas y factores de riesgo hemorrágico, con la finalidad de establecer la opción de tratamiento más adecuada</w:t>
      </w:r>
      <w:r w:rsidRPr="007B7CBF">
        <w:rPr>
          <w:rFonts w:ascii="Times New Roman" w:hAnsi="Times New Roman"/>
          <w:noProof/>
          <w:sz w:val="24"/>
          <w:szCs w:val="24"/>
          <w:lang w:val="es-ES_tradnl"/>
        </w:rPr>
        <w:t>(3, 10, 11, 14-19)</w:t>
      </w:r>
      <w:r w:rsidRPr="007B7CBF">
        <w:rPr>
          <w:rFonts w:ascii="Times New Roman" w:hAnsi="Times New Roman"/>
          <w:sz w:val="24"/>
          <w:szCs w:val="24"/>
          <w:lang w:val="es-ES_tradnl"/>
        </w:rPr>
        <w:t>.</w:t>
      </w:r>
    </w:p>
    <w:p w14:paraId="5A5611FB" w14:textId="77777777" w:rsidR="000318A3" w:rsidRPr="007B7CBF" w:rsidRDefault="000318A3" w:rsidP="007B7CBF">
      <w:pPr>
        <w:pStyle w:val="Ttulo2"/>
        <w:spacing w:before="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Clasificación de pacientes y pauta de actuación  (figura 1)</w:t>
      </w:r>
    </w:p>
    <w:p w14:paraId="32FCBDA6" w14:textId="77777777" w:rsidR="000318A3" w:rsidRPr="007B7CBF" w:rsidRDefault="000318A3" w:rsidP="007B7CBF">
      <w:pPr>
        <w:spacing w:after="0" w:line="480" w:lineRule="auto"/>
        <w:jc w:val="both"/>
        <w:rPr>
          <w:rFonts w:ascii="Times New Roman" w:hAnsi="Times New Roman"/>
          <w:sz w:val="24"/>
          <w:szCs w:val="24"/>
          <w:u w:val="single"/>
          <w:lang w:val="es-ES_tradnl"/>
        </w:rPr>
      </w:pPr>
      <w:r w:rsidRPr="007B7CBF">
        <w:rPr>
          <w:rFonts w:ascii="Times New Roman" w:hAnsi="Times New Roman"/>
          <w:sz w:val="24"/>
          <w:szCs w:val="24"/>
          <w:u w:val="single"/>
          <w:lang w:val="es-ES_tradnl"/>
        </w:rPr>
        <w:t xml:space="preserve">Pacientes con sangrado activo  y recuento  inferior a 30.000 plaquetas/ </w:t>
      </w:r>
      <w:r w:rsidRPr="007B7CBF">
        <w:rPr>
          <w:rFonts w:ascii="Times New Roman" w:hAnsi="Times New Roman"/>
          <w:sz w:val="24"/>
          <w:szCs w:val="24"/>
          <w:u w:val="single"/>
          <w:lang w:val="es-ES_tradnl"/>
        </w:rPr>
        <w:sym w:font="Symbol" w:char="F06D"/>
      </w:r>
      <w:r w:rsidRPr="007B7CBF">
        <w:rPr>
          <w:rFonts w:ascii="Times New Roman" w:hAnsi="Times New Roman"/>
          <w:sz w:val="24"/>
          <w:szCs w:val="24"/>
          <w:u w:val="single"/>
          <w:lang w:val="es-ES_tradnl"/>
        </w:rPr>
        <w:t>L .</w:t>
      </w:r>
    </w:p>
    <w:p w14:paraId="25045FA0"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Se propone administrar 1 dosis de IGIV y nueva valoración a las 24 h.: </w:t>
      </w:r>
    </w:p>
    <w:p w14:paraId="33D53A31" w14:textId="77777777" w:rsidR="000318A3" w:rsidRPr="007B7CBF" w:rsidRDefault="000318A3" w:rsidP="007B7CBF">
      <w:pPr>
        <w:numPr>
          <w:ilvl w:val="0"/>
          <w:numId w:val="2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si persiste el sangrado activo se añaden corticoides  (prednisona o metilprednisolona) y/o una segunda dosis de IGIV</w:t>
      </w:r>
    </w:p>
    <w:p w14:paraId="16264511" w14:textId="77777777" w:rsidR="000318A3" w:rsidRPr="007B7CBF" w:rsidRDefault="000318A3" w:rsidP="007B7CBF">
      <w:pPr>
        <w:numPr>
          <w:ilvl w:val="0"/>
          <w:numId w:val="2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si desaparece la clínica se vuelve a valorar a las 72 h. y, </w:t>
      </w:r>
    </w:p>
    <w:p w14:paraId="553459CB" w14:textId="77777777" w:rsidR="000318A3" w:rsidRPr="007B7CBF" w:rsidRDefault="000318A3" w:rsidP="007B7CBF">
      <w:pPr>
        <w:numPr>
          <w:ilvl w:val="1"/>
          <w:numId w:val="2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si persiste la mejora clínica entonces pasa a observación</w:t>
      </w:r>
    </w:p>
    <w:p w14:paraId="54659890" w14:textId="77777777" w:rsidR="000318A3" w:rsidRPr="007B7CBF" w:rsidRDefault="000318A3" w:rsidP="007B7CBF">
      <w:pPr>
        <w:numPr>
          <w:ilvl w:val="1"/>
          <w:numId w:val="21"/>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pero si aparece de nuevo sangrado activo, se inicia tratamiento con corticoides (prednisona o metilprednisolona) o se administra una segunda dosis de IGIV. </w:t>
      </w:r>
    </w:p>
    <w:p w14:paraId="589AA1A8" w14:textId="77777777" w:rsidR="000318A3" w:rsidRPr="007B7CBF" w:rsidRDefault="000318A3" w:rsidP="007B7CBF">
      <w:pPr>
        <w:spacing w:after="0" w:line="480" w:lineRule="auto"/>
        <w:jc w:val="both"/>
        <w:rPr>
          <w:rFonts w:ascii="Times New Roman" w:hAnsi="Times New Roman"/>
          <w:strike/>
          <w:sz w:val="24"/>
          <w:szCs w:val="24"/>
          <w:lang w:val="es-ES_tradnl"/>
        </w:rPr>
      </w:pPr>
      <w:r w:rsidRPr="007B7CBF">
        <w:rPr>
          <w:rFonts w:ascii="Times New Roman" w:hAnsi="Times New Roman"/>
          <w:sz w:val="24"/>
          <w:szCs w:val="24"/>
          <w:lang w:val="es-ES_tradnl"/>
        </w:rPr>
        <w:t xml:space="preserve">Si a pesar de lo anterior sigue con sangrado activo, se recomienda consultar con unidad especializada de  Hematología Pediátrica la administración de Ig anti-D (en caso de ser Rh+) </w:t>
      </w:r>
      <w:r w:rsidRPr="007B7CBF">
        <w:rPr>
          <w:rFonts w:ascii="Times New Roman" w:hAnsi="Times New Roman"/>
          <w:noProof/>
          <w:sz w:val="24"/>
          <w:szCs w:val="24"/>
          <w:lang w:val="es-ES_tradnl"/>
        </w:rPr>
        <w:t>(17)</w:t>
      </w:r>
      <w:r w:rsidRPr="007B7CBF">
        <w:rPr>
          <w:rFonts w:ascii="Times New Roman" w:hAnsi="Times New Roman"/>
          <w:sz w:val="24"/>
          <w:szCs w:val="24"/>
          <w:lang w:val="es-ES_tradnl"/>
        </w:rPr>
        <w:t xml:space="preserve">, bolus de corticoides o dexametasona a altas dosis VO </w:t>
      </w:r>
      <w:r w:rsidRPr="007B7CBF">
        <w:rPr>
          <w:rFonts w:ascii="Times New Roman" w:hAnsi="Times New Roman"/>
          <w:noProof/>
          <w:sz w:val="24"/>
          <w:szCs w:val="24"/>
          <w:lang w:val="es-ES_tradnl"/>
        </w:rPr>
        <w:t>(20)</w:t>
      </w:r>
      <w:r w:rsidRPr="007B7CBF">
        <w:rPr>
          <w:rFonts w:ascii="Times New Roman" w:hAnsi="Times New Roman"/>
          <w:sz w:val="24"/>
          <w:szCs w:val="24"/>
          <w:lang w:val="es-ES_tradnl"/>
        </w:rPr>
        <w:t xml:space="preserve">. </w:t>
      </w:r>
    </w:p>
    <w:p w14:paraId="3F387F9A" w14:textId="77777777" w:rsidR="000318A3" w:rsidRPr="007B7CBF" w:rsidRDefault="000318A3" w:rsidP="007B7CBF">
      <w:pPr>
        <w:spacing w:after="0" w:line="480" w:lineRule="auto"/>
        <w:jc w:val="both"/>
        <w:rPr>
          <w:rFonts w:ascii="Times New Roman" w:hAnsi="Times New Roman"/>
          <w:sz w:val="24"/>
          <w:szCs w:val="24"/>
          <w:u w:val="single"/>
          <w:lang w:val="es-ES_tradnl"/>
        </w:rPr>
      </w:pPr>
      <w:r w:rsidRPr="007B7CBF">
        <w:rPr>
          <w:rFonts w:ascii="Times New Roman" w:hAnsi="Times New Roman"/>
          <w:sz w:val="24"/>
          <w:szCs w:val="24"/>
          <w:u w:val="single"/>
          <w:lang w:val="es-ES_tradnl"/>
        </w:rPr>
        <w:t>Pacientes con sangrado cutáneo-mucoso o factores de riesgo.</w:t>
      </w:r>
    </w:p>
    <w:p w14:paraId="7583FB0D" w14:textId="77777777" w:rsidR="000318A3" w:rsidRPr="007B7CBF" w:rsidRDefault="000318A3" w:rsidP="007B7CBF">
      <w:pPr>
        <w:spacing w:after="0" w:line="480" w:lineRule="auto"/>
        <w:jc w:val="both"/>
        <w:rPr>
          <w:rFonts w:ascii="Times New Roman" w:hAnsi="Times New Roman"/>
          <w:strike/>
          <w:sz w:val="24"/>
          <w:szCs w:val="24"/>
          <w:lang w:val="es-ES_tradnl"/>
        </w:rPr>
      </w:pPr>
      <w:r w:rsidRPr="007B7CBF">
        <w:rPr>
          <w:rFonts w:ascii="Times New Roman" w:hAnsi="Times New Roman"/>
          <w:sz w:val="24"/>
          <w:szCs w:val="24"/>
          <w:lang w:val="es-ES_tradnl"/>
        </w:rPr>
        <w:t>Se propone administrar de entrada corticoides (prednisona o metilprednisolona). Si hay evolución clínica a hemorragia activa se administra 1 dosis de IGIV y se sigue como en el supuesto del grupo anterior.</w:t>
      </w:r>
    </w:p>
    <w:p w14:paraId="63432632" w14:textId="77777777" w:rsidR="000318A3" w:rsidRPr="007B7CBF" w:rsidRDefault="000318A3" w:rsidP="007B7CBF">
      <w:pPr>
        <w:spacing w:after="0" w:line="480" w:lineRule="auto"/>
        <w:jc w:val="both"/>
        <w:rPr>
          <w:rFonts w:ascii="Times New Roman" w:hAnsi="Times New Roman"/>
          <w:strike/>
          <w:sz w:val="24"/>
          <w:szCs w:val="24"/>
          <w:u w:val="single"/>
          <w:lang w:val="es-ES_tradnl"/>
        </w:rPr>
      </w:pPr>
      <w:r w:rsidRPr="007B7CBF">
        <w:rPr>
          <w:rFonts w:ascii="Times New Roman" w:hAnsi="Times New Roman"/>
          <w:sz w:val="24"/>
          <w:szCs w:val="24"/>
          <w:u w:val="single"/>
          <w:lang w:val="es-ES_tradnl"/>
        </w:rPr>
        <w:t xml:space="preserve">Pacientes con sangrado cutáneo exclusivo. </w:t>
      </w:r>
    </w:p>
    <w:p w14:paraId="221D2B66"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Se propone una actitud expectante y  controles periódicos con actuación posterior en función de la evolución.</w:t>
      </w:r>
    </w:p>
    <w:p w14:paraId="5416BCB9" w14:textId="77777777" w:rsidR="000318A3" w:rsidRPr="007B7CBF" w:rsidRDefault="000318A3" w:rsidP="007B7CBF">
      <w:pPr>
        <w:spacing w:after="0" w:line="480" w:lineRule="auto"/>
        <w:jc w:val="both"/>
        <w:rPr>
          <w:rFonts w:ascii="Times New Roman" w:hAnsi="Times New Roman"/>
          <w:sz w:val="24"/>
          <w:szCs w:val="24"/>
          <w:lang w:val="es-ES_tradnl"/>
        </w:rPr>
      </w:pPr>
    </w:p>
    <w:p w14:paraId="0752E8CA" w14:textId="101F02D8"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PTI  PERSISTENTE Y CRÓNICA</w:t>
      </w:r>
    </w:p>
    <w:p w14:paraId="12B95039"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lastRenderedPageBreak/>
        <w:t>Los pacientes afectos de PTI crónica sintomáticos, que requieren el empleo secuencial o permanente de tratamiento deben ser controlados totalmente o de forma coordinada por centros con unidades especializadas de Hematología Pediátrica.</w:t>
      </w:r>
    </w:p>
    <w:p w14:paraId="6A474F14"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El paciente con PTI persistente y crónica puede presentar unas manifestaciones hemorrágicas de gravedad variable en general en función de la cifra de plaquetas, actividad habitual y presencia de otros factores que pueden influir en la hemostasia. Hay que valorar siempre el conjunto de datos clínicos y biológicos para un adecuado enfoque terapéutico  y procurar que el paciente desarrolle una vida lo más cercana a la normalidad con los mínimos efectos adversos derivados del tratamiento </w:t>
      </w:r>
      <w:r w:rsidRPr="007B7CBF">
        <w:rPr>
          <w:rFonts w:ascii="Times New Roman" w:hAnsi="Times New Roman"/>
          <w:noProof/>
          <w:sz w:val="24"/>
          <w:szCs w:val="24"/>
          <w:lang w:val="es-ES_tradnl"/>
        </w:rPr>
        <w:t>(19, 21)</w:t>
      </w:r>
      <w:r w:rsidRPr="007B7CBF">
        <w:rPr>
          <w:rFonts w:ascii="Times New Roman" w:hAnsi="Times New Roman"/>
          <w:sz w:val="24"/>
          <w:szCs w:val="24"/>
          <w:lang w:val="es-ES_tradnl"/>
        </w:rPr>
        <w:t>, en espera de que la enfermedad entre en remisión</w:t>
      </w:r>
      <w:r w:rsidRPr="007B7CBF">
        <w:rPr>
          <w:rFonts w:ascii="Times New Roman" w:hAnsi="Times New Roman"/>
          <w:noProof/>
          <w:sz w:val="24"/>
          <w:szCs w:val="24"/>
          <w:lang w:val="es-ES_tradnl"/>
        </w:rPr>
        <w:t>(3, 10, 11, 22, 23)</w:t>
      </w:r>
      <w:r w:rsidRPr="007B7CBF">
        <w:rPr>
          <w:rFonts w:ascii="Times New Roman" w:hAnsi="Times New Roman"/>
          <w:sz w:val="24"/>
          <w:szCs w:val="24"/>
          <w:lang w:val="es-ES_tradnl"/>
        </w:rPr>
        <w:t>. Está extendido en la literatura y se ha considerado razonablemente segura para el desarrollo de una vida cotidiana normal, el mantenimiento de recuentos por encima de 30.000 plaquetas, por ello, se ha elegido como factor determinante en el análisis de decisión inicial. No obstante el estilo de vida, la actividad habitual, las manifestaciones clínicas y los factores de riesgo hemorrágico son también determinantes, fundamentalmente si se indica algún tipo de intervención.</w:t>
      </w:r>
    </w:p>
    <w:p w14:paraId="4CB1B132" w14:textId="77777777" w:rsidR="000318A3" w:rsidRPr="007B7CBF" w:rsidRDefault="000318A3" w:rsidP="007B7CBF">
      <w:pPr>
        <w:pStyle w:val="Ttulo2"/>
        <w:spacing w:before="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Clasificación de pacientes y pauta de actuación (figura 2)</w:t>
      </w:r>
    </w:p>
    <w:p w14:paraId="57E79977" w14:textId="77777777" w:rsidR="000318A3" w:rsidRPr="007B7CBF" w:rsidRDefault="000318A3" w:rsidP="007B7CBF">
      <w:pPr>
        <w:spacing w:after="0" w:line="480" w:lineRule="auto"/>
        <w:jc w:val="both"/>
        <w:rPr>
          <w:rFonts w:ascii="Times New Roman" w:hAnsi="Times New Roman"/>
          <w:sz w:val="24"/>
          <w:szCs w:val="24"/>
          <w:u w:val="single"/>
          <w:lang w:val="es-ES_tradnl"/>
        </w:rPr>
      </w:pPr>
      <w:r w:rsidRPr="007B7CBF">
        <w:rPr>
          <w:rFonts w:ascii="Times New Roman" w:hAnsi="Times New Roman"/>
          <w:sz w:val="24"/>
          <w:szCs w:val="24"/>
          <w:u w:val="single"/>
          <w:lang w:val="es-ES_tradnl"/>
        </w:rPr>
        <w:t>Pacientes con más de 30.000 plaquetas/</w:t>
      </w:r>
      <w:r w:rsidRPr="007B7CBF">
        <w:rPr>
          <w:rFonts w:ascii="Times New Roman" w:hAnsi="Times New Roman"/>
          <w:sz w:val="24"/>
          <w:szCs w:val="24"/>
          <w:u w:val="single"/>
          <w:lang w:val="es-ES_tradnl"/>
        </w:rPr>
        <w:sym w:font="Symbol" w:char="F06D"/>
      </w:r>
      <w:r w:rsidRPr="007B7CBF">
        <w:rPr>
          <w:rFonts w:ascii="Times New Roman" w:hAnsi="Times New Roman"/>
          <w:sz w:val="24"/>
          <w:szCs w:val="24"/>
          <w:u w:val="single"/>
          <w:lang w:val="es-ES_tradnl"/>
        </w:rPr>
        <w:t>L mantenidas  de forma estable.</w:t>
      </w:r>
    </w:p>
    <w:p w14:paraId="6AF73CF3"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Se recomienda mantenerlos sólo con observación, con los controles  necesarios a juicio del clínico.</w:t>
      </w:r>
    </w:p>
    <w:p w14:paraId="29EA2480" w14:textId="77777777" w:rsidR="000318A3" w:rsidRPr="007B7CBF" w:rsidRDefault="000318A3" w:rsidP="007B7CBF">
      <w:pPr>
        <w:spacing w:after="0" w:line="480" w:lineRule="auto"/>
        <w:jc w:val="both"/>
        <w:rPr>
          <w:rFonts w:ascii="Times New Roman" w:hAnsi="Times New Roman"/>
          <w:sz w:val="24"/>
          <w:szCs w:val="24"/>
          <w:u w:val="single"/>
          <w:lang w:val="es-ES_tradnl"/>
        </w:rPr>
      </w:pPr>
      <w:r w:rsidRPr="007B7CBF">
        <w:rPr>
          <w:rFonts w:ascii="Times New Roman" w:hAnsi="Times New Roman"/>
          <w:sz w:val="24"/>
          <w:szCs w:val="24"/>
          <w:u w:val="single"/>
          <w:lang w:val="es-ES_tradnl"/>
        </w:rPr>
        <w:t>Pacientes con menos de 30.000 plaquetas/</w:t>
      </w:r>
      <w:r w:rsidRPr="007B7CBF">
        <w:rPr>
          <w:rFonts w:ascii="Times New Roman" w:hAnsi="Times New Roman"/>
          <w:sz w:val="24"/>
          <w:szCs w:val="24"/>
          <w:u w:val="single"/>
          <w:lang w:val="es-ES_tradnl"/>
        </w:rPr>
        <w:sym w:font="Symbol" w:char="F06D"/>
      </w:r>
      <w:r w:rsidRPr="007B7CBF">
        <w:rPr>
          <w:rFonts w:ascii="Times New Roman" w:hAnsi="Times New Roman"/>
          <w:sz w:val="24"/>
          <w:szCs w:val="24"/>
          <w:u w:val="single"/>
          <w:lang w:val="es-ES_tradnl"/>
        </w:rPr>
        <w:t>L</w:t>
      </w:r>
    </w:p>
    <w:p w14:paraId="1686FD79"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Para una orientación adecuada hemos de tener en cuenta la existencia de factores de riesgo ligados a su edad, actividad deportiva, entorno familiar y accesibilidad a la atención sanitaria. Aquellos que no presenten episodios de hemorragia activa o factores </w:t>
      </w:r>
      <w:r w:rsidRPr="007B7CBF">
        <w:rPr>
          <w:rFonts w:ascii="Times New Roman" w:hAnsi="Times New Roman"/>
          <w:sz w:val="24"/>
          <w:szCs w:val="24"/>
          <w:lang w:val="es-ES_tradnl"/>
        </w:rPr>
        <w:lastRenderedPageBreak/>
        <w:t>de riesgo hemorrágico, se aconseja mantenerlos exclusivamente en observación. En caso contrario se recomienda:</w:t>
      </w:r>
    </w:p>
    <w:p w14:paraId="53B6BC8F" w14:textId="77777777" w:rsidR="000318A3" w:rsidRPr="007B7CBF" w:rsidRDefault="000318A3" w:rsidP="007B7CBF">
      <w:pPr>
        <w:pStyle w:val="Prrafodelista"/>
        <w:numPr>
          <w:ilvl w:val="0"/>
          <w:numId w:val="25"/>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en pacientes con PTI Persistente: en los episodios de sangrado administrar IGIV</w:t>
      </w:r>
      <w:r w:rsidRPr="007B7CBF">
        <w:rPr>
          <w:rFonts w:ascii="Times New Roman" w:hAnsi="Times New Roman"/>
          <w:noProof/>
          <w:sz w:val="24"/>
          <w:szCs w:val="24"/>
          <w:lang w:val="es-ES_tradnl"/>
        </w:rPr>
        <w:t>(3, 10, 11, 14, 15, 23)</w:t>
      </w:r>
      <w:r w:rsidRPr="007B7CBF">
        <w:rPr>
          <w:rFonts w:ascii="Times New Roman" w:hAnsi="Times New Roman"/>
          <w:sz w:val="24"/>
          <w:szCs w:val="24"/>
          <w:lang w:val="es-ES_tradnl"/>
        </w:rPr>
        <w:t>, Ig anti-D</w:t>
      </w:r>
      <w:r w:rsidRPr="007B7CBF">
        <w:rPr>
          <w:rFonts w:ascii="Times New Roman" w:hAnsi="Times New Roman"/>
          <w:noProof/>
          <w:sz w:val="24"/>
          <w:szCs w:val="24"/>
          <w:lang w:val="es-ES_tradnl"/>
        </w:rPr>
        <w:t>(3, 15, 17)</w:t>
      </w:r>
      <w:r w:rsidRPr="007B7CBF">
        <w:rPr>
          <w:rFonts w:ascii="Times New Roman" w:hAnsi="Times New Roman"/>
          <w:sz w:val="24"/>
          <w:szCs w:val="24"/>
          <w:lang w:val="es-ES_tradnl"/>
        </w:rPr>
        <w:t>, prednisona o dexametasona oral</w:t>
      </w:r>
      <w:r w:rsidRPr="007B7CBF">
        <w:rPr>
          <w:rFonts w:ascii="Times New Roman" w:hAnsi="Times New Roman"/>
          <w:noProof/>
          <w:sz w:val="24"/>
          <w:szCs w:val="24"/>
          <w:lang w:val="es-ES_tradnl"/>
        </w:rPr>
        <w:t>(24-27)</w:t>
      </w:r>
      <w:r w:rsidRPr="007B7CBF">
        <w:rPr>
          <w:rFonts w:ascii="Times New Roman" w:hAnsi="Times New Roman"/>
          <w:sz w:val="24"/>
          <w:szCs w:val="24"/>
          <w:lang w:val="es-ES_tradnl"/>
        </w:rPr>
        <w:t>. Si a pesar de ello permanece con episodios de sangrado se aconseja remitir a centro especializado para revisión y valorar la administración de otros tratamientos.</w:t>
      </w:r>
    </w:p>
    <w:p w14:paraId="246C9D3B" w14:textId="77777777" w:rsidR="000318A3" w:rsidRPr="007B7CBF" w:rsidRDefault="000318A3" w:rsidP="007B7CBF">
      <w:pPr>
        <w:pStyle w:val="Prrafodelista"/>
        <w:numPr>
          <w:ilvl w:val="0"/>
          <w:numId w:val="25"/>
        </w:num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en pacientes con PTI Crónica con clínica mantenida, se recomienda en primera línea la administración de análogos de la trombopoyetina</w:t>
      </w:r>
      <w:r w:rsidRPr="007B7CBF">
        <w:rPr>
          <w:rFonts w:ascii="Times New Roman" w:hAnsi="Times New Roman"/>
          <w:noProof/>
          <w:sz w:val="24"/>
          <w:szCs w:val="24"/>
          <w:lang w:val="es-ES_tradnl"/>
        </w:rPr>
        <w:t>(28-36)</w:t>
      </w:r>
      <w:r w:rsidRPr="007B7CBF">
        <w:rPr>
          <w:rFonts w:ascii="Times New Roman" w:hAnsi="Times New Roman"/>
          <w:sz w:val="24"/>
          <w:szCs w:val="24"/>
          <w:lang w:val="es-ES_tradnl"/>
        </w:rPr>
        <w:t>, reservando corticoides o IGIV para episodios hemorrágicos puntuales. Solamente ante el fracaso de lo anterior, se puede considerar tratamientos de segunda línea como la esplenectomía</w:t>
      </w:r>
      <w:r w:rsidRPr="007B7CBF">
        <w:rPr>
          <w:rFonts w:ascii="Times New Roman" w:hAnsi="Times New Roman"/>
          <w:noProof/>
          <w:sz w:val="24"/>
          <w:szCs w:val="24"/>
          <w:lang w:val="es-ES_tradnl"/>
        </w:rPr>
        <w:t>(3)</w:t>
      </w:r>
      <w:r w:rsidRPr="007B7CBF">
        <w:rPr>
          <w:rFonts w:ascii="Times New Roman" w:hAnsi="Times New Roman"/>
          <w:sz w:val="24"/>
          <w:szCs w:val="24"/>
          <w:lang w:val="es-ES_tradnl"/>
        </w:rPr>
        <w:t>, rituximab</w:t>
      </w:r>
      <w:r w:rsidRPr="007B7CBF">
        <w:rPr>
          <w:rFonts w:ascii="Times New Roman" w:hAnsi="Times New Roman"/>
          <w:noProof/>
          <w:sz w:val="24"/>
          <w:szCs w:val="24"/>
          <w:lang w:val="es-ES_tradnl"/>
        </w:rPr>
        <w:t>(11, 22, 33, 37-39)</w:t>
      </w:r>
      <w:r w:rsidRPr="007B7CBF">
        <w:rPr>
          <w:rFonts w:ascii="Times New Roman" w:hAnsi="Times New Roman"/>
          <w:sz w:val="24"/>
          <w:szCs w:val="24"/>
          <w:lang w:val="es-ES_tradnl"/>
        </w:rPr>
        <w:t xml:space="preserve"> y otras opciones de inmunosupresores como el micofenolato</w:t>
      </w:r>
      <w:r w:rsidRPr="007B7CBF">
        <w:rPr>
          <w:rFonts w:ascii="Times New Roman" w:hAnsi="Times New Roman"/>
          <w:noProof/>
          <w:sz w:val="24"/>
          <w:szCs w:val="24"/>
          <w:lang w:val="es-ES_tradnl"/>
        </w:rPr>
        <w:t>(33, 40, 41)</w:t>
      </w:r>
      <w:r w:rsidRPr="007B7CBF">
        <w:rPr>
          <w:rFonts w:ascii="Times New Roman" w:hAnsi="Times New Roman"/>
          <w:sz w:val="24"/>
          <w:szCs w:val="24"/>
          <w:lang w:val="es-ES_tradnl"/>
        </w:rPr>
        <w:t>.</w:t>
      </w:r>
    </w:p>
    <w:p w14:paraId="75D8ADC2" w14:textId="77777777" w:rsidR="000318A3" w:rsidRPr="007B7CBF" w:rsidRDefault="000318A3" w:rsidP="007B7CBF">
      <w:pPr>
        <w:spacing w:after="0" w:line="480" w:lineRule="auto"/>
        <w:jc w:val="both"/>
        <w:rPr>
          <w:rFonts w:ascii="Times New Roman" w:hAnsi="Times New Roman"/>
          <w:sz w:val="24"/>
          <w:szCs w:val="24"/>
          <w:lang w:val="es-ES_tradnl"/>
        </w:rPr>
      </w:pPr>
    </w:p>
    <w:p w14:paraId="087A7014" w14:textId="226075F0" w:rsidR="008B6945"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TRATAMIENTO DE LAS URGENCIAS CON RIESGO VITAL Y SITUACIONES CON RIESGO ESPECIAL</w:t>
      </w:r>
    </w:p>
    <w:p w14:paraId="7A8AB21A" w14:textId="2236144A" w:rsidR="000318A3" w:rsidRPr="007B7CBF" w:rsidRDefault="008B6945"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Ver tabla 6.    </w:t>
      </w:r>
    </w:p>
    <w:p w14:paraId="36B8B779" w14:textId="77777777" w:rsidR="00AA5366" w:rsidRPr="007B7CBF" w:rsidRDefault="00AA5366" w:rsidP="007B7CBF">
      <w:pPr>
        <w:spacing w:after="0" w:line="480" w:lineRule="auto"/>
        <w:jc w:val="both"/>
        <w:rPr>
          <w:rFonts w:ascii="Times New Roman" w:hAnsi="Times New Roman"/>
          <w:sz w:val="24"/>
          <w:szCs w:val="24"/>
          <w:lang w:val="es-ES_tradnl"/>
        </w:rPr>
      </w:pPr>
    </w:p>
    <w:p w14:paraId="35DF8B3A" w14:textId="38F6B169" w:rsidR="000318A3" w:rsidRPr="007B7CBF" w:rsidRDefault="000318A3" w:rsidP="007B7CBF">
      <w:pPr>
        <w:pStyle w:val="Estilo1"/>
        <w:spacing w:after="0" w:line="480" w:lineRule="auto"/>
        <w:jc w:val="both"/>
        <w:outlineLvl w:val="0"/>
        <w:rPr>
          <w:rFonts w:ascii="Times New Roman" w:hAnsi="Times New Roman"/>
          <w:sz w:val="24"/>
          <w:szCs w:val="24"/>
          <w:lang w:val="es-ES_tradnl"/>
        </w:rPr>
      </w:pPr>
      <w:r w:rsidRPr="007B7CBF">
        <w:rPr>
          <w:rFonts w:ascii="Times New Roman" w:hAnsi="Times New Roman"/>
          <w:sz w:val="24"/>
          <w:szCs w:val="24"/>
          <w:lang w:val="es-ES_tradnl"/>
        </w:rPr>
        <w:t>TRATAMIENTOS DE LA PTI</w:t>
      </w:r>
    </w:p>
    <w:p w14:paraId="5BED0C9B" w14:textId="77777777" w:rsidR="000318A3" w:rsidRPr="007B7CBF" w:rsidRDefault="000318A3" w:rsidP="007B7CBF">
      <w:pPr>
        <w:pStyle w:val="Cuadrculamulticolor-nfasis11"/>
        <w:spacing w:after="0" w:line="480" w:lineRule="auto"/>
        <w:jc w:val="both"/>
        <w:rPr>
          <w:rStyle w:val="Ttulodellibro"/>
          <w:rFonts w:ascii="Times New Roman" w:hAnsi="Times New Roman"/>
          <w:color w:val="auto"/>
          <w:sz w:val="24"/>
          <w:szCs w:val="24"/>
          <w:lang w:val="es-ES_tradnl"/>
        </w:rPr>
      </w:pPr>
      <w:r w:rsidRPr="007B7CBF">
        <w:rPr>
          <w:rStyle w:val="Ttulodellibro"/>
          <w:rFonts w:ascii="Times New Roman" w:hAnsi="Times New Roman"/>
          <w:color w:val="auto"/>
          <w:sz w:val="24"/>
          <w:szCs w:val="24"/>
          <w:lang w:val="es-ES_tradnl"/>
        </w:rPr>
        <w:t>CORTICOTERAPIA</w:t>
      </w:r>
    </w:p>
    <w:p w14:paraId="30097CA9"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Los corticoides constituyen el tratamiento inicial clásico de la PTI.</w:t>
      </w:r>
    </w:p>
    <w:p w14:paraId="548BE8AE" w14:textId="77777777" w:rsidR="000318A3" w:rsidRPr="007B7CBF" w:rsidRDefault="000318A3" w:rsidP="007B7CBF">
      <w:pPr>
        <w:widowControl w:val="0"/>
        <w:numPr>
          <w:ilvl w:val="2"/>
          <w:numId w:val="4"/>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posología</w:t>
      </w:r>
    </w:p>
    <w:p w14:paraId="166A4490" w14:textId="77777777" w:rsidR="000318A3" w:rsidRPr="007B7CBF" w:rsidRDefault="000318A3" w:rsidP="007B7CBF">
      <w:pPr>
        <w:widowControl w:val="0"/>
        <w:numPr>
          <w:ilvl w:val="0"/>
          <w:numId w:val="7"/>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b/>
          <w:sz w:val="24"/>
          <w:szCs w:val="24"/>
          <w:lang w:val="es-ES_tradnl"/>
        </w:rPr>
        <w:t>prednisona vía oral o metilprednisolona vía i.v.</w:t>
      </w:r>
      <w:r w:rsidRPr="007B7CBF">
        <w:rPr>
          <w:rFonts w:ascii="Times New Roman" w:hAnsi="Times New Roman"/>
          <w:sz w:val="24"/>
          <w:szCs w:val="24"/>
          <w:lang w:val="es-ES_tradnl"/>
        </w:rPr>
        <w:t xml:space="preserve">, repartida en tres dosis tras desayuno, comida y cena. Dosis: 4 mg/kg/día; (dosis máxima 180 mg/día) durante 4 días, luego pasar a 2 mg/kg durante 3 </w:t>
      </w:r>
      <w:r w:rsidRPr="007B7CBF">
        <w:rPr>
          <w:rFonts w:ascii="Times New Roman" w:hAnsi="Times New Roman"/>
          <w:sz w:val="24"/>
          <w:szCs w:val="24"/>
          <w:lang w:val="es-ES_tradnl"/>
        </w:rPr>
        <w:lastRenderedPageBreak/>
        <w:t>días y suspender.</w:t>
      </w:r>
    </w:p>
    <w:p w14:paraId="05D50AA1" w14:textId="77777777" w:rsidR="000318A3" w:rsidRPr="007B7CBF" w:rsidRDefault="000318A3" w:rsidP="007B7CBF">
      <w:pPr>
        <w:widowControl w:val="0"/>
        <w:numPr>
          <w:ilvl w:val="2"/>
          <w:numId w:val="7"/>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 xml:space="preserve">“bolus” de corticoides:  </w:t>
      </w:r>
      <w:r w:rsidRPr="007B7CBF">
        <w:rPr>
          <w:rFonts w:ascii="Times New Roman" w:hAnsi="Times New Roman"/>
          <w:sz w:val="24"/>
          <w:szCs w:val="24"/>
          <w:lang w:val="es-ES_tradnl"/>
        </w:rPr>
        <w:t>metilprednisolona: 30 mg/kg/día, dosis máxima 1 gramo, 3 días</w:t>
      </w:r>
      <w:r w:rsidRPr="007B7CBF">
        <w:rPr>
          <w:rFonts w:ascii="Times New Roman" w:hAnsi="Times New Roman"/>
          <w:b/>
          <w:sz w:val="24"/>
          <w:szCs w:val="24"/>
          <w:lang w:val="es-ES_tradnl"/>
        </w:rPr>
        <w:t xml:space="preserve">, </w:t>
      </w:r>
      <w:r w:rsidRPr="007B7CBF">
        <w:rPr>
          <w:rFonts w:ascii="Times New Roman" w:hAnsi="Times New Roman"/>
          <w:sz w:val="24"/>
          <w:szCs w:val="24"/>
          <w:lang w:val="es-ES_tradnl"/>
        </w:rPr>
        <w:t>infusión en 2 horas. Requiere especial control de tensión arterial y glucosuria</w:t>
      </w:r>
    </w:p>
    <w:p w14:paraId="59056C72" w14:textId="77777777" w:rsidR="000318A3" w:rsidRPr="007B7CBF" w:rsidRDefault="000318A3" w:rsidP="007B7CBF">
      <w:pPr>
        <w:widowControl w:val="0"/>
        <w:numPr>
          <w:ilvl w:val="2"/>
          <w:numId w:val="7"/>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 xml:space="preserve">dexametasona oral: </w:t>
      </w:r>
      <w:r w:rsidRPr="007B7CBF">
        <w:rPr>
          <w:rFonts w:ascii="Times New Roman" w:hAnsi="Times New Roman"/>
          <w:sz w:val="24"/>
          <w:szCs w:val="24"/>
          <w:lang w:val="es-ES_tradnl"/>
        </w:rPr>
        <w:t>0,6 mg/kg/día en 1 dosis, máximo 40 mg, durante 4 días. Suele emplearse en ciclos mensuales.</w:t>
      </w:r>
    </w:p>
    <w:p w14:paraId="401E46D4" w14:textId="77777777" w:rsidR="000318A3" w:rsidRPr="007B7CBF" w:rsidRDefault="000318A3" w:rsidP="007B7CBF">
      <w:pPr>
        <w:widowControl w:val="0"/>
        <w:numPr>
          <w:ilvl w:val="2"/>
          <w:numId w:val="4"/>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b/>
          <w:sz w:val="24"/>
          <w:szCs w:val="24"/>
          <w:lang w:val="es-ES_tradnl"/>
        </w:rPr>
        <w:t xml:space="preserve">toxicidad: </w:t>
      </w:r>
      <w:r w:rsidRPr="007B7CBF">
        <w:rPr>
          <w:rFonts w:ascii="Times New Roman" w:hAnsi="Times New Roman"/>
          <w:sz w:val="24"/>
          <w:szCs w:val="24"/>
          <w:lang w:val="es-ES_tradnl"/>
        </w:rPr>
        <w:t>la toxicidad principal de los corticoides es la hiperglucemia y la hipertensión, alteraciones del humor y del sueño, en tratamientos prolongados también síndrome de Cushing, osteoporosis y afectación del crecimiento. Como inmunosupresores aumentan la susceptibilidad a las infecciones.</w:t>
      </w:r>
    </w:p>
    <w:p w14:paraId="648FFEB1" w14:textId="77777777" w:rsidR="000318A3" w:rsidRPr="007B7CBF" w:rsidRDefault="000318A3" w:rsidP="007B7CBF">
      <w:pPr>
        <w:pStyle w:val="Cuadrculamulticolor-nfasis11"/>
        <w:spacing w:after="0" w:line="480" w:lineRule="auto"/>
        <w:ind w:left="708"/>
        <w:jc w:val="both"/>
        <w:rPr>
          <w:rStyle w:val="Ttulodellibro"/>
          <w:rFonts w:ascii="Times New Roman" w:hAnsi="Times New Roman"/>
          <w:color w:val="auto"/>
          <w:sz w:val="24"/>
          <w:szCs w:val="24"/>
        </w:rPr>
      </w:pPr>
    </w:p>
    <w:p w14:paraId="032AB7AD" w14:textId="77777777" w:rsidR="000318A3" w:rsidRPr="007B7CBF" w:rsidRDefault="000318A3" w:rsidP="007B7CBF">
      <w:pPr>
        <w:pStyle w:val="Cuadrculamulticolor-nfasis11"/>
        <w:spacing w:after="0" w:line="480" w:lineRule="auto"/>
        <w:jc w:val="both"/>
        <w:rPr>
          <w:rStyle w:val="Ttulodellibro"/>
          <w:rFonts w:ascii="Times New Roman" w:hAnsi="Times New Roman"/>
          <w:i/>
          <w:iCs/>
          <w:color w:val="auto"/>
          <w:sz w:val="24"/>
          <w:szCs w:val="24"/>
        </w:rPr>
      </w:pPr>
      <w:r w:rsidRPr="007B7CBF">
        <w:rPr>
          <w:rStyle w:val="Ttulodellibro"/>
          <w:rFonts w:ascii="Times New Roman" w:hAnsi="Times New Roman"/>
          <w:color w:val="auto"/>
          <w:sz w:val="24"/>
          <w:szCs w:val="24"/>
        </w:rPr>
        <w:t>IGIV</w:t>
      </w:r>
    </w:p>
    <w:p w14:paraId="27F5C2BB" w14:textId="77777777" w:rsidR="000318A3" w:rsidRPr="007B7CBF" w:rsidRDefault="000318A3" w:rsidP="007B7CBF">
      <w:pPr>
        <w:widowControl w:val="0"/>
        <w:numPr>
          <w:ilvl w:val="2"/>
          <w:numId w:val="15"/>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posología</w:t>
      </w:r>
    </w:p>
    <w:p w14:paraId="1A3C58E0"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 xml:space="preserve">0,8-1 g/kg/dosis única i.v. en perfusión continua, tiempo de infusión 6-8 horas, al inicio de la infusión la velocidad es más lenta; se recomienda seguir la pauta de velocidad de infusión indicada en cada preparado. </w:t>
      </w:r>
    </w:p>
    <w:p w14:paraId="182A5428" w14:textId="77777777" w:rsidR="000318A3" w:rsidRPr="007B7CBF" w:rsidRDefault="000318A3" w:rsidP="007B7CBF">
      <w:pPr>
        <w:widowControl w:val="0"/>
        <w:numPr>
          <w:ilvl w:val="2"/>
          <w:numId w:val="15"/>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 xml:space="preserve">efectos adversos </w:t>
      </w:r>
    </w:p>
    <w:p w14:paraId="2AEB40A6" w14:textId="77777777" w:rsidR="000318A3" w:rsidRPr="007B7CBF" w:rsidRDefault="000318A3" w:rsidP="007B7CBF">
      <w:pPr>
        <w:widowControl w:val="0"/>
        <w:numPr>
          <w:ilvl w:val="0"/>
          <w:numId w:val="9"/>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anafilaxia, en pacientes con déficit de IgA: se recomienda tener preparado para uso inmediato el tratamiento específico y equipo de reanimación (adrenalina,.....)</w:t>
      </w:r>
    </w:p>
    <w:p w14:paraId="1E1BEA09" w14:textId="77777777" w:rsidR="000318A3" w:rsidRPr="007B7CBF" w:rsidRDefault="000318A3" w:rsidP="007B7CBF">
      <w:pPr>
        <w:widowControl w:val="0"/>
        <w:numPr>
          <w:ilvl w:val="0"/>
          <w:numId w:val="9"/>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cefalea, náuseas, vómitos (se recomienda disminuir la velocidad de infusión)</w:t>
      </w:r>
    </w:p>
    <w:p w14:paraId="2FEE2AEB" w14:textId="77777777" w:rsidR="000318A3" w:rsidRPr="007B7CBF" w:rsidRDefault="000318A3" w:rsidP="007B7CBF">
      <w:pPr>
        <w:widowControl w:val="0"/>
        <w:numPr>
          <w:ilvl w:val="0"/>
          <w:numId w:val="9"/>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febrícula/fiebre</w:t>
      </w:r>
    </w:p>
    <w:p w14:paraId="5EF1566E" w14:textId="77777777" w:rsidR="000318A3" w:rsidRPr="007B7CBF" w:rsidRDefault="000318A3" w:rsidP="007B7CBF">
      <w:pPr>
        <w:widowControl w:val="0"/>
        <w:numPr>
          <w:ilvl w:val="0"/>
          <w:numId w:val="9"/>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hemólisis aloinmune </w:t>
      </w:r>
    </w:p>
    <w:p w14:paraId="6B8DAABA" w14:textId="77777777" w:rsidR="000318A3" w:rsidRPr="007B7CBF" w:rsidRDefault="000318A3" w:rsidP="007B7CBF">
      <w:pPr>
        <w:widowControl w:val="0"/>
        <w:numPr>
          <w:ilvl w:val="0"/>
          <w:numId w:val="9"/>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sz w:val="24"/>
          <w:szCs w:val="24"/>
          <w:lang w:val="es-ES_tradnl"/>
        </w:rPr>
        <w:lastRenderedPageBreak/>
        <w:t>meningitis aséptica</w:t>
      </w:r>
    </w:p>
    <w:p w14:paraId="30FB71A3" w14:textId="77777777" w:rsidR="000318A3" w:rsidRPr="007B7CBF" w:rsidRDefault="000318A3" w:rsidP="007B7CBF">
      <w:pPr>
        <w:spacing w:after="0" w:line="480" w:lineRule="auto"/>
        <w:jc w:val="both"/>
        <w:rPr>
          <w:rFonts w:ascii="Times New Roman" w:hAnsi="Times New Roman"/>
          <w:sz w:val="24"/>
          <w:szCs w:val="24"/>
        </w:rPr>
      </w:pPr>
    </w:p>
    <w:p w14:paraId="394347C4" w14:textId="77777777" w:rsidR="000318A3" w:rsidRPr="007B7CBF" w:rsidRDefault="000318A3" w:rsidP="007B7CBF">
      <w:pPr>
        <w:pStyle w:val="Cuadrculamulticolor-nfasis11"/>
        <w:spacing w:after="0" w:line="480" w:lineRule="auto"/>
        <w:jc w:val="both"/>
        <w:rPr>
          <w:rStyle w:val="Ttulodellibro"/>
          <w:rFonts w:ascii="Times New Roman" w:hAnsi="Times New Roman"/>
          <w:i/>
          <w:iCs/>
          <w:color w:val="auto"/>
          <w:sz w:val="24"/>
          <w:szCs w:val="24"/>
        </w:rPr>
      </w:pPr>
      <w:r w:rsidRPr="007B7CBF">
        <w:rPr>
          <w:rStyle w:val="Ttulodellibro"/>
          <w:rFonts w:ascii="Times New Roman" w:hAnsi="Times New Roman"/>
          <w:color w:val="auto"/>
          <w:sz w:val="24"/>
          <w:szCs w:val="24"/>
          <w:lang w:val="es-ES_tradnl"/>
        </w:rPr>
        <w:t>IG ANTI-D (pacientes Rh+)</w:t>
      </w:r>
    </w:p>
    <w:p w14:paraId="652503F7" w14:textId="77777777" w:rsidR="000318A3" w:rsidRPr="007B7CBF" w:rsidRDefault="000318A3" w:rsidP="007B7CBF">
      <w:pPr>
        <w:widowControl w:val="0"/>
        <w:numPr>
          <w:ilvl w:val="2"/>
          <w:numId w:val="16"/>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mecanismo de acción</w:t>
      </w:r>
    </w:p>
    <w:p w14:paraId="58160BCC"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Bloqueo de receptores Fc macrofágicos con hematíes recubiertos por Ac anti D</w:t>
      </w:r>
    </w:p>
    <w:p w14:paraId="60CF6E9E" w14:textId="77777777" w:rsidR="000318A3" w:rsidRPr="007B7CBF" w:rsidRDefault="000318A3" w:rsidP="007B7CBF">
      <w:pPr>
        <w:widowControl w:val="0"/>
        <w:numPr>
          <w:ilvl w:val="2"/>
          <w:numId w:val="16"/>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posología</w:t>
      </w:r>
    </w:p>
    <w:p w14:paraId="10D3979E" w14:textId="77777777" w:rsidR="000318A3" w:rsidRPr="007B7CBF" w:rsidRDefault="000318A3" w:rsidP="007B7CBF">
      <w:pPr>
        <w:spacing w:after="0" w:line="480" w:lineRule="auto"/>
        <w:ind w:left="993"/>
        <w:jc w:val="both"/>
        <w:rPr>
          <w:rFonts w:ascii="Times New Roman" w:hAnsi="Times New Roman"/>
          <w:b/>
          <w:sz w:val="24"/>
          <w:szCs w:val="24"/>
          <w:lang w:val="es-ES_tradnl"/>
        </w:rPr>
      </w:pPr>
      <w:r w:rsidRPr="007B7CBF">
        <w:rPr>
          <w:rFonts w:ascii="Times New Roman" w:hAnsi="Times New Roman"/>
          <w:sz w:val="24"/>
          <w:szCs w:val="24"/>
          <w:lang w:val="es-ES_tradnl"/>
        </w:rPr>
        <w:t>50-75 microgramos/kg/día, I.V.  dosis única</w:t>
      </w:r>
      <w:r w:rsidRPr="007B7CBF">
        <w:rPr>
          <w:rFonts w:ascii="Times New Roman" w:hAnsi="Times New Roman"/>
          <w:b/>
          <w:sz w:val="24"/>
          <w:szCs w:val="24"/>
          <w:lang w:val="es-ES_tradnl"/>
        </w:rPr>
        <w:t xml:space="preserve">. </w:t>
      </w:r>
    </w:p>
    <w:p w14:paraId="206C3150" w14:textId="77777777" w:rsidR="000318A3" w:rsidRPr="007B7CBF" w:rsidRDefault="000318A3" w:rsidP="007B7CBF">
      <w:pPr>
        <w:spacing w:after="0" w:line="480" w:lineRule="auto"/>
        <w:ind w:left="993"/>
        <w:jc w:val="both"/>
        <w:rPr>
          <w:rFonts w:ascii="Times New Roman" w:hAnsi="Times New Roman"/>
          <w:b/>
          <w:sz w:val="24"/>
          <w:szCs w:val="24"/>
          <w:lang w:val="es-ES_tradnl"/>
        </w:rPr>
      </w:pPr>
      <w:r w:rsidRPr="007B7CBF">
        <w:rPr>
          <w:rFonts w:ascii="Times New Roman" w:hAnsi="Times New Roman"/>
          <w:sz w:val="24"/>
          <w:szCs w:val="24"/>
          <w:lang w:val="es-ES_tradnl"/>
        </w:rPr>
        <w:t xml:space="preserve">perfusión durante 1 hora diluido en suero fisiológico. Se recomienda premedicar  con paracetamol. </w:t>
      </w:r>
    </w:p>
    <w:p w14:paraId="71AC8447" w14:textId="77777777" w:rsidR="000318A3" w:rsidRPr="007B7CBF" w:rsidRDefault="000318A3" w:rsidP="007B7CBF">
      <w:pPr>
        <w:widowControl w:val="0"/>
        <w:numPr>
          <w:ilvl w:val="2"/>
          <w:numId w:val="16"/>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efectos adversos y riesgos biológicos</w:t>
      </w:r>
    </w:p>
    <w:p w14:paraId="025B9D2B"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Anemia hemolítica inmune y puesto que es un hemoderivado no están exentas del riesgo de transmisión de enfermedades infecciosas. Se ha comprobado la transmisión de hepatitis C.</w:t>
      </w:r>
    </w:p>
    <w:p w14:paraId="0FA93A63"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 xml:space="preserve">Se recomiendan los siguientes controles: Hb, Coombs directo, recuento reticulocitario y bilirrubina indirecta. Se aconseja no repetir dosis (a las 2-4 semanas) si presenta bilirrubina I. &gt; 1,5 mg% y reticulocitos &gt; 5% con subictericia o coluria, o descenso de Hb superior a 2 g </w:t>
      </w:r>
    </w:p>
    <w:p w14:paraId="6A31B18B" w14:textId="77777777" w:rsidR="000318A3" w:rsidRPr="007B7CBF" w:rsidRDefault="000318A3" w:rsidP="007B7CBF">
      <w:pPr>
        <w:spacing w:after="0" w:line="480" w:lineRule="auto"/>
        <w:jc w:val="both"/>
        <w:rPr>
          <w:rStyle w:val="Textoennegrita"/>
          <w:rFonts w:ascii="Times New Roman" w:hAnsi="Times New Roman"/>
          <w:b w:val="0"/>
          <w:sz w:val="24"/>
          <w:szCs w:val="24"/>
          <w:lang w:val="es-ES_tradnl"/>
        </w:rPr>
      </w:pPr>
    </w:p>
    <w:p w14:paraId="0F752094" w14:textId="77777777" w:rsidR="000318A3" w:rsidRPr="007B7CBF" w:rsidRDefault="000318A3" w:rsidP="007B7CBF">
      <w:pPr>
        <w:spacing w:after="0" w:line="480" w:lineRule="auto"/>
        <w:jc w:val="both"/>
        <w:rPr>
          <w:rStyle w:val="Textoennegrita"/>
          <w:rFonts w:ascii="Times New Roman" w:hAnsi="Times New Roman"/>
          <w:b w:val="0"/>
          <w:sz w:val="24"/>
          <w:szCs w:val="24"/>
          <w:lang w:val="es-ES"/>
        </w:rPr>
      </w:pPr>
      <w:r w:rsidRPr="007B7CBF">
        <w:rPr>
          <w:rStyle w:val="Textoennegrita"/>
          <w:rFonts w:ascii="Times New Roman" w:hAnsi="Times New Roman"/>
          <w:b w:val="0"/>
          <w:sz w:val="24"/>
          <w:szCs w:val="24"/>
          <w:lang w:val="es-ES_tradnl"/>
        </w:rPr>
        <w:t>AGONISTAS DEL RECEPTOR  DE LA TROMBOPOYETINA</w:t>
      </w:r>
    </w:p>
    <w:p w14:paraId="1B6F83A4"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Los análogos de la trombopoyetina, eltrombopag y romiplostim, son dos moléculas de diversa naturaleza, caracterizadas por su acción trombopoyética mediante estímulo del receptor correspondiente. Se han desarrollado los últimos años, con estudios que muestran evidencia  de respuesta mantenida en un porcentaje alto de casos refractarios o dependientes de otros tratamientos (corticoides, inmunoglobulinas IV). Actualmente </w:t>
      </w:r>
      <w:r w:rsidRPr="007B7CBF">
        <w:rPr>
          <w:rFonts w:ascii="Times New Roman" w:hAnsi="Times New Roman"/>
          <w:sz w:val="24"/>
          <w:szCs w:val="24"/>
          <w:lang w:val="es-ES"/>
        </w:rPr>
        <w:lastRenderedPageBreak/>
        <w:t>tienen indicación en ficha para tratamiento en PTI crónica en niños mayores de 1 año y adultos.</w:t>
      </w:r>
    </w:p>
    <w:p w14:paraId="2019F50F"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Su introducción ha supuesto una mejoría importante en la clínica y en la calidad de vida de los pacientes con un perfil de seguridad aceptable</w:t>
      </w:r>
      <w:r w:rsidRPr="007B7CBF">
        <w:rPr>
          <w:rFonts w:ascii="Times New Roman" w:hAnsi="Times New Roman"/>
          <w:noProof/>
          <w:sz w:val="24"/>
          <w:szCs w:val="24"/>
          <w:lang w:val="es-ES"/>
        </w:rPr>
        <w:t>(22, 28, 29, 32, 36)</w:t>
      </w:r>
      <w:r w:rsidRPr="007B7CBF">
        <w:rPr>
          <w:rFonts w:ascii="Times New Roman" w:hAnsi="Times New Roman"/>
          <w:sz w:val="24"/>
          <w:szCs w:val="24"/>
          <w:lang w:val="es-ES"/>
        </w:rPr>
        <w:t>.</w:t>
      </w:r>
    </w:p>
    <w:p w14:paraId="1EDB090F"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Su lugar en la terapéutica de la PTI crónica ha pasado a estar ubicado por delante de tratamientos que tienen un perfil de riesgos potencialmente mayor como la esplenectomía y el rituximab, más aún en niños, en los que por la historia natural conocemos casos de remisiones tardías de la enfermedad. Se ha observado en los estudios clínicos, que pacientes que son o se hacen no respondedores a uno u otro fármaco pueden mostrar respuesta con el otro.</w:t>
      </w:r>
    </w:p>
    <w:p w14:paraId="53F7384C"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Es conveniente la indicación y el control de su manejo por unidades pediátricas especializadas de Hematología Pediátrica.</w:t>
      </w:r>
    </w:p>
    <w:p w14:paraId="4E37B01F" w14:textId="77777777" w:rsidR="000318A3" w:rsidRPr="007B7CBF" w:rsidRDefault="000318A3" w:rsidP="007B7CBF">
      <w:pPr>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Mecanismo de acción</w:t>
      </w:r>
    </w:p>
    <w:p w14:paraId="496C8069" w14:textId="0E50D808"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i/>
          <w:sz w:val="24"/>
          <w:szCs w:val="24"/>
          <w:lang w:val="es-ES"/>
        </w:rPr>
        <w:t>Romiplostim</w:t>
      </w:r>
      <w:r w:rsidRPr="007B7CBF">
        <w:rPr>
          <w:rFonts w:ascii="Times New Roman" w:hAnsi="Times New Roman"/>
          <w:sz w:val="24"/>
          <w:szCs w:val="24"/>
          <w:lang w:val="es-ES"/>
        </w:rPr>
        <w:t xml:space="preserve"> es una proteína recombinante compuesta por dos dominios. Romiplostim estimula el crecimiento y la maduración de los megacariocitos mediante su unión al receptor Mpl de la misma manera que la TPOe, vía JAK2, STAT5, P38 MAPK y AKT</w:t>
      </w:r>
    </w:p>
    <w:p w14:paraId="62870C3E" w14:textId="77777777" w:rsidR="000318A3" w:rsidRPr="007B7CBF" w:rsidRDefault="000318A3" w:rsidP="007B7CBF">
      <w:pPr>
        <w:spacing w:after="0" w:line="480" w:lineRule="auto"/>
        <w:jc w:val="both"/>
        <w:rPr>
          <w:rFonts w:ascii="Times New Roman" w:hAnsi="Times New Roman"/>
          <w:b/>
          <w:sz w:val="24"/>
          <w:szCs w:val="24"/>
          <w:lang w:val="es-ES_tradnl"/>
        </w:rPr>
      </w:pPr>
      <w:r w:rsidRPr="007B7CBF">
        <w:rPr>
          <w:rFonts w:ascii="Times New Roman" w:hAnsi="Times New Roman"/>
          <w:i/>
          <w:sz w:val="24"/>
          <w:szCs w:val="24"/>
          <w:lang w:val="es-ES"/>
        </w:rPr>
        <w:t>Eltrombopag</w:t>
      </w:r>
      <w:r w:rsidRPr="007B7CBF">
        <w:rPr>
          <w:rFonts w:ascii="Times New Roman" w:hAnsi="Times New Roman"/>
          <w:sz w:val="24"/>
          <w:szCs w:val="24"/>
          <w:lang w:val="es-ES"/>
        </w:rPr>
        <w:t xml:space="preserve"> es una pequeña molécula no peptídica, activa por vía oral, que se une a la</w:t>
      </w:r>
      <w:r w:rsidRPr="007B7CBF">
        <w:rPr>
          <w:rFonts w:ascii="Times New Roman" w:hAnsi="Times New Roman"/>
          <w:b/>
          <w:sz w:val="24"/>
          <w:szCs w:val="24"/>
          <w:lang w:val="es-ES_tradnl"/>
        </w:rPr>
        <w:t xml:space="preserve"> </w:t>
      </w:r>
      <w:r w:rsidRPr="007B7CBF">
        <w:rPr>
          <w:rFonts w:ascii="Times New Roman" w:hAnsi="Times New Roman"/>
          <w:sz w:val="24"/>
          <w:szCs w:val="24"/>
          <w:lang w:val="es-ES"/>
        </w:rPr>
        <w:t>porción transmembrana del receptor de la TPO en un sitio diferente al de la TPOe</w:t>
      </w:r>
      <w:r w:rsidRPr="007B7CBF">
        <w:rPr>
          <w:rFonts w:ascii="Times New Roman" w:hAnsi="Times New Roman"/>
          <w:b/>
          <w:sz w:val="24"/>
          <w:szCs w:val="24"/>
          <w:lang w:val="es-ES_tradnl"/>
        </w:rPr>
        <w:t xml:space="preserve">. </w:t>
      </w:r>
      <w:r w:rsidRPr="007B7CBF">
        <w:rPr>
          <w:rFonts w:ascii="Times New Roman" w:hAnsi="Times New Roman"/>
          <w:sz w:val="24"/>
          <w:szCs w:val="24"/>
          <w:lang w:val="es-ES"/>
        </w:rPr>
        <w:t xml:space="preserve">Eltrombopag, al unirse al receptor, activa la vía de señalización JAK2/STAT estimulando la producción de plaquetas. </w:t>
      </w:r>
    </w:p>
    <w:p w14:paraId="71ED8707" w14:textId="77777777" w:rsidR="000318A3" w:rsidRPr="007B7CBF" w:rsidRDefault="000318A3" w:rsidP="007B7CBF">
      <w:pPr>
        <w:spacing w:after="0" w:line="480" w:lineRule="auto"/>
        <w:jc w:val="both"/>
        <w:rPr>
          <w:rFonts w:ascii="Times New Roman" w:hAnsi="Times New Roman"/>
          <w:b/>
          <w:sz w:val="24"/>
          <w:szCs w:val="24"/>
          <w:lang w:val="es-ES"/>
        </w:rPr>
      </w:pPr>
      <w:r w:rsidRPr="007B7CBF">
        <w:rPr>
          <w:rFonts w:ascii="Times New Roman" w:hAnsi="Times New Roman"/>
          <w:b/>
          <w:sz w:val="24"/>
          <w:szCs w:val="24"/>
          <w:lang w:val="es-ES"/>
        </w:rPr>
        <w:t>Indicación</w:t>
      </w:r>
    </w:p>
    <w:p w14:paraId="406215F3"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
        </w:rPr>
        <w:t>Eltrombopag y Romiplostim están indicados en niños mayores de 1 año de edad afectos de</w:t>
      </w:r>
      <w:r w:rsidRPr="007B7CBF">
        <w:rPr>
          <w:rFonts w:ascii="Times New Roman" w:hAnsi="Times New Roman"/>
          <w:sz w:val="24"/>
          <w:szCs w:val="24"/>
          <w:lang w:val="es-ES_tradnl"/>
        </w:rPr>
        <w:t xml:space="preserve"> PTI crónica que  son refractarios a otros tratamientos de la PTI.</w:t>
      </w:r>
    </w:p>
    <w:p w14:paraId="0DF0CF3E" w14:textId="77777777" w:rsidR="000318A3" w:rsidRPr="007B7CBF" w:rsidRDefault="000318A3" w:rsidP="007B7CBF">
      <w:pPr>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Posología</w:t>
      </w:r>
    </w:p>
    <w:p w14:paraId="6A4B2755" w14:textId="77777777" w:rsidR="000318A3" w:rsidRPr="007B7CBF" w:rsidRDefault="000318A3" w:rsidP="007B7CBF">
      <w:pPr>
        <w:spacing w:after="0" w:line="480" w:lineRule="auto"/>
        <w:jc w:val="both"/>
        <w:rPr>
          <w:rFonts w:ascii="Times New Roman" w:hAnsi="Times New Roman"/>
          <w:i/>
          <w:sz w:val="24"/>
          <w:szCs w:val="24"/>
          <w:lang w:val="es-ES"/>
        </w:rPr>
      </w:pPr>
      <w:r w:rsidRPr="007B7CBF">
        <w:rPr>
          <w:rFonts w:ascii="Times New Roman" w:hAnsi="Times New Roman"/>
          <w:i/>
          <w:sz w:val="24"/>
          <w:szCs w:val="24"/>
          <w:lang w:val="es-ES"/>
        </w:rPr>
        <w:t xml:space="preserve">Romiplostim. </w:t>
      </w:r>
      <w:r w:rsidRPr="007B7CBF">
        <w:rPr>
          <w:rFonts w:ascii="Times New Roman" w:hAnsi="Times New Roman"/>
          <w:sz w:val="24"/>
          <w:szCs w:val="24"/>
          <w:lang w:val="es-ES"/>
        </w:rPr>
        <w:t>Se administra por vía subcutánea una vez por semana</w:t>
      </w:r>
    </w:p>
    <w:p w14:paraId="6030CF5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lastRenderedPageBreak/>
        <w:t xml:space="preserve">Dosis de inicio: 1 μg/kg/s. </w:t>
      </w:r>
    </w:p>
    <w:p w14:paraId="4B8FA9F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_tradnl"/>
        </w:rPr>
        <w:t>Ajuste de dosis: Incremento de 1 μg/kg semanalmente hasta que se alcance un recuento plaquetar &gt;50 x10</w:t>
      </w:r>
      <w:r w:rsidRPr="007B7CBF">
        <w:rPr>
          <w:rFonts w:ascii="Times New Roman" w:hAnsi="Times New Roman"/>
          <w:sz w:val="24"/>
          <w:szCs w:val="24"/>
          <w:vertAlign w:val="superscript"/>
          <w:lang w:val="es-ES_tradnl"/>
        </w:rPr>
        <w:t>9</w:t>
      </w:r>
      <w:r w:rsidRPr="007B7CBF">
        <w:rPr>
          <w:rFonts w:ascii="Times New Roman" w:hAnsi="Times New Roman"/>
          <w:sz w:val="24"/>
          <w:szCs w:val="24"/>
          <w:lang w:val="es-ES_tradnl"/>
        </w:rPr>
        <w:t xml:space="preserve">/L, </w:t>
      </w:r>
      <w:r w:rsidRPr="007B7CBF">
        <w:rPr>
          <w:rFonts w:ascii="Times New Roman" w:hAnsi="Times New Roman"/>
          <w:sz w:val="24"/>
          <w:szCs w:val="24"/>
          <w:lang w:val="es-ES"/>
        </w:rPr>
        <w:t xml:space="preserve">sin exceder la dosis máxima de 10 μg/kg/s. </w:t>
      </w:r>
    </w:p>
    <w:p w14:paraId="6178C671"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La mediana de dosis semanal necesaria del fármaco viene a ser de 5 μg/kg. La máxima respuesta se alcanza a las dos semanas de la primera dosis.</w:t>
      </w:r>
    </w:p>
    <w:p w14:paraId="7161C918"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Si la cifra de plaquetas en dos semanas consecutivas es &gt;150 x10</w:t>
      </w:r>
      <w:r w:rsidRPr="007B7CBF">
        <w:rPr>
          <w:rFonts w:ascii="Times New Roman" w:hAnsi="Times New Roman"/>
          <w:sz w:val="24"/>
          <w:szCs w:val="24"/>
          <w:vertAlign w:val="superscript"/>
          <w:lang w:val="es-ES"/>
        </w:rPr>
        <w:t>9</w:t>
      </w:r>
      <w:r w:rsidRPr="007B7CBF">
        <w:rPr>
          <w:rFonts w:ascii="Times New Roman" w:hAnsi="Times New Roman"/>
          <w:sz w:val="24"/>
          <w:szCs w:val="24"/>
          <w:lang w:val="es-ES"/>
        </w:rPr>
        <w:t>/L, debe bajarse la dosis en 1 μg/kg. Si la cifra de plaquetas es &gt;250 x 10</w:t>
      </w:r>
      <w:r w:rsidRPr="007B7CBF">
        <w:rPr>
          <w:rFonts w:ascii="Times New Roman" w:hAnsi="Times New Roman"/>
          <w:sz w:val="24"/>
          <w:szCs w:val="24"/>
          <w:vertAlign w:val="superscript"/>
          <w:lang w:val="es-ES"/>
        </w:rPr>
        <w:t>9</w:t>
      </w:r>
      <w:r w:rsidRPr="007B7CBF">
        <w:rPr>
          <w:rFonts w:ascii="Times New Roman" w:hAnsi="Times New Roman"/>
          <w:sz w:val="24"/>
          <w:szCs w:val="24"/>
          <w:lang w:val="es-ES"/>
        </w:rPr>
        <w:t>/L, debe suspenderse el tratamiento temporalmente, para volver a iniciarlo con una dosis inferior en 1μg/kg cuando la cifra de plaquetas sea &lt;150 x 10</w:t>
      </w:r>
      <w:r w:rsidRPr="007B7CBF">
        <w:rPr>
          <w:rFonts w:ascii="Times New Roman" w:hAnsi="Times New Roman"/>
          <w:sz w:val="24"/>
          <w:szCs w:val="24"/>
          <w:vertAlign w:val="superscript"/>
          <w:lang w:val="es-ES"/>
        </w:rPr>
        <w:t>9</w:t>
      </w:r>
      <w:r w:rsidRPr="007B7CBF">
        <w:rPr>
          <w:rFonts w:ascii="Times New Roman" w:hAnsi="Times New Roman"/>
          <w:sz w:val="24"/>
          <w:szCs w:val="24"/>
          <w:lang w:val="es-ES"/>
        </w:rPr>
        <w:t xml:space="preserve">/L. </w:t>
      </w:r>
    </w:p>
    <w:p w14:paraId="4F6C9B13"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Hay que evaluar los recuentos plaquetarios semanalmente hasta alcanzar un recuento estable. Luego mensualmente</w:t>
      </w:r>
    </w:p>
    <w:p w14:paraId="1485FD66" w14:textId="77777777" w:rsidR="000318A3" w:rsidRPr="007B7CBF" w:rsidRDefault="000318A3" w:rsidP="007B7CBF">
      <w:pPr>
        <w:spacing w:after="0" w:line="480" w:lineRule="auto"/>
        <w:jc w:val="both"/>
        <w:rPr>
          <w:rFonts w:ascii="Times New Roman" w:hAnsi="Times New Roman"/>
          <w:i/>
          <w:sz w:val="24"/>
          <w:szCs w:val="24"/>
          <w:lang w:val="es-ES"/>
        </w:rPr>
      </w:pPr>
      <w:r w:rsidRPr="007B7CBF">
        <w:rPr>
          <w:rFonts w:ascii="Times New Roman" w:hAnsi="Times New Roman"/>
          <w:i/>
          <w:sz w:val="24"/>
          <w:szCs w:val="24"/>
          <w:lang w:val="es-ES"/>
        </w:rPr>
        <w:t>Eltrombopag</w:t>
      </w:r>
    </w:p>
    <w:p w14:paraId="7356EF32"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Administración vía oral, una vez al día</w:t>
      </w:r>
    </w:p>
    <w:p w14:paraId="69233365"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Dosis de inicio:</w:t>
      </w:r>
    </w:p>
    <w:p w14:paraId="067788A1"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ab/>
      </w:r>
      <w:r w:rsidRPr="007B7CBF">
        <w:rPr>
          <w:rFonts w:ascii="Times New Roman" w:hAnsi="Times New Roman"/>
          <w:sz w:val="24"/>
          <w:szCs w:val="24"/>
          <w:lang w:val="es-ES"/>
        </w:rPr>
        <w:tab/>
        <w:t>Niños de 1- 5 años: 25 mg/d</w:t>
      </w:r>
    </w:p>
    <w:p w14:paraId="32C14149"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ab/>
      </w:r>
      <w:r w:rsidRPr="007B7CBF">
        <w:rPr>
          <w:rFonts w:ascii="Times New Roman" w:hAnsi="Times New Roman"/>
          <w:sz w:val="24"/>
          <w:szCs w:val="24"/>
          <w:lang w:val="es-ES"/>
        </w:rPr>
        <w:tab/>
        <w:t>Niños de 6-17 años: 50 mg/d</w:t>
      </w:r>
    </w:p>
    <w:p w14:paraId="3AF25B39"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En pacientes de  ascendencia del este asiático o aquellos que presenten un daño hepático de moderado a severo: 12,5- 25 mg/d </w:t>
      </w:r>
    </w:p>
    <w:p w14:paraId="7EA25B0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_tradnl"/>
        </w:rPr>
        <w:t>Ajuste de dosis</w:t>
      </w:r>
      <w:r w:rsidRPr="007B7CBF">
        <w:rPr>
          <w:rFonts w:ascii="Times New Roman" w:hAnsi="Times New Roman"/>
          <w:sz w:val="24"/>
          <w:szCs w:val="24"/>
          <w:lang w:val="es-ES"/>
        </w:rPr>
        <w:t>: Si a las dos semanas de iniciado el tratamiento, el recuento plaquetar es &lt; 50 x10</w:t>
      </w:r>
      <w:r w:rsidRPr="007B7CBF">
        <w:rPr>
          <w:rFonts w:ascii="Times New Roman" w:hAnsi="Times New Roman"/>
          <w:sz w:val="24"/>
          <w:szCs w:val="24"/>
          <w:vertAlign w:val="superscript"/>
          <w:lang w:val="es-ES"/>
        </w:rPr>
        <w:t>9</w:t>
      </w:r>
      <w:r w:rsidRPr="007B7CBF">
        <w:rPr>
          <w:rFonts w:ascii="Times New Roman" w:hAnsi="Times New Roman"/>
          <w:sz w:val="24"/>
          <w:szCs w:val="24"/>
          <w:lang w:val="es-ES"/>
        </w:rPr>
        <w:t xml:space="preserve">/L. se aumenta la dosis 12,5 mg/d (en &lt;6 años) o 25 mg/d (en </w:t>
      </w:r>
      <w:r w:rsidRPr="007B7CBF">
        <w:rPr>
          <w:rFonts w:ascii="Times New Roman" w:hAnsi="Times New Roman"/>
          <w:sz w:val="24"/>
          <w:szCs w:val="24"/>
          <w:lang w:val="es-ES"/>
        </w:rPr>
        <w:sym w:font="Symbol" w:char="F0B3"/>
      </w:r>
      <w:r w:rsidRPr="007B7CBF">
        <w:rPr>
          <w:rFonts w:ascii="Times New Roman" w:hAnsi="Times New Roman"/>
          <w:sz w:val="24"/>
          <w:szCs w:val="24"/>
          <w:lang w:val="es-ES"/>
        </w:rPr>
        <w:t xml:space="preserve"> 6 años). </w:t>
      </w:r>
      <w:r w:rsidRPr="007B7CBF">
        <w:rPr>
          <w:rFonts w:ascii="Times New Roman" w:hAnsi="Times New Roman"/>
          <w:sz w:val="24"/>
          <w:szCs w:val="24"/>
          <w:lang w:val="es-ES_tradnl"/>
        </w:rPr>
        <w:t xml:space="preserve">Debe esperarse al menos 2 semanas antes de realizar un nuevo ajuste de dosis, de igual manera, hasta conseguir &gt; </w:t>
      </w:r>
      <w:r w:rsidRPr="007B7CBF">
        <w:rPr>
          <w:rFonts w:ascii="Times New Roman" w:hAnsi="Times New Roman"/>
          <w:sz w:val="24"/>
          <w:szCs w:val="24"/>
          <w:lang w:val="es-ES"/>
        </w:rPr>
        <w:t>50 x10</w:t>
      </w:r>
      <w:r w:rsidRPr="007B7CBF">
        <w:rPr>
          <w:rFonts w:ascii="Times New Roman" w:hAnsi="Times New Roman"/>
          <w:sz w:val="24"/>
          <w:szCs w:val="24"/>
          <w:vertAlign w:val="superscript"/>
          <w:lang w:val="es-ES"/>
        </w:rPr>
        <w:t>9</w:t>
      </w:r>
      <w:r w:rsidRPr="007B7CBF">
        <w:rPr>
          <w:rFonts w:ascii="Times New Roman" w:hAnsi="Times New Roman"/>
          <w:sz w:val="24"/>
          <w:szCs w:val="24"/>
          <w:lang w:val="es-ES"/>
        </w:rPr>
        <w:t xml:space="preserve">/L, sin sobrepasar la dosis máxima 75 mg/d </w:t>
      </w:r>
    </w:p>
    <w:p w14:paraId="358B9DD2"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
        </w:rPr>
        <w:t xml:space="preserve">Para facilitar su absorción, </w:t>
      </w:r>
      <w:r w:rsidRPr="007B7CBF">
        <w:rPr>
          <w:rFonts w:ascii="Times New Roman" w:hAnsi="Times New Roman"/>
          <w:sz w:val="24"/>
          <w:szCs w:val="24"/>
          <w:lang w:val="es-ES_tradnl"/>
        </w:rPr>
        <w:t xml:space="preserve">Eltrombopag debe tomarse con el estómago vacío y como además quela cationes polivalentes, hay </w:t>
      </w:r>
      <w:r w:rsidRPr="007B7CBF">
        <w:rPr>
          <w:rFonts w:ascii="Times New Roman" w:hAnsi="Times New Roman"/>
          <w:sz w:val="24"/>
          <w:szCs w:val="24"/>
          <w:lang w:val="es-ES"/>
        </w:rPr>
        <w:t xml:space="preserve">que considerar que, 4 horas previas a su  administración y las dos horas posteriores, se debe evitar la toma de antiácidos, calcio </w:t>
      </w:r>
      <w:r w:rsidRPr="007B7CBF">
        <w:rPr>
          <w:rFonts w:ascii="Times New Roman" w:hAnsi="Times New Roman"/>
          <w:sz w:val="24"/>
          <w:szCs w:val="24"/>
          <w:lang w:val="es-ES"/>
        </w:rPr>
        <w:lastRenderedPageBreak/>
        <w:t>(derivados lácteos..) o suplementos que contengan  hierro, magnesio, selenio, zinc, aluminio</w:t>
      </w:r>
      <w:r w:rsidRPr="007B7CBF">
        <w:rPr>
          <w:rFonts w:ascii="Times New Roman" w:hAnsi="Times New Roman"/>
          <w:sz w:val="24"/>
          <w:szCs w:val="24"/>
          <w:lang w:val="es-ES_tradnl"/>
        </w:rPr>
        <w:t>. La falta de esta precaución es causa frecuente de no respuesta al tratamiento.</w:t>
      </w:r>
    </w:p>
    <w:p w14:paraId="48325FA0"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b/>
          <w:sz w:val="24"/>
          <w:szCs w:val="24"/>
          <w:lang w:val="es-ES_tradnl"/>
        </w:rPr>
        <w:t>Respuesta</w:t>
      </w:r>
      <w:r w:rsidRPr="007B7CBF">
        <w:rPr>
          <w:rFonts w:ascii="Times New Roman" w:hAnsi="Times New Roman"/>
          <w:sz w:val="24"/>
          <w:szCs w:val="24"/>
          <w:lang w:val="es-ES_tradnl"/>
        </w:rPr>
        <w:t xml:space="preserve"> </w:t>
      </w:r>
    </w:p>
    <w:p w14:paraId="4F8B4AE6"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Ambos han demostrado ser eficaces incrementando los recuentos de plaquetas en alrededor del 80% de pacientes diagnosticados de PTI refractarios a otros tratamientos, aunque la respuesta suele ser estable con mínimos cambios de dosis en la mitad de los casos. </w:t>
      </w:r>
    </w:p>
    <w:p w14:paraId="2DC5483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Hay varios estudios que demuestran la eficacia y la seguridad en la utilización de un segundo AR-TPO cuando el primero ha fallado.</w:t>
      </w:r>
    </w:p>
    <w:p w14:paraId="0470976A"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_tradnl"/>
        </w:rPr>
        <w:t>A pesar de que estos fármacos presentan un inicio rápido del efecto terapéutico (1-2 semanas), el recuento plaquetario suele caer a las 2 semanas de la interrupción del tratamiento, de manera que deben ser administrados de forma continuada con la consiguiente elevación del coste, sin olvidar la falta de experiencia en su seguridad a largo plazo.</w:t>
      </w:r>
      <w:r w:rsidRPr="007B7CBF">
        <w:rPr>
          <w:rFonts w:ascii="Times New Roman" w:hAnsi="Times New Roman"/>
          <w:sz w:val="24"/>
          <w:szCs w:val="24"/>
          <w:lang w:val="es-ES"/>
        </w:rPr>
        <w:t xml:space="preserve"> Se van comunicado casos, en los que se ha podido retirar el el AR-TPO manteniéndose estable el recuento de plaquetas.</w:t>
      </w:r>
    </w:p>
    <w:p w14:paraId="6E6D75C7" w14:textId="77777777" w:rsidR="000318A3" w:rsidRPr="007B7CBF" w:rsidRDefault="000318A3" w:rsidP="007B7CBF">
      <w:pPr>
        <w:spacing w:after="0" w:line="480" w:lineRule="auto"/>
        <w:jc w:val="both"/>
        <w:rPr>
          <w:rFonts w:ascii="Times New Roman" w:hAnsi="Times New Roman"/>
          <w:b/>
          <w:sz w:val="24"/>
          <w:szCs w:val="24"/>
          <w:lang w:val="es-ES"/>
        </w:rPr>
      </w:pPr>
      <w:r w:rsidRPr="007B7CBF">
        <w:rPr>
          <w:rFonts w:ascii="Times New Roman" w:hAnsi="Times New Roman"/>
          <w:b/>
          <w:sz w:val="24"/>
          <w:szCs w:val="24"/>
          <w:lang w:val="es-ES"/>
        </w:rPr>
        <w:t>Interrupción del tratamiento</w:t>
      </w:r>
    </w:p>
    <w:p w14:paraId="784C3CF0"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Debe interrumpirse su administración si tras cuatro semanas de tratamiento a las dosis máximas (Romiplostim:10 μg/kg/semana y 75: mg/d eltrombopag), el recuento plaquetario no aumenta hasta un nivel suficiente que evite hemorragias clínicamente relevantes.</w:t>
      </w:r>
    </w:p>
    <w:p w14:paraId="1FCAC7E3" w14:textId="77777777" w:rsidR="000318A3" w:rsidRPr="007B7CBF" w:rsidRDefault="000318A3" w:rsidP="007B7CBF">
      <w:pPr>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Efectos adversos</w:t>
      </w:r>
    </w:p>
    <w:p w14:paraId="41631D51"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Los acontecimientos adversos más frecuentes descritos en los pacientes tratados son leves, predominando la cefalea e infección respiratoria superior. </w:t>
      </w:r>
    </w:p>
    <w:p w14:paraId="12687BB4"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 xml:space="preserve">En el caso de Eltrombopag se ha observado aumento de transaminasas y bilirrubina, (reversible tras la retirada del fármaco) por lo que debe monitorizarse su determinación </w:t>
      </w:r>
      <w:r w:rsidRPr="007B7CBF">
        <w:rPr>
          <w:rFonts w:ascii="Times New Roman" w:hAnsi="Times New Roman"/>
          <w:sz w:val="24"/>
          <w:szCs w:val="24"/>
          <w:lang w:val="es-ES"/>
        </w:rPr>
        <w:lastRenderedPageBreak/>
        <w:t>antes de iniciar el tratamiento, cada dos semanas durante el ajuste de la dosis y mensualmente en pacientes con recuentos estables de plaquetas</w:t>
      </w:r>
    </w:p>
    <w:p w14:paraId="4D5E629C" w14:textId="77777777"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En ambos agonistas se han descrito efectos adversos poco frecuentes como el aumento de reticulina en la médula ósea (reversible tras la retirada del fármaco), complicaciones trombóticas (más en adultos, aunque también hay algún caso pediátrico) por lo que  se debe tener precaución cuando se administren a pacientes con factores de riesgo conocidos de tromboembolismo, así como la rara posibilidad de progresión de neoplasias hematológicas y síndrome mielodisplasico.</w:t>
      </w:r>
    </w:p>
    <w:p w14:paraId="38F9D9AF"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
        </w:rPr>
        <w:t>También se han comunicado 2 casos de cataratas que llevaban tratamiento concomitante con eltrombopag y corticoides y otros dos casos que desarrollaron anticuerpos anti romiplostim</w:t>
      </w:r>
      <w:r w:rsidRPr="007B7CBF">
        <w:rPr>
          <w:rFonts w:ascii="Times New Roman" w:hAnsi="Times New Roman"/>
          <w:sz w:val="24"/>
          <w:szCs w:val="24"/>
          <w:lang w:val="es-ES_tradnl"/>
        </w:rPr>
        <w:t xml:space="preserve"> sin reacción cruzada con la TPO endógena.</w:t>
      </w:r>
    </w:p>
    <w:p w14:paraId="6420CE56" w14:textId="77777777" w:rsidR="000318A3" w:rsidRPr="007B7CBF" w:rsidRDefault="000318A3" w:rsidP="007B7CBF">
      <w:pPr>
        <w:widowControl w:val="0"/>
        <w:autoSpaceDE w:val="0"/>
        <w:autoSpaceDN w:val="0"/>
        <w:adjustRightInd w:val="0"/>
        <w:spacing w:after="0" w:line="480" w:lineRule="auto"/>
        <w:jc w:val="both"/>
        <w:rPr>
          <w:rFonts w:ascii="Times New Roman" w:hAnsi="Times New Roman"/>
          <w:strike/>
          <w:sz w:val="24"/>
          <w:szCs w:val="24"/>
          <w:lang w:val="es-ES_tradnl"/>
        </w:rPr>
      </w:pPr>
    </w:p>
    <w:p w14:paraId="5998A92F" w14:textId="77777777" w:rsidR="000318A3" w:rsidRPr="007B7CBF" w:rsidRDefault="000318A3" w:rsidP="007B7CBF">
      <w:pPr>
        <w:widowControl w:val="0"/>
        <w:autoSpaceDE w:val="0"/>
        <w:autoSpaceDN w:val="0"/>
        <w:adjustRightInd w:val="0"/>
        <w:spacing w:after="0" w:line="480" w:lineRule="auto"/>
        <w:jc w:val="both"/>
        <w:rPr>
          <w:rStyle w:val="nfasis"/>
          <w:rFonts w:ascii="Times New Roman" w:hAnsi="Times New Roman"/>
          <w:b w:val="0"/>
          <w:sz w:val="24"/>
          <w:szCs w:val="24"/>
        </w:rPr>
      </w:pPr>
      <w:r w:rsidRPr="007B7CBF">
        <w:rPr>
          <w:rStyle w:val="Textoennegrita"/>
          <w:rFonts w:ascii="Times New Roman" w:hAnsi="Times New Roman"/>
          <w:b w:val="0"/>
          <w:sz w:val="24"/>
          <w:szCs w:val="24"/>
        </w:rPr>
        <w:t>ESPLENECTOMÍA</w:t>
      </w:r>
    </w:p>
    <w:p w14:paraId="509F5826" w14:textId="77777777" w:rsidR="000318A3" w:rsidRPr="007B7CBF" w:rsidRDefault="000318A3" w:rsidP="007B7CBF">
      <w:pPr>
        <w:widowControl w:val="0"/>
        <w:numPr>
          <w:ilvl w:val="2"/>
          <w:numId w:val="17"/>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Indicaciones</w:t>
      </w:r>
    </w:p>
    <w:p w14:paraId="0C058F1C"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PTI de diagnóstico reciente o persistente: ante urgencia hemorrágica con riesgo vital que no responde a tratamiento previo</w:t>
      </w:r>
    </w:p>
    <w:p w14:paraId="4C4FEED3" w14:textId="77777777" w:rsidR="000318A3" w:rsidRPr="007B7CBF" w:rsidRDefault="000318A3" w:rsidP="007B7CBF">
      <w:pPr>
        <w:spacing w:after="0" w:line="480" w:lineRule="auto"/>
        <w:ind w:left="993"/>
        <w:jc w:val="both"/>
        <w:rPr>
          <w:rFonts w:ascii="Times New Roman" w:hAnsi="Times New Roman"/>
          <w:sz w:val="24"/>
          <w:szCs w:val="24"/>
          <w:lang w:val="es-ES_tradnl"/>
        </w:rPr>
      </w:pPr>
      <w:r w:rsidRPr="007B7CBF">
        <w:rPr>
          <w:rFonts w:ascii="Times New Roman" w:hAnsi="Times New Roman"/>
          <w:sz w:val="24"/>
          <w:szCs w:val="24"/>
          <w:lang w:val="es-ES_tradnl"/>
        </w:rPr>
        <w:t xml:space="preserve">PTI crónica: </w:t>
      </w:r>
    </w:p>
    <w:p w14:paraId="318A03B3" w14:textId="77777777" w:rsidR="000318A3" w:rsidRPr="007B7CBF" w:rsidRDefault="000318A3" w:rsidP="007B7CBF">
      <w:pPr>
        <w:widowControl w:val="0"/>
        <w:numPr>
          <w:ilvl w:val="0"/>
          <w:numId w:val="12"/>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ante urgencia hemorrágica con riesgo vital </w:t>
      </w:r>
    </w:p>
    <w:p w14:paraId="16BCA4D9" w14:textId="77777777" w:rsidR="000318A3" w:rsidRPr="007B7CBF" w:rsidRDefault="000318A3" w:rsidP="007B7CBF">
      <w:pPr>
        <w:widowControl w:val="0"/>
        <w:numPr>
          <w:ilvl w:val="0"/>
          <w:numId w:val="12"/>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bCs/>
          <w:sz w:val="24"/>
          <w:szCs w:val="24"/>
          <w:lang w:val="es-ES_tradnl"/>
        </w:rPr>
        <w:t>valorar en mayores de 5 años, sintomáticos, refractarios a tratamientos previos, que presenta interferencia con su vida normal, con más de dos años de evolución</w:t>
      </w:r>
    </w:p>
    <w:p w14:paraId="73781E42" w14:textId="77777777" w:rsidR="000318A3" w:rsidRPr="007B7CBF" w:rsidRDefault="000318A3" w:rsidP="007B7CBF">
      <w:pPr>
        <w:widowControl w:val="0"/>
        <w:numPr>
          <w:ilvl w:val="2"/>
          <w:numId w:val="17"/>
        </w:numPr>
        <w:autoSpaceDE w:val="0"/>
        <w:autoSpaceDN w:val="0"/>
        <w:adjustRightInd w:val="0"/>
        <w:spacing w:after="0" w:line="480" w:lineRule="auto"/>
        <w:jc w:val="both"/>
        <w:rPr>
          <w:rFonts w:ascii="Times New Roman" w:hAnsi="Times New Roman"/>
          <w:b/>
          <w:sz w:val="24"/>
          <w:szCs w:val="24"/>
          <w:lang w:val="es-ES_tradnl"/>
        </w:rPr>
      </w:pPr>
      <w:r w:rsidRPr="007B7CBF">
        <w:rPr>
          <w:rFonts w:ascii="Times New Roman" w:hAnsi="Times New Roman"/>
          <w:b/>
          <w:sz w:val="24"/>
          <w:szCs w:val="24"/>
          <w:lang w:val="es-ES_tradnl"/>
        </w:rPr>
        <w:t>Profilaxis y manejo de la infección en el paciente esplenectomizado</w:t>
      </w:r>
    </w:p>
    <w:p w14:paraId="622DC8FA" w14:textId="77777777" w:rsidR="000318A3" w:rsidRPr="007B7CBF" w:rsidRDefault="000318A3" w:rsidP="007B7CBF">
      <w:pPr>
        <w:widowControl w:val="0"/>
        <w:numPr>
          <w:ilvl w:val="0"/>
          <w:numId w:val="14"/>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profilaxis: </w:t>
      </w:r>
    </w:p>
    <w:p w14:paraId="11841A88" w14:textId="77777777" w:rsidR="000318A3" w:rsidRPr="007B7CBF" w:rsidRDefault="000318A3" w:rsidP="007B7CBF">
      <w:pPr>
        <w:widowControl w:val="0"/>
        <w:numPr>
          <w:ilvl w:val="1"/>
          <w:numId w:val="14"/>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vacunación antineumocóccica, antimeningocóccica y frente a hemofilus</w:t>
      </w:r>
    </w:p>
    <w:p w14:paraId="13FA829D" w14:textId="77777777" w:rsidR="000318A3" w:rsidRPr="007B7CBF" w:rsidRDefault="000318A3" w:rsidP="007B7CBF">
      <w:pPr>
        <w:widowControl w:val="0"/>
        <w:numPr>
          <w:ilvl w:val="1"/>
          <w:numId w:val="14"/>
        </w:numPr>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lastRenderedPageBreak/>
        <w:t>penicilina oral diaria ó amoxicilina: hasta un mínimo de dos  años tras la intervención</w:t>
      </w:r>
    </w:p>
    <w:p w14:paraId="0C718526" w14:textId="77777777" w:rsidR="000318A3" w:rsidRPr="007B7CBF" w:rsidRDefault="000318A3" w:rsidP="007B7CBF">
      <w:pPr>
        <w:widowControl w:val="0"/>
        <w:numPr>
          <w:ilvl w:val="0"/>
          <w:numId w:val="14"/>
        </w:numPr>
        <w:tabs>
          <w:tab w:val="left" w:pos="2099"/>
        </w:tabs>
        <w:autoSpaceDE w:val="0"/>
        <w:autoSpaceDN w:val="0"/>
        <w:adjustRightInd w:val="0"/>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tratamiento de la infección: ante síndrome febril sin foco iniciar antibioterapia con cobertura para neumococo, hemofilus y meningococo</w:t>
      </w:r>
    </w:p>
    <w:p w14:paraId="7A0DBA8C" w14:textId="77777777"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MICOFENOLATO DE MOFETILO.</w:t>
      </w:r>
    </w:p>
    <w:p w14:paraId="3F916740" w14:textId="4E7C72B0" w:rsidR="000318A3" w:rsidRPr="007B7CBF" w:rsidRDefault="000318A3"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
        </w:rPr>
        <w:t>Su experiencia en la PTI en Pediatría es limitada, aunque puede resultar eficaz en pacientes con formas menos graves de trombocitopenia inmune crónica o en cuadros de citopenia inmune (síndrome de Evans o síndrome linfoproliferativo autoinmune). La dosis recomendada es de 20-40 mg/kg/día, repartido en dos dosis.  La tasa de respuesta global puede llegar hasta un 50-60%, con un tiempo de respuesta entre 4-6 semanas. Es bien tolerado, y los principales efectos secundarios son cefalea y molestias gastrointestinales</w:t>
      </w:r>
      <w:r w:rsidRPr="007B7CBF">
        <w:rPr>
          <w:rFonts w:ascii="Times New Roman" w:hAnsi="Times New Roman"/>
          <w:noProof/>
          <w:sz w:val="24"/>
          <w:szCs w:val="24"/>
          <w:lang w:val="es-ES"/>
        </w:rPr>
        <w:t>(33, 40, 41)</w:t>
      </w:r>
      <w:r w:rsidRPr="007B7CBF">
        <w:rPr>
          <w:rFonts w:ascii="Times New Roman" w:hAnsi="Times New Roman"/>
          <w:sz w:val="24"/>
          <w:szCs w:val="24"/>
          <w:lang w:val="es-ES"/>
        </w:rPr>
        <w:t xml:space="preserve">. </w:t>
      </w:r>
    </w:p>
    <w:p w14:paraId="4832C682" w14:textId="77777777" w:rsidR="000318A3" w:rsidRPr="007B7CBF" w:rsidRDefault="000318A3" w:rsidP="007B7CBF">
      <w:pPr>
        <w:spacing w:after="0" w:line="480" w:lineRule="auto"/>
        <w:jc w:val="both"/>
        <w:rPr>
          <w:rStyle w:val="Textoennegrita"/>
          <w:rFonts w:ascii="Times New Roman" w:hAnsi="Times New Roman"/>
          <w:b w:val="0"/>
          <w:sz w:val="24"/>
          <w:szCs w:val="24"/>
          <w:lang w:val="es-ES"/>
        </w:rPr>
      </w:pPr>
      <w:r w:rsidRPr="007B7CBF">
        <w:rPr>
          <w:rStyle w:val="Textoennegrita"/>
          <w:rFonts w:ascii="Times New Roman" w:hAnsi="Times New Roman"/>
          <w:b w:val="0"/>
          <w:sz w:val="24"/>
          <w:szCs w:val="24"/>
          <w:lang w:val="es-ES_tradnl"/>
        </w:rPr>
        <w:t>RITUXIMAB. ANTICUERPO MONOCLONAL ANTI-CD20</w:t>
      </w:r>
    </w:p>
    <w:p w14:paraId="403845A7" w14:textId="1748A43B" w:rsidR="000318A3" w:rsidRPr="007B7CBF" w:rsidRDefault="000318A3"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Ha sido empleado en adultos y también en niños, aunque en estos últimos existe menos experiencia</w:t>
      </w:r>
      <w:r w:rsidRPr="007B7CBF">
        <w:rPr>
          <w:rFonts w:ascii="Times New Roman" w:hAnsi="Times New Roman"/>
          <w:noProof/>
          <w:sz w:val="24"/>
          <w:szCs w:val="24"/>
          <w:lang w:val="es-ES_tradnl"/>
        </w:rPr>
        <w:t>(33, 37, 42)</w:t>
      </w:r>
      <w:r w:rsidRPr="007B7CBF">
        <w:rPr>
          <w:rFonts w:ascii="Times New Roman" w:hAnsi="Times New Roman"/>
          <w:sz w:val="24"/>
          <w:szCs w:val="24"/>
          <w:lang w:val="es-ES_tradnl"/>
        </w:rPr>
        <w:t>. Se obtiene una tasa de respuesta entre el 30 y 60% en función del tiempo de análisis. Su infusión requiere la vigilancia de problemas inmunoalérgicos agudos ocasionalmente graves. Existe riesgo infeccioso por depleción prolongada de linfocitos B y actualmente sigue bajo vigilancia  por la descripción de cuadros de leucoencefalopatía multifocal progresiva, comunicada  tras la administración en otras enfermedades</w:t>
      </w:r>
      <w:r w:rsidRPr="007B7CBF">
        <w:rPr>
          <w:rFonts w:ascii="Times New Roman" w:hAnsi="Times New Roman"/>
          <w:noProof/>
          <w:sz w:val="24"/>
          <w:szCs w:val="24"/>
          <w:lang w:val="es-ES_tradnl"/>
        </w:rPr>
        <w:t>(43)</w:t>
      </w:r>
      <w:r w:rsidRPr="007B7CBF">
        <w:rPr>
          <w:rFonts w:ascii="Times New Roman" w:hAnsi="Times New Roman"/>
          <w:sz w:val="24"/>
          <w:szCs w:val="24"/>
          <w:lang w:val="es-ES_tradnl"/>
        </w:rPr>
        <w:t>. Su administración debe indicarse por uso compasivo, al no estar incluida esta indicación en ficha técnica.</w:t>
      </w:r>
    </w:p>
    <w:p w14:paraId="49D4F434" w14:textId="0B8359A9" w:rsidR="000318A3" w:rsidRDefault="000318A3" w:rsidP="007B7CBF">
      <w:pPr>
        <w:spacing w:after="0" w:line="480" w:lineRule="auto"/>
        <w:jc w:val="both"/>
        <w:rPr>
          <w:rFonts w:ascii="Times New Roman" w:hAnsi="Times New Roman"/>
          <w:sz w:val="24"/>
          <w:szCs w:val="24"/>
          <w:lang w:val="es-ES_tradnl"/>
        </w:rPr>
      </w:pPr>
    </w:p>
    <w:p w14:paraId="491364B6" w14:textId="61B9BB04" w:rsidR="00386B7A" w:rsidRPr="00386B7A" w:rsidRDefault="00386B7A" w:rsidP="007B7CBF">
      <w:pPr>
        <w:spacing w:after="0" w:line="480" w:lineRule="auto"/>
        <w:jc w:val="both"/>
        <w:rPr>
          <w:rFonts w:ascii="Times New Roman" w:hAnsi="Times New Roman"/>
          <w:b/>
          <w:sz w:val="24"/>
          <w:szCs w:val="24"/>
          <w:lang w:val="es-ES_tradnl"/>
        </w:rPr>
      </w:pPr>
      <w:r w:rsidRPr="00386B7A">
        <w:rPr>
          <w:rFonts w:ascii="Times New Roman" w:hAnsi="Times New Roman"/>
          <w:b/>
          <w:sz w:val="24"/>
          <w:szCs w:val="24"/>
          <w:lang w:val="es-ES_tradnl"/>
        </w:rPr>
        <w:t>CONFLICTO DE INTERESES</w:t>
      </w:r>
    </w:p>
    <w:p w14:paraId="781CC34B" w14:textId="15897F43" w:rsidR="007B7CBF" w:rsidRPr="007B7CBF" w:rsidRDefault="007B7CBF"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_tradnl"/>
        </w:rPr>
        <w:t xml:space="preserve">Emilio Monteagudo; </w:t>
      </w:r>
      <w:r w:rsidRPr="007B7CBF">
        <w:rPr>
          <w:rFonts w:ascii="Times New Roman" w:hAnsi="Times New Roman"/>
          <w:sz w:val="24"/>
          <w:szCs w:val="24"/>
          <w:lang w:val="es-ES"/>
        </w:rPr>
        <w:t>Asistencia a Advisory Board de Amgen</w:t>
      </w:r>
    </w:p>
    <w:p w14:paraId="3BF90CC0" w14:textId="5C6AF7FE" w:rsidR="007B7CBF" w:rsidRPr="007B7CBF" w:rsidRDefault="007B7CBF" w:rsidP="007B7CBF">
      <w:pPr>
        <w:spacing w:after="0" w:line="480" w:lineRule="auto"/>
        <w:jc w:val="both"/>
        <w:rPr>
          <w:rFonts w:ascii="Times New Roman" w:hAnsi="Times New Roman"/>
          <w:sz w:val="24"/>
          <w:szCs w:val="24"/>
          <w:lang w:val="es-ES"/>
        </w:rPr>
      </w:pPr>
      <w:r w:rsidRPr="007B7CBF">
        <w:rPr>
          <w:rFonts w:ascii="Times New Roman" w:hAnsi="Times New Roman"/>
          <w:sz w:val="24"/>
          <w:szCs w:val="24"/>
          <w:lang w:val="es-ES_tradnl"/>
        </w:rPr>
        <w:t xml:space="preserve">Itziar Astigarraga; </w:t>
      </w:r>
      <w:r w:rsidRPr="007B7CBF">
        <w:rPr>
          <w:rFonts w:ascii="Times New Roman" w:hAnsi="Times New Roman"/>
          <w:sz w:val="24"/>
          <w:szCs w:val="24"/>
          <w:lang w:val="es-ES"/>
        </w:rPr>
        <w:t>Asistencia al Advisory Board de Nplate-Amgen</w:t>
      </w:r>
    </w:p>
    <w:p w14:paraId="350DB8B0" w14:textId="2BBBBFBF" w:rsidR="007B7CBF" w:rsidRPr="007B7CBF" w:rsidRDefault="007B7CBF"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lastRenderedPageBreak/>
        <w:t xml:space="preserve">Áurea Cervera; </w:t>
      </w:r>
      <w:r w:rsidRPr="007B7CBF">
        <w:rPr>
          <w:rFonts w:ascii="Times New Roman" w:hAnsi="Times New Roman"/>
          <w:sz w:val="24"/>
          <w:szCs w:val="24"/>
          <w:lang w:val="es-ES"/>
        </w:rPr>
        <w:t>Asistencia a 2 Advisory Boards de Nplate-Amgen. Honorarios de Novartis por ponencia en reunión de PTI</w:t>
      </w:r>
    </w:p>
    <w:p w14:paraId="4BB8BC6F" w14:textId="2E9C8DE1" w:rsidR="007B7CBF" w:rsidRPr="007B7CBF" w:rsidRDefault="007B7CBF"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Mª Angeles Dasí; </w:t>
      </w:r>
      <w:r w:rsidRPr="007B7CBF">
        <w:rPr>
          <w:rFonts w:ascii="Times New Roman" w:hAnsi="Times New Roman"/>
          <w:sz w:val="24"/>
          <w:szCs w:val="24"/>
          <w:lang w:val="es-ES"/>
        </w:rPr>
        <w:t>Asistencia a Advisory Board de Revolade – Novartis. Asistencia al Advisory Board de Nplate-Amgen</w:t>
      </w:r>
    </w:p>
    <w:p w14:paraId="512EE738" w14:textId="71A8E6B0" w:rsidR="007B7CBF" w:rsidRPr="007B7CBF" w:rsidRDefault="007B7CBF"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Ana Sastre; </w:t>
      </w:r>
      <w:r w:rsidRPr="007B7CBF">
        <w:rPr>
          <w:rFonts w:ascii="Times New Roman" w:hAnsi="Times New Roman"/>
          <w:sz w:val="24"/>
          <w:szCs w:val="24"/>
          <w:lang w:val="es-ES"/>
        </w:rPr>
        <w:t>Asistencia a Advisory Board de Revolade – Novartis. Asistencia al Advisory Board de Nplate-Amgen. Participación en programa de formación online sobre PTI pediátrica patrocinado por Novartis. Participación como ponente en diversas reuniones formativas patrocinadas por Novartis</w:t>
      </w:r>
    </w:p>
    <w:p w14:paraId="62A7FEDF" w14:textId="3BE172DE" w:rsidR="007B7CBF" w:rsidRPr="007B7CBF" w:rsidRDefault="007B7CBF"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Rubén Berrueco; </w:t>
      </w:r>
      <w:r w:rsidRPr="007B7CBF">
        <w:rPr>
          <w:rFonts w:ascii="Times New Roman" w:hAnsi="Times New Roman"/>
          <w:sz w:val="24"/>
          <w:szCs w:val="24"/>
          <w:lang w:val="es-ES"/>
        </w:rPr>
        <w:t>Asistencia a Advisory Board de Revolade – Novartis. Participación en programa de formación online sobre PTI pediátrica patrocinado por Novartis.</w:t>
      </w:r>
    </w:p>
    <w:p w14:paraId="1B45F743" w14:textId="14C54DA1" w:rsidR="007B7CBF" w:rsidRPr="007B7CBF" w:rsidRDefault="007B7CBF" w:rsidP="007B7CBF">
      <w:pPr>
        <w:spacing w:after="0" w:line="480" w:lineRule="auto"/>
        <w:jc w:val="both"/>
        <w:rPr>
          <w:rFonts w:ascii="Times New Roman" w:hAnsi="Times New Roman"/>
          <w:sz w:val="24"/>
          <w:szCs w:val="24"/>
          <w:lang w:val="es-ES_tradnl"/>
        </w:rPr>
      </w:pPr>
      <w:r w:rsidRPr="007B7CBF">
        <w:rPr>
          <w:rFonts w:ascii="Times New Roman" w:hAnsi="Times New Roman"/>
          <w:sz w:val="24"/>
          <w:szCs w:val="24"/>
          <w:lang w:val="es-ES_tradnl"/>
        </w:rPr>
        <w:t xml:space="preserve">José Luis Dapena; </w:t>
      </w:r>
      <w:r w:rsidRPr="007B7CBF">
        <w:rPr>
          <w:rFonts w:ascii="Times New Roman" w:hAnsi="Times New Roman"/>
          <w:sz w:val="24"/>
          <w:szCs w:val="24"/>
          <w:lang w:val="es-ES"/>
        </w:rPr>
        <w:t xml:space="preserve">Asistencia a Advisory Board de Revolade – Novartis. Participación en programa de formación online sobre PTI pediátrica patrocinado por Novartis. </w:t>
      </w:r>
      <w:r w:rsidRPr="007B7CBF">
        <w:rPr>
          <w:rFonts w:ascii="Times New Roman" w:hAnsi="Times New Roman"/>
          <w:sz w:val="24"/>
          <w:szCs w:val="24"/>
        </w:rPr>
        <w:t>Asistencia al Advisory Board de Nplate-Amgen</w:t>
      </w:r>
    </w:p>
    <w:p w14:paraId="56418C14" w14:textId="77777777" w:rsidR="007B7CBF" w:rsidRPr="007B7CBF" w:rsidRDefault="007B7CBF" w:rsidP="007B7CBF">
      <w:pPr>
        <w:spacing w:after="0" w:line="480" w:lineRule="auto"/>
        <w:jc w:val="both"/>
        <w:rPr>
          <w:rFonts w:ascii="Times New Roman" w:hAnsi="Times New Roman"/>
          <w:sz w:val="24"/>
          <w:szCs w:val="24"/>
          <w:lang w:val="es-ES_tradnl"/>
        </w:rPr>
      </w:pPr>
    </w:p>
    <w:p w14:paraId="50C1ACA5" w14:textId="77777777" w:rsidR="007B7CBF" w:rsidRPr="00386B7A" w:rsidRDefault="007B7CBF" w:rsidP="007B7CBF">
      <w:pPr>
        <w:pStyle w:val="Estilo1"/>
        <w:spacing w:after="0" w:line="480" w:lineRule="auto"/>
        <w:jc w:val="both"/>
        <w:rPr>
          <w:rFonts w:ascii="Times New Roman" w:hAnsi="Times New Roman"/>
          <w:b/>
          <w:sz w:val="24"/>
          <w:szCs w:val="24"/>
        </w:rPr>
      </w:pPr>
      <w:r w:rsidRPr="00386B7A">
        <w:rPr>
          <w:rFonts w:ascii="Times New Roman" w:hAnsi="Times New Roman"/>
          <w:b/>
          <w:sz w:val="24"/>
          <w:szCs w:val="24"/>
        </w:rPr>
        <w:t>BIBLIOGRAFÍA</w:t>
      </w:r>
    </w:p>
    <w:p w14:paraId="4205D078"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w:t>
      </w:r>
      <w:r w:rsidRPr="007B7CBF">
        <w:rPr>
          <w:rFonts w:ascii="Times New Roman" w:hAnsi="Times New Roman"/>
          <w:noProof/>
          <w:sz w:val="24"/>
          <w:szCs w:val="24"/>
        </w:rPr>
        <w:tab/>
        <w:t>Rodeghiero F, Stasi R, Gernsheimer T, Michel M, Provan D, Arnold DM, et al. Standardization of terminology, definitions and outcome criteria in immune thrombocytopenic purpura of adults and children: report from an international working group. Blood.      2009;113(11):2386-93.</w:t>
      </w:r>
    </w:p>
    <w:p w14:paraId="741B6116"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w:t>
      </w:r>
      <w:r w:rsidRPr="007B7CBF">
        <w:rPr>
          <w:rFonts w:ascii="Times New Roman" w:hAnsi="Times New Roman"/>
          <w:noProof/>
          <w:sz w:val="24"/>
          <w:szCs w:val="24"/>
        </w:rPr>
        <w:tab/>
        <w:t>Heitink-Polle KMJ, Uiterwaal C, Porcelijn L, Tamminga RYJ, Smiers FJ, van Woerden NL, et al. Intravenous immunoglobulin vs observation in childhood immune thrombocytopenia: a randomized controlled trial. Blood. 2018;132(9):883-91.</w:t>
      </w:r>
    </w:p>
    <w:p w14:paraId="59686C7F"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w:t>
      </w:r>
      <w:r w:rsidRPr="007B7CBF">
        <w:rPr>
          <w:rFonts w:ascii="Times New Roman" w:hAnsi="Times New Roman"/>
          <w:noProof/>
          <w:sz w:val="24"/>
          <w:szCs w:val="24"/>
        </w:rPr>
        <w:tab/>
        <w:t>Provan D, Stasi R, Newland AC, Blanchette VS, Bolton-Maggs P, Bussel JB, et al. International consensus report on the investigation and management of primary immune thrombocytopenia. Blood.      2010;115(2):168-86.</w:t>
      </w:r>
    </w:p>
    <w:p w14:paraId="1617265F"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lastRenderedPageBreak/>
        <w:t>4.</w:t>
      </w:r>
      <w:r w:rsidRPr="007B7CBF">
        <w:rPr>
          <w:rFonts w:ascii="Times New Roman" w:hAnsi="Times New Roman"/>
          <w:noProof/>
          <w:sz w:val="24"/>
          <w:szCs w:val="24"/>
        </w:rPr>
        <w:tab/>
        <w:t>Kühne T, Imbach P, Bolton-Maggs PH, Berchtold W, Blanchette V, Buchanan GR, et al. Newly diagnosed idiopathic thrombocytopenic purpura in childhood: an observational study. Lancet.      2001;358(9299):2122-5.</w:t>
      </w:r>
    </w:p>
    <w:p w14:paraId="1127C303"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5.</w:t>
      </w:r>
      <w:r w:rsidRPr="007B7CBF">
        <w:rPr>
          <w:rFonts w:ascii="Times New Roman" w:hAnsi="Times New Roman"/>
          <w:noProof/>
          <w:sz w:val="24"/>
          <w:szCs w:val="24"/>
        </w:rPr>
        <w:tab/>
        <w:t>Kühne T, Buchanan GR, Zimmerman S, Michaels LA, Kohan R, Berchtold W, et al. A prospective comparative study of 2540 infants and children with newly diagnosed idiopathic thrombocytopenic purpura (ITP) from the Intercontinental Childhood ITP Study Group. J Pediatr.      2003;143(5):605-8.</w:t>
      </w:r>
    </w:p>
    <w:p w14:paraId="3D70FBEB"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6.</w:t>
      </w:r>
      <w:r w:rsidRPr="007B7CBF">
        <w:rPr>
          <w:rFonts w:ascii="Times New Roman" w:hAnsi="Times New Roman"/>
          <w:noProof/>
          <w:sz w:val="24"/>
          <w:szCs w:val="24"/>
        </w:rPr>
        <w:tab/>
        <w:t>Iyori H, Bessho F, Ookawa H, Konishi S, Shirahata A, Miyazaki S, et al. Intracranial hemorrhage in children with immune thrombocytopenic purpura. Japanese Study Group on childhood ITP. Ann Hematol.      2000;79(12):691-5.</w:t>
      </w:r>
    </w:p>
    <w:p w14:paraId="327D3832"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7.</w:t>
      </w:r>
      <w:r w:rsidRPr="007B7CBF">
        <w:rPr>
          <w:rFonts w:ascii="Times New Roman" w:hAnsi="Times New Roman"/>
          <w:noProof/>
          <w:sz w:val="24"/>
          <w:szCs w:val="24"/>
        </w:rPr>
        <w:tab/>
        <w:t>Elalfy M, Elbarbary N, Khaddah N, Abdelwahab M, El Rashidy F, Hassab H, et al. Intracranial hemorrhage in acute and chronic childhood immune thrombocytopenic purpura over a ten-year period: an Egyptian multicenter study. Acta Haematol.      2010;123(1):59-63.</w:t>
      </w:r>
    </w:p>
    <w:p w14:paraId="08E19721"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8.</w:t>
      </w:r>
      <w:r w:rsidRPr="007B7CBF">
        <w:rPr>
          <w:rFonts w:ascii="Times New Roman" w:hAnsi="Times New Roman"/>
          <w:noProof/>
          <w:sz w:val="24"/>
          <w:szCs w:val="24"/>
        </w:rPr>
        <w:tab/>
        <w:t>Butros LJ, Bussel JB. Intracranial hemorrhage in immune thrombocytopenic purpura: a retrospective analysis. J Pediatr Hematol Oncol.      2003;25(8):660-4.</w:t>
      </w:r>
    </w:p>
    <w:p w14:paraId="516F92F8" w14:textId="77777777" w:rsidR="007B7CBF" w:rsidRPr="007B7CBF" w:rsidRDefault="007B7CBF" w:rsidP="007B7CBF">
      <w:pPr>
        <w:pStyle w:val="EndNoteBibliography"/>
        <w:spacing w:after="0" w:line="480" w:lineRule="auto"/>
        <w:jc w:val="both"/>
        <w:rPr>
          <w:rFonts w:ascii="Times New Roman" w:hAnsi="Times New Roman"/>
          <w:noProof/>
          <w:sz w:val="24"/>
          <w:szCs w:val="24"/>
          <w:lang w:val="es-ES"/>
        </w:rPr>
      </w:pPr>
      <w:r w:rsidRPr="007B7CBF">
        <w:rPr>
          <w:rFonts w:ascii="Times New Roman" w:hAnsi="Times New Roman"/>
          <w:noProof/>
          <w:sz w:val="24"/>
          <w:szCs w:val="24"/>
        </w:rPr>
        <w:t>9.</w:t>
      </w:r>
      <w:r w:rsidRPr="007B7CBF">
        <w:rPr>
          <w:rFonts w:ascii="Times New Roman" w:hAnsi="Times New Roman"/>
          <w:noProof/>
          <w:sz w:val="24"/>
          <w:szCs w:val="24"/>
        </w:rPr>
        <w:tab/>
        <w:t xml:space="preserve">Neunert CE, Buchanan GR, Imbach P, Bolton-Maggs PHB, Bennett CM, Neufeld EJ, et al. Severe hemorrhage in children with newly diagnosed immune thrombocytopenic purpura. </w:t>
      </w:r>
      <w:r w:rsidRPr="007B7CBF">
        <w:rPr>
          <w:rFonts w:ascii="Times New Roman" w:hAnsi="Times New Roman"/>
          <w:noProof/>
          <w:sz w:val="24"/>
          <w:szCs w:val="24"/>
          <w:lang w:val="es-ES"/>
        </w:rPr>
        <w:t>Blood.      2008;112(10):4003-8.</w:t>
      </w:r>
    </w:p>
    <w:p w14:paraId="406626F6"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lang w:val="es-ES"/>
        </w:rPr>
        <w:t>10.</w:t>
      </w:r>
      <w:r w:rsidRPr="007B7CBF">
        <w:rPr>
          <w:rFonts w:ascii="Times New Roman" w:hAnsi="Times New Roman"/>
          <w:noProof/>
          <w:sz w:val="24"/>
          <w:szCs w:val="24"/>
          <w:lang w:val="es-ES"/>
        </w:rPr>
        <w:tab/>
        <w:t xml:space="preserve">Monteagudo E, Fernández-Delgado R, Sastre A, Toll T, Llort A, Molina J, et al. </w:t>
      </w:r>
      <w:r w:rsidRPr="007B7CBF">
        <w:rPr>
          <w:rFonts w:ascii="Times New Roman" w:hAnsi="Times New Roman"/>
          <w:noProof/>
          <w:sz w:val="24"/>
          <w:szCs w:val="24"/>
        </w:rPr>
        <w:t>[Protocol for the study and treatment of immune thrombocytopenic purpura (ITP). ITP-2010]. An Pediatr (Barc).      2011;74(6):414.e1-8.</w:t>
      </w:r>
    </w:p>
    <w:p w14:paraId="29F1704E"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11.</w:t>
      </w:r>
      <w:r w:rsidRPr="007B7CBF">
        <w:rPr>
          <w:rFonts w:ascii="Times New Roman" w:hAnsi="Times New Roman"/>
          <w:noProof/>
          <w:sz w:val="24"/>
          <w:szCs w:val="24"/>
        </w:rPr>
        <w:tab/>
        <w:t>Neunert C, Lim W, Crowther M, Cohen A, Solberg L, Crowther MA, et al. The American Society of Hematology 2011 evidence-based practice guideline for immune thrombocytopenia. Blood.      2011;117(16):4190-207.</w:t>
      </w:r>
    </w:p>
    <w:p w14:paraId="2E6E1802"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lastRenderedPageBreak/>
        <w:t>12.</w:t>
      </w:r>
      <w:r w:rsidRPr="007B7CBF">
        <w:rPr>
          <w:rFonts w:ascii="Times New Roman" w:hAnsi="Times New Roman"/>
          <w:noProof/>
          <w:sz w:val="24"/>
          <w:szCs w:val="24"/>
        </w:rPr>
        <w:tab/>
        <w:t>Anoop P. Decision to perform bone marrow aspiration in immune thrombocytopenic purpura must be based on evidence. Pediatric Hematology and Oncology.      2009;25:91-2.</w:t>
      </w:r>
    </w:p>
    <w:p w14:paraId="509BDCFE"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13.</w:t>
      </w:r>
      <w:r w:rsidRPr="007B7CBF">
        <w:rPr>
          <w:rFonts w:ascii="Times New Roman" w:hAnsi="Times New Roman"/>
          <w:noProof/>
          <w:sz w:val="24"/>
          <w:szCs w:val="24"/>
        </w:rPr>
        <w:tab/>
        <w:t>Mayer B, Salama A. Successful treatment of bleeding with tranexamic acid in a series of 12 patients with immune thrombocytopenia. Vox Sanguinis. 2017;112(8):767-72.</w:t>
      </w:r>
    </w:p>
    <w:p w14:paraId="0679D511"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14.</w:t>
      </w:r>
      <w:r w:rsidRPr="007B7CBF">
        <w:rPr>
          <w:rFonts w:ascii="Times New Roman" w:hAnsi="Times New Roman"/>
          <w:noProof/>
          <w:sz w:val="24"/>
          <w:szCs w:val="24"/>
        </w:rPr>
        <w:tab/>
        <w:t>Blanchette VS, Luke B, Andrew M, Sommerville-Nielsen S, Barnard D, de Veber B, et al. A prospective, randomized trial of high-dose intravenous immune globulin G therapy, oral prednisone therapy, and no therapy in childhood acute immune thrombocytopenic purpura. J Pediatr.      1993;123(6):989-95.</w:t>
      </w:r>
    </w:p>
    <w:p w14:paraId="0AEFAA05"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15.</w:t>
      </w:r>
      <w:r w:rsidRPr="007B7CBF">
        <w:rPr>
          <w:rFonts w:ascii="Times New Roman" w:hAnsi="Times New Roman"/>
          <w:noProof/>
          <w:sz w:val="24"/>
          <w:szCs w:val="24"/>
        </w:rPr>
        <w:tab/>
        <w:t>Blanchette V, Imbach P, Andrew M, Adams M, McMillan J, Wang E, et al. Randomised trial of intravenous immunoglobulin G, intravenous anti-D, and oral prednisone in childhood acute immune thrombocytopenic purpura. Lancet.      1994;344(8924):703-7.</w:t>
      </w:r>
    </w:p>
    <w:p w14:paraId="275A482D"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16.</w:t>
      </w:r>
      <w:r w:rsidRPr="007B7CBF">
        <w:rPr>
          <w:rFonts w:ascii="Times New Roman" w:hAnsi="Times New Roman"/>
          <w:noProof/>
          <w:sz w:val="24"/>
          <w:szCs w:val="24"/>
        </w:rPr>
        <w:tab/>
        <w:t>Tarantino MD, Young G, Bertolone SJ, Kalinyak KA, Shafer FE, Kulkarni R, et al. Single dose of anti-D immune globulin at 75 microg/kg is as effective as intravenous immune globulin at rapidly raising the platelet count in newly diagnosed immune thrombocytopenic purpura in children. J Pediatr.      2006;148(4):489-94.</w:t>
      </w:r>
    </w:p>
    <w:p w14:paraId="4D8FAF54"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17.</w:t>
      </w:r>
      <w:r w:rsidRPr="007B7CBF">
        <w:rPr>
          <w:rFonts w:ascii="Times New Roman" w:hAnsi="Times New Roman"/>
          <w:noProof/>
          <w:sz w:val="24"/>
          <w:szCs w:val="24"/>
        </w:rPr>
        <w:tab/>
        <w:t>Despotovic JM, Lambert MP, Herman JH, Gernsheimer TB, McCrae KR, Tarantino MD, et al. RhIG for the treatment of immune thrombocytopenia: consensus and controversy (CME). Transfusion. 2012;52(5):1126-36; quiz 5.</w:t>
      </w:r>
    </w:p>
    <w:p w14:paraId="1C460036"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18.</w:t>
      </w:r>
      <w:r w:rsidRPr="007B7CBF">
        <w:rPr>
          <w:rFonts w:ascii="Times New Roman" w:hAnsi="Times New Roman"/>
          <w:noProof/>
          <w:sz w:val="24"/>
          <w:szCs w:val="24"/>
        </w:rPr>
        <w:tab/>
        <w:t>Carcao MD, Zipursky A, Butchart S, Leaker M, Blanchette VS. Short-course oral prednisone therapy in children presenting with acute immune thrombocytopenic purpura (ITP). Acta Paediatr Suppl.      1998;424:71-4.</w:t>
      </w:r>
    </w:p>
    <w:p w14:paraId="4482D12A"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lastRenderedPageBreak/>
        <w:t>19.</w:t>
      </w:r>
      <w:r w:rsidRPr="007B7CBF">
        <w:rPr>
          <w:rFonts w:ascii="Times New Roman" w:hAnsi="Times New Roman"/>
          <w:noProof/>
          <w:sz w:val="24"/>
          <w:szCs w:val="24"/>
        </w:rPr>
        <w:tab/>
        <w:t>Blanchette V, Bolton-Maggs P. Childhood immune thrombocytopenic purpura: diagnosis and management. Hematol Oncol Clin North Am.      2010;24(1):249-73.</w:t>
      </w:r>
    </w:p>
    <w:p w14:paraId="699EFEEA"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20.</w:t>
      </w:r>
      <w:r w:rsidRPr="007B7CBF">
        <w:rPr>
          <w:rFonts w:ascii="Times New Roman" w:hAnsi="Times New Roman"/>
          <w:noProof/>
          <w:sz w:val="24"/>
          <w:szCs w:val="24"/>
        </w:rPr>
        <w:tab/>
        <w:t>Wali YA, Al Lamki Z, Shah W, Zacharia M, Hassan A. Pulsed high-dose dexamethasone therapy in children with chronic idiopathic thrombocytopenic purpura. Pediatr Hematol Oncol.      2002;19(5):329-35.</w:t>
      </w:r>
    </w:p>
    <w:p w14:paraId="13A63BDD"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21.</w:t>
      </w:r>
      <w:r w:rsidRPr="007B7CBF">
        <w:rPr>
          <w:rFonts w:ascii="Times New Roman" w:hAnsi="Times New Roman"/>
          <w:noProof/>
          <w:sz w:val="24"/>
          <w:szCs w:val="24"/>
        </w:rPr>
        <w:tab/>
        <w:t>Bolton-Maggs PHB, Kok VSL. Chronic immune thrombocytopenic purpura-who needs medication? Ann Hematol.      2010;89 Suppl 1:61-5.</w:t>
      </w:r>
    </w:p>
    <w:p w14:paraId="6B53537E"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22.</w:t>
      </w:r>
      <w:r w:rsidRPr="007B7CBF">
        <w:rPr>
          <w:rFonts w:ascii="Times New Roman" w:hAnsi="Times New Roman"/>
          <w:noProof/>
          <w:sz w:val="24"/>
          <w:szCs w:val="24"/>
        </w:rPr>
        <w:tab/>
        <w:t>Grace RF, Despotovic JM, Bennett CM, Bussel JB, Neier M, Neunert C, et al. Physician decision making in selection of second-line treatments in immune thrombocytopenia in children. Am J Hematol. 2018;93(7):882-8.</w:t>
      </w:r>
    </w:p>
    <w:p w14:paraId="76B6EA2D"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23.</w:t>
      </w:r>
      <w:r w:rsidRPr="007B7CBF">
        <w:rPr>
          <w:rFonts w:ascii="Times New Roman" w:hAnsi="Times New Roman"/>
          <w:noProof/>
          <w:sz w:val="24"/>
          <w:szCs w:val="24"/>
        </w:rPr>
        <w:tab/>
        <w:t>George JN, Woolf SH, Raskob GE, Wasser JS, Aledort LM, Ballem PJ, et al. Idiopathic thrombocytopenic purpura: a practice guideline developed by explicit methods for the American Society of Hematology. Blood.      1996;88(1):3-40.</w:t>
      </w:r>
    </w:p>
    <w:p w14:paraId="6242C5A5"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24.</w:t>
      </w:r>
      <w:r w:rsidRPr="007B7CBF">
        <w:rPr>
          <w:rFonts w:ascii="Times New Roman" w:hAnsi="Times New Roman"/>
          <w:noProof/>
          <w:sz w:val="24"/>
          <w:szCs w:val="24"/>
        </w:rPr>
        <w:tab/>
        <w:t>Adams DM, Kinney TR, O'Branski-Rupp E, Ware RE. High-dose oral dexamethasone therapy for chronic childhood idiopathic thrombocytopenic purpura. J Pediatr.      1996;128(2):281-3.</w:t>
      </w:r>
    </w:p>
    <w:p w14:paraId="36A52A2D"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25.</w:t>
      </w:r>
      <w:r w:rsidRPr="007B7CBF">
        <w:rPr>
          <w:rFonts w:ascii="Times New Roman" w:hAnsi="Times New Roman"/>
          <w:noProof/>
          <w:sz w:val="24"/>
          <w:szCs w:val="24"/>
        </w:rPr>
        <w:tab/>
        <w:t>Borgna-Pignatti C, Rugolotto S, Nobili B, Amendola G, De Stefano P, Maccario R, et al. A trial of high-dose dexamethasone therapy for chronic idiopathic thrombocytopenic purpura in childhood. J Pediatr.      1997;130(1):13-6.</w:t>
      </w:r>
    </w:p>
    <w:p w14:paraId="794FD503"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26.</w:t>
      </w:r>
      <w:r w:rsidRPr="007B7CBF">
        <w:rPr>
          <w:rFonts w:ascii="Times New Roman" w:hAnsi="Times New Roman"/>
          <w:noProof/>
          <w:sz w:val="24"/>
          <w:szCs w:val="24"/>
        </w:rPr>
        <w:tab/>
        <w:t>Chen JS, Wu JM, Chen YJ, Yeh TF. Pulsed high-dose dexamethasone therapy in children with chronic idiopathic thrombocytopenic purpura. J Pediatr Hematol Oncol.      1997;19(6):526-9.</w:t>
      </w:r>
    </w:p>
    <w:p w14:paraId="06ABDE09"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27.</w:t>
      </w:r>
      <w:r w:rsidRPr="007B7CBF">
        <w:rPr>
          <w:rFonts w:ascii="Times New Roman" w:hAnsi="Times New Roman"/>
          <w:noProof/>
          <w:sz w:val="24"/>
          <w:szCs w:val="24"/>
        </w:rPr>
        <w:tab/>
        <w:t>Hedlund-Treutiger I, Henter J-I, Elinder G. Randomized study of IVIg and high-dose dexamethasone therapy for children with chronic idiopathic thrombocytopenic purpura. J Pediatr Hematol Oncol.      2003;25(2):139-44.</w:t>
      </w:r>
    </w:p>
    <w:p w14:paraId="0A71C22F"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lastRenderedPageBreak/>
        <w:t>28.</w:t>
      </w:r>
      <w:r w:rsidRPr="007B7CBF">
        <w:rPr>
          <w:rFonts w:ascii="Times New Roman" w:hAnsi="Times New Roman"/>
          <w:noProof/>
          <w:sz w:val="24"/>
          <w:szCs w:val="24"/>
        </w:rPr>
        <w:tab/>
        <w:t>Tarantino MD, Bussel JB, Blanchette VS, Despotovic J, Bennett C, Raj A, et al. Romiplostim in children with immune thrombocytopenia: a phase 3, randomised, double-blind, placebo-controlled study. Lancet. 2016;388(10039):45-54.</w:t>
      </w:r>
    </w:p>
    <w:p w14:paraId="4933406B"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29.</w:t>
      </w:r>
      <w:r w:rsidRPr="007B7CBF">
        <w:rPr>
          <w:rFonts w:ascii="Times New Roman" w:hAnsi="Times New Roman"/>
          <w:noProof/>
          <w:sz w:val="24"/>
          <w:szCs w:val="24"/>
        </w:rPr>
        <w:tab/>
        <w:t>Mathias SD, Li X, Eisen M, Carpenter N, Crosby RD, Blanchette VS. A Phase 3, Randomized, Double-Blind, Placebo-Controlled Study to Determine the Effect of Romiplostim on Health-Related Quality of Life in Children with Primary Immune Thrombocytopenia and Associated Burden in Their Parents. Pediatr Blood Cancer.      2016;63(7):1232-7.</w:t>
      </w:r>
    </w:p>
    <w:p w14:paraId="4E3B1D51"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30.</w:t>
      </w:r>
      <w:r w:rsidRPr="007B7CBF">
        <w:rPr>
          <w:rFonts w:ascii="Times New Roman" w:hAnsi="Times New Roman"/>
          <w:noProof/>
          <w:sz w:val="24"/>
          <w:szCs w:val="24"/>
        </w:rPr>
        <w:tab/>
        <w:t>Kuter DJ, Rummel M, Boccia R, Macik BG, Pabinger I, Selleslag D, et al. Romiplostim or standard of care in patients with immune thrombocytopenia. N Engl J Med.      2010;363(20):1889-99.</w:t>
      </w:r>
    </w:p>
    <w:p w14:paraId="4CE07B1A"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31.</w:t>
      </w:r>
      <w:r w:rsidRPr="007B7CBF">
        <w:rPr>
          <w:rFonts w:ascii="Times New Roman" w:hAnsi="Times New Roman"/>
          <w:noProof/>
          <w:sz w:val="24"/>
          <w:szCs w:val="24"/>
        </w:rPr>
        <w:tab/>
        <w:t>Kuter DJ, Bussel JB, Lyons RM, Pullarkat V, Gernsheimer TB, Senecal FM, et al. Efficacy of romiplostim in patients with chronic immune thrombocytopenic purpura: a double-blind randomised controlled trial. Lancet.      2008;371(9610):395-403.</w:t>
      </w:r>
    </w:p>
    <w:p w14:paraId="5ADF63A5"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32.</w:t>
      </w:r>
      <w:r w:rsidRPr="007B7CBF">
        <w:rPr>
          <w:rFonts w:ascii="Times New Roman" w:hAnsi="Times New Roman"/>
          <w:noProof/>
          <w:sz w:val="24"/>
          <w:szCs w:val="24"/>
        </w:rPr>
        <w:tab/>
        <w:t>Grainger JD, Locatelli F, Chotsampancharoen T, Donyush E, Pongtanakul B, Komvilaisak P, et al. Eltrombopag for children with chronic immune thrombocytopenia (PETIT2): a randomised, multicentre, placebo-controlled trial. Lancet.      2015;386(10004):1649-58.</w:t>
      </w:r>
    </w:p>
    <w:p w14:paraId="46FE8A8E"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33.</w:t>
      </w:r>
      <w:r w:rsidRPr="007B7CBF">
        <w:rPr>
          <w:rFonts w:ascii="Times New Roman" w:hAnsi="Times New Roman"/>
          <w:noProof/>
          <w:sz w:val="24"/>
          <w:szCs w:val="24"/>
        </w:rPr>
        <w:tab/>
        <w:t>Grace RF, Neunert C. Second-line therapies in immune thrombocytopenia. Hematology Am Soc Hematol Educ Program.      2016;2016(1):698-706.</w:t>
      </w:r>
    </w:p>
    <w:p w14:paraId="2E164CB8"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34.</w:t>
      </w:r>
      <w:r w:rsidRPr="007B7CBF">
        <w:rPr>
          <w:rFonts w:ascii="Times New Roman" w:hAnsi="Times New Roman"/>
          <w:noProof/>
          <w:sz w:val="24"/>
          <w:szCs w:val="24"/>
        </w:rPr>
        <w:tab/>
        <w:t>George JN, Mathias SD, Go RS, Guo M, Henry DH, Lyons R, et al. Improved quality of life for romiplostim-treated patients with chronic immune thrombocytopenic purpura: results from two randomized, placebo-controlled trials. Br J Haematol.      2009;144(3):409-15.</w:t>
      </w:r>
    </w:p>
    <w:p w14:paraId="2889EE3C"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lastRenderedPageBreak/>
        <w:t>35.</w:t>
      </w:r>
      <w:r w:rsidRPr="007B7CBF">
        <w:rPr>
          <w:rFonts w:ascii="Times New Roman" w:hAnsi="Times New Roman"/>
          <w:noProof/>
          <w:sz w:val="24"/>
          <w:szCs w:val="24"/>
        </w:rPr>
        <w:tab/>
        <w:t>Bussel JB, Provan D, Shamsi T, Cheng G, Psaila B, Kovaleva L, et al. Effect of eltrombopag on platelet counts and bleeding during treatment of chronic idiopathic thrombocytopenic purpura: a randomised, double-blind, placebo-controlled trial. Lancet.      2009;373(9664):641-8.</w:t>
      </w:r>
    </w:p>
    <w:p w14:paraId="4E8540E6"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36.</w:t>
      </w:r>
      <w:r w:rsidRPr="007B7CBF">
        <w:rPr>
          <w:rFonts w:ascii="Times New Roman" w:hAnsi="Times New Roman"/>
          <w:noProof/>
          <w:sz w:val="24"/>
          <w:szCs w:val="24"/>
        </w:rPr>
        <w:tab/>
        <w:t>Bussel JB, de Miguel PG, Despotovic JM, Grainger JD, Sevilla J, Blanchette VS, et al. Eltrombopag for the treatment of children with persistent and chronic immune thrombocytopenia (PETIT): a randomised, multicentre, placebo-controlled study. Lancet Haematol. 2015;2(8):e315-25.</w:t>
      </w:r>
    </w:p>
    <w:p w14:paraId="69178DDF"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lang w:val="es-ES"/>
        </w:rPr>
        <w:t>37.</w:t>
      </w:r>
      <w:r w:rsidRPr="007B7CBF">
        <w:rPr>
          <w:rFonts w:ascii="Times New Roman" w:hAnsi="Times New Roman"/>
          <w:noProof/>
          <w:sz w:val="24"/>
          <w:szCs w:val="24"/>
          <w:lang w:val="es-ES"/>
        </w:rPr>
        <w:tab/>
        <w:t xml:space="preserve">Garcia-Chavez J, Majluf-Cruz A, Montiel-Cervantes L, Esparza MG-R, Vela-Ojeda J, Mexican Hematology Study Group. </w:t>
      </w:r>
      <w:r w:rsidRPr="007B7CBF">
        <w:rPr>
          <w:rFonts w:ascii="Times New Roman" w:hAnsi="Times New Roman"/>
          <w:noProof/>
          <w:sz w:val="24"/>
          <w:szCs w:val="24"/>
        </w:rPr>
        <w:t>Rituximab therapy for chronic and refractory immune thrombocytopenic purpura: a long-term follow-up analysis. Ann Hematol.      2007;86(12):871-7.</w:t>
      </w:r>
    </w:p>
    <w:p w14:paraId="47AA8771"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38.</w:t>
      </w:r>
      <w:r w:rsidRPr="007B7CBF">
        <w:rPr>
          <w:rFonts w:ascii="Times New Roman" w:hAnsi="Times New Roman"/>
          <w:noProof/>
          <w:sz w:val="24"/>
          <w:szCs w:val="24"/>
        </w:rPr>
        <w:tab/>
        <w:t>Bussel JB, Kuter DJ, Pullarkat V, Lyons RM, Guo M, Nichol JL. Safety and efficacy of long-term treatment with romiplostim in thrombocytopenic patients with chronic ITP. Blood.      2009;113(10):2161-71.</w:t>
      </w:r>
    </w:p>
    <w:p w14:paraId="741AD550"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39.</w:t>
      </w:r>
      <w:r w:rsidRPr="007B7CBF">
        <w:rPr>
          <w:rFonts w:ascii="Times New Roman" w:hAnsi="Times New Roman"/>
          <w:noProof/>
          <w:sz w:val="24"/>
          <w:szCs w:val="24"/>
        </w:rPr>
        <w:tab/>
        <w:t>Bennett CM, Rogers ZR, Kinnamon DD, Bussel JB, Mahoney DH, Abshire TC, et al. Prospective phase 1/2 study of rituximab in childhood and adolescent chronic immune thrombocytopenic purpura. Blood.      2006;107(7):2639-42.</w:t>
      </w:r>
    </w:p>
    <w:p w14:paraId="4476410B"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40.</w:t>
      </w:r>
      <w:r w:rsidRPr="007B7CBF">
        <w:rPr>
          <w:rFonts w:ascii="Times New Roman" w:hAnsi="Times New Roman"/>
          <w:noProof/>
          <w:sz w:val="24"/>
          <w:szCs w:val="24"/>
        </w:rPr>
        <w:tab/>
        <w:t>Provan D, Moss AJ, Newland AC, Bussel JB. Efficacy of mycophenolate mofetil as single-agent therapy for refractory immune thrombocytopenic purpura. Am J Hematol.      2006;81(1):19-25.</w:t>
      </w:r>
    </w:p>
    <w:p w14:paraId="07AA1AE4" w14:textId="77777777" w:rsidR="007B7CBF" w:rsidRPr="007B7CBF" w:rsidRDefault="007B7CBF" w:rsidP="007B7CBF">
      <w:pPr>
        <w:pStyle w:val="EndNoteBibliography"/>
        <w:spacing w:after="0" w:line="480" w:lineRule="auto"/>
        <w:jc w:val="both"/>
        <w:rPr>
          <w:rFonts w:ascii="Times New Roman" w:hAnsi="Times New Roman"/>
          <w:noProof/>
          <w:sz w:val="24"/>
          <w:szCs w:val="24"/>
          <w:lang w:val="es-ES"/>
        </w:rPr>
      </w:pPr>
      <w:r w:rsidRPr="007B7CBF">
        <w:rPr>
          <w:rFonts w:ascii="Times New Roman" w:hAnsi="Times New Roman"/>
          <w:noProof/>
          <w:sz w:val="24"/>
          <w:szCs w:val="24"/>
        </w:rPr>
        <w:t>41.</w:t>
      </w:r>
      <w:r w:rsidRPr="007B7CBF">
        <w:rPr>
          <w:rFonts w:ascii="Times New Roman" w:hAnsi="Times New Roman"/>
          <w:noProof/>
          <w:sz w:val="24"/>
          <w:szCs w:val="24"/>
        </w:rPr>
        <w:tab/>
        <w:t xml:space="preserve">Olovi M, Suvajdzic N, Olovi N, Tomin D, Vidovi A, Palibrk V. Mycophenolate mophetil therapy for chronic immune thrombocytopenic purpura resistant to steroids, immunosuppressants, and/or splenectomy in adults. </w:t>
      </w:r>
      <w:r w:rsidRPr="007B7CBF">
        <w:rPr>
          <w:rFonts w:ascii="Times New Roman" w:hAnsi="Times New Roman"/>
          <w:noProof/>
          <w:sz w:val="24"/>
          <w:szCs w:val="24"/>
          <w:lang w:val="es-ES"/>
        </w:rPr>
        <w:t>Platelets.      2011;22(2):153-6.</w:t>
      </w:r>
    </w:p>
    <w:p w14:paraId="23D652C7"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lang w:val="es-ES"/>
        </w:rPr>
        <w:lastRenderedPageBreak/>
        <w:t>42.</w:t>
      </w:r>
      <w:r w:rsidRPr="007B7CBF">
        <w:rPr>
          <w:rFonts w:ascii="Times New Roman" w:hAnsi="Times New Roman"/>
          <w:noProof/>
          <w:sz w:val="24"/>
          <w:szCs w:val="24"/>
          <w:lang w:val="es-ES"/>
        </w:rPr>
        <w:tab/>
        <w:t xml:space="preserve">Parodi E, Rivetti E, Amendola G, Bisogno G, Calabrese R, Farruggia P, et al. </w:t>
      </w:r>
      <w:r w:rsidRPr="007B7CBF">
        <w:rPr>
          <w:rFonts w:ascii="Times New Roman" w:hAnsi="Times New Roman"/>
          <w:noProof/>
          <w:sz w:val="24"/>
          <w:szCs w:val="24"/>
        </w:rPr>
        <w:t>Long-term follow-up analysis after rituximab therapy in children with refractory symptomatic ITP: identification of factors predictive of a sustained response. Br J Haematol.      2009;144(4):552-8.</w:t>
      </w:r>
    </w:p>
    <w:p w14:paraId="70326DBD" w14:textId="77777777" w:rsidR="007B7CBF" w:rsidRPr="007B7CBF" w:rsidRDefault="007B7CBF" w:rsidP="007B7CBF">
      <w:pPr>
        <w:pStyle w:val="EndNoteBibliography"/>
        <w:spacing w:after="0" w:line="480" w:lineRule="auto"/>
        <w:jc w:val="both"/>
        <w:rPr>
          <w:rFonts w:ascii="Times New Roman" w:hAnsi="Times New Roman"/>
          <w:noProof/>
          <w:sz w:val="24"/>
          <w:szCs w:val="24"/>
        </w:rPr>
      </w:pPr>
      <w:r w:rsidRPr="007B7CBF">
        <w:rPr>
          <w:rFonts w:ascii="Times New Roman" w:hAnsi="Times New Roman"/>
          <w:noProof/>
          <w:sz w:val="24"/>
          <w:szCs w:val="24"/>
        </w:rPr>
        <w:t>43.</w:t>
      </w:r>
      <w:r w:rsidRPr="007B7CBF">
        <w:rPr>
          <w:rFonts w:ascii="Times New Roman" w:hAnsi="Times New Roman"/>
          <w:noProof/>
          <w:sz w:val="24"/>
          <w:szCs w:val="24"/>
        </w:rPr>
        <w:tab/>
        <w:t>Carson KR, Evens AM, Richey EA, Habermann TM, Focosi D, Seymour JF, et al. Progressive multifocal leukoencephalopathy after rituximab therapy in HIV-negative patients: a report of 57 cases from the Research on Adverse Drug Events and Reports project. Blood.      2009;113(20):4834-40.</w:t>
      </w:r>
    </w:p>
    <w:p w14:paraId="59A8D682" w14:textId="77777777" w:rsidR="007B7CBF" w:rsidRPr="007B7CBF" w:rsidRDefault="007B7CBF" w:rsidP="007B7CBF">
      <w:pPr>
        <w:spacing w:after="0" w:line="480" w:lineRule="auto"/>
        <w:jc w:val="both"/>
        <w:rPr>
          <w:rFonts w:ascii="Times New Roman" w:hAnsi="Times New Roman"/>
          <w:sz w:val="24"/>
          <w:szCs w:val="24"/>
        </w:rPr>
      </w:pPr>
    </w:p>
    <w:p w14:paraId="5AF5A8D3" w14:textId="77777777" w:rsidR="007B7CBF" w:rsidRDefault="007B7CBF" w:rsidP="00BC74A1">
      <w:pPr>
        <w:rPr>
          <w:sz w:val="28"/>
          <w:lang w:val="es-ES_tradnl"/>
        </w:rPr>
      </w:pPr>
    </w:p>
    <w:p w14:paraId="3758CCE8" w14:textId="77777777" w:rsidR="007B7CBF" w:rsidRDefault="007B7CBF" w:rsidP="00BC74A1">
      <w:pPr>
        <w:rPr>
          <w:sz w:val="28"/>
          <w:lang w:val="es-ES_tradnl"/>
        </w:rPr>
      </w:pPr>
    </w:p>
    <w:p w14:paraId="44038A7C" w14:textId="77777777" w:rsidR="007B7CBF" w:rsidRDefault="007B7CBF" w:rsidP="00BC74A1">
      <w:pPr>
        <w:rPr>
          <w:sz w:val="28"/>
          <w:lang w:val="es-ES_tradnl"/>
        </w:rPr>
      </w:pPr>
    </w:p>
    <w:sectPr w:rsidR="007B7CBF" w:rsidSect="007B7CBF">
      <w:footerReference w:type="default" r:id="rId8"/>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E4632" w14:textId="77777777" w:rsidR="00401F6B" w:rsidRDefault="00401F6B">
      <w:pPr>
        <w:spacing w:after="0" w:line="240" w:lineRule="auto"/>
      </w:pPr>
      <w:r>
        <w:separator/>
      </w:r>
    </w:p>
  </w:endnote>
  <w:endnote w:type="continuationSeparator" w:id="0">
    <w:p w14:paraId="33B3849D" w14:textId="77777777" w:rsidR="00401F6B" w:rsidRDefault="0040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E5AE" w14:textId="77777777" w:rsidR="00811824" w:rsidRDefault="00811824">
    <w:pPr>
      <w:pStyle w:val="Piedepgina"/>
      <w:jc w:val="center"/>
    </w:pPr>
    <w:r>
      <w:fldChar w:fldCharType="begin"/>
    </w:r>
    <w:r>
      <w:instrText xml:space="preserve"> PAGE   \* MERGEFORMAT </w:instrText>
    </w:r>
    <w:r>
      <w:fldChar w:fldCharType="separate"/>
    </w:r>
    <w:r w:rsidR="00C945AA">
      <w:rPr>
        <w:noProof/>
      </w:rPr>
      <w:t>1</w:t>
    </w:r>
    <w:r>
      <w:rPr>
        <w:noProof/>
      </w:rPr>
      <w:fldChar w:fldCharType="end"/>
    </w:r>
  </w:p>
  <w:p w14:paraId="3CA4ED1F" w14:textId="77777777" w:rsidR="00811824" w:rsidRDefault="008118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7D365" w14:textId="77777777" w:rsidR="00401F6B" w:rsidRDefault="00401F6B">
      <w:pPr>
        <w:spacing w:after="0" w:line="240" w:lineRule="auto"/>
      </w:pPr>
      <w:r>
        <w:separator/>
      </w:r>
    </w:p>
  </w:footnote>
  <w:footnote w:type="continuationSeparator" w:id="0">
    <w:p w14:paraId="5431EA6D" w14:textId="77777777" w:rsidR="00401F6B" w:rsidRDefault="00401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6625"/>
    <w:multiLevelType w:val="hybridMultilevel"/>
    <w:tmpl w:val="BE821958"/>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Lucida Grande"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Lucida Grande"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Lucida Grande"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3450BB2"/>
    <w:multiLevelType w:val="hybridMultilevel"/>
    <w:tmpl w:val="C3202EE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Lucida Grande"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Lucida Grande"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Lucida Grande"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03F159C1"/>
    <w:multiLevelType w:val="hybridMultilevel"/>
    <w:tmpl w:val="0F883D78"/>
    <w:lvl w:ilvl="0" w:tplc="67C67C72">
      <w:numFmt w:val="bullet"/>
      <w:lvlText w:val="-"/>
      <w:lvlJc w:val="left"/>
      <w:pPr>
        <w:tabs>
          <w:tab w:val="num" w:pos="1353"/>
        </w:tabs>
        <w:ind w:left="1353" w:hanging="360"/>
      </w:pPr>
      <w:rPr>
        <w:rFonts w:ascii="Times New Roman" w:eastAsia="Times New Roman" w:hAnsi="Times New Roman" w:cs="Times New Roman" w:hint="default"/>
      </w:rPr>
    </w:lvl>
    <w:lvl w:ilvl="1" w:tplc="0C0A0003">
      <w:start w:val="1"/>
      <w:numFmt w:val="bullet"/>
      <w:lvlText w:val="o"/>
      <w:lvlJc w:val="left"/>
      <w:pPr>
        <w:tabs>
          <w:tab w:val="num" w:pos="2073"/>
        </w:tabs>
        <w:ind w:left="2073" w:hanging="360"/>
      </w:pPr>
      <w:rPr>
        <w:rFonts w:ascii="Courier New" w:hAnsi="Courier New" w:cs="Lucida Grande"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Lucida Grande"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Lucida Grande"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41A1555"/>
    <w:multiLevelType w:val="hybridMultilevel"/>
    <w:tmpl w:val="205834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Lucida Grande"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Lucida Grande"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Lucida Grande"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05D648A"/>
    <w:multiLevelType w:val="hybridMultilevel"/>
    <w:tmpl w:val="97AC2BA8"/>
    <w:lvl w:ilvl="0" w:tplc="040A0001">
      <w:start w:val="1"/>
      <w:numFmt w:val="bullet"/>
      <w:lvlText w:val=""/>
      <w:lvlJc w:val="left"/>
      <w:pPr>
        <w:ind w:left="720" w:hanging="360"/>
      </w:pPr>
      <w:rPr>
        <w:rFonts w:ascii="Symbol" w:hAnsi="Symbol" w:hint="default"/>
      </w:rPr>
    </w:lvl>
    <w:lvl w:ilvl="1" w:tplc="50AE7D98">
      <w:start w:val="1"/>
      <w:numFmt w:val="bullet"/>
      <w:lvlText w:val="o"/>
      <w:lvlJc w:val="left"/>
      <w:pPr>
        <w:ind w:left="1440" w:hanging="360"/>
      </w:pPr>
      <w:rPr>
        <w:rFonts w:ascii="Courier New" w:hAnsi="Courier New" w:cs="Lucida Grande" w:hint="default"/>
        <w:color w:val="auto"/>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Lucida Grande"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Lucida Grande"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6015EB"/>
    <w:multiLevelType w:val="hybridMultilevel"/>
    <w:tmpl w:val="FC0A97B6"/>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Lucida Grande"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Lucida Grande"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Lucida Grande"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1D0D3B90"/>
    <w:multiLevelType w:val="hybridMultilevel"/>
    <w:tmpl w:val="868C3770"/>
    <w:lvl w:ilvl="0" w:tplc="0C0A0003">
      <w:start w:val="1"/>
      <w:numFmt w:val="bullet"/>
      <w:lvlText w:val="o"/>
      <w:lvlJc w:val="left"/>
      <w:pPr>
        <w:tabs>
          <w:tab w:val="num" w:pos="1800"/>
        </w:tabs>
        <w:ind w:left="1800" w:hanging="360"/>
      </w:pPr>
      <w:rPr>
        <w:rFonts w:ascii="Courier New" w:hAnsi="Courier New" w:cs="Lucida Grande" w:hint="default"/>
      </w:rPr>
    </w:lvl>
    <w:lvl w:ilvl="1" w:tplc="0C0A0003" w:tentative="1">
      <w:start w:val="1"/>
      <w:numFmt w:val="bullet"/>
      <w:lvlText w:val="o"/>
      <w:lvlJc w:val="left"/>
      <w:pPr>
        <w:tabs>
          <w:tab w:val="num" w:pos="2520"/>
        </w:tabs>
        <w:ind w:left="2520" w:hanging="360"/>
      </w:pPr>
      <w:rPr>
        <w:rFonts w:ascii="Courier New" w:hAnsi="Courier New" w:cs="Lucida Grande"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Lucida Grande"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Lucida Grande"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D18666B"/>
    <w:multiLevelType w:val="hybridMultilevel"/>
    <w:tmpl w:val="A3E06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891F0C"/>
    <w:multiLevelType w:val="hybridMultilevel"/>
    <w:tmpl w:val="A0FED7C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Lucida Grande"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Lucida Grande"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Lucida Grande"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9" w15:restartNumberingAfterBreak="0">
    <w:nsid w:val="29904153"/>
    <w:multiLevelType w:val="hybridMultilevel"/>
    <w:tmpl w:val="B8CACB0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Lucida Grande"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Lucida Grande"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Lucida Grande"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2999186F"/>
    <w:multiLevelType w:val="multilevel"/>
    <w:tmpl w:val="36A6FBD4"/>
    <w:lvl w:ilvl="0">
      <w:start w:val="1"/>
      <w:numFmt w:val="decimal"/>
      <w:lvlText w:val="%1."/>
      <w:lvlJc w:val="left"/>
      <w:pPr>
        <w:tabs>
          <w:tab w:val="num" w:pos="360"/>
        </w:tabs>
        <w:ind w:left="360" w:hanging="360"/>
      </w:pPr>
      <w:rPr>
        <w:rFonts w:hint="default"/>
        <w:b/>
      </w:rPr>
    </w:lvl>
    <w:lvl w:ilvl="1">
      <w:numFmt w:val="bullet"/>
      <w:lvlText w:val="-"/>
      <w:lvlJc w:val="left"/>
      <w:pPr>
        <w:tabs>
          <w:tab w:val="num" w:pos="720"/>
        </w:tabs>
        <w:ind w:left="720" w:hanging="360"/>
      </w:pPr>
      <w:rPr>
        <w:rFonts w:ascii="Times New Roman" w:eastAsia="Times New Roman" w:hAnsi="Times New Roman" w:cs="Times New Roman" w:hint="default"/>
        <w:b/>
      </w:rPr>
    </w:lvl>
    <w:lvl w:ilvl="2">
      <w:start w:val="1"/>
      <w:numFmt w:val="lowerLetter"/>
      <w:lvlText w:val="%3)"/>
      <w:lvlJc w:val="left"/>
      <w:pPr>
        <w:tabs>
          <w:tab w:val="num" w:pos="1353"/>
        </w:tabs>
        <w:ind w:left="1353" w:hanging="360"/>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F16D1B"/>
    <w:multiLevelType w:val="hybridMultilevel"/>
    <w:tmpl w:val="02F6D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043D84"/>
    <w:multiLevelType w:val="hybridMultilevel"/>
    <w:tmpl w:val="76704120"/>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Lucida Grande"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Lucida Grande"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Lucida Grande" w:hint="default"/>
      </w:rPr>
    </w:lvl>
    <w:lvl w:ilvl="8" w:tplc="040A0005" w:tentative="1">
      <w:start w:val="1"/>
      <w:numFmt w:val="bullet"/>
      <w:lvlText w:val=""/>
      <w:lvlJc w:val="left"/>
      <w:pPr>
        <w:ind w:left="6840" w:hanging="360"/>
      </w:pPr>
      <w:rPr>
        <w:rFonts w:ascii="Wingdings" w:hAnsi="Wingdings" w:hint="default"/>
      </w:rPr>
    </w:lvl>
  </w:abstractNum>
  <w:abstractNum w:abstractNumId="13" w15:restartNumberingAfterBreak="0">
    <w:nsid w:val="34CF378B"/>
    <w:multiLevelType w:val="hybridMultilevel"/>
    <w:tmpl w:val="B3900826"/>
    <w:lvl w:ilvl="0" w:tplc="0C0A0003">
      <w:start w:val="1"/>
      <w:numFmt w:val="bullet"/>
      <w:lvlText w:val="o"/>
      <w:lvlJc w:val="left"/>
      <w:pPr>
        <w:tabs>
          <w:tab w:val="num" w:pos="1713"/>
        </w:tabs>
        <w:ind w:left="1713" w:hanging="360"/>
      </w:pPr>
      <w:rPr>
        <w:rFonts w:ascii="Courier New" w:hAnsi="Courier New" w:cs="Lucida Grande" w:hint="default"/>
      </w:rPr>
    </w:lvl>
    <w:lvl w:ilvl="1" w:tplc="0C0A0003">
      <w:start w:val="1"/>
      <w:numFmt w:val="bullet"/>
      <w:lvlText w:val="o"/>
      <w:lvlJc w:val="left"/>
      <w:pPr>
        <w:tabs>
          <w:tab w:val="num" w:pos="2433"/>
        </w:tabs>
        <w:ind w:left="2433" w:hanging="360"/>
      </w:pPr>
      <w:rPr>
        <w:rFonts w:ascii="Courier New" w:hAnsi="Courier New" w:cs="Lucida Grande"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Lucida Grande"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Lucida Grande"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80606DE"/>
    <w:multiLevelType w:val="hybridMultilevel"/>
    <w:tmpl w:val="5462AEF2"/>
    <w:lvl w:ilvl="0" w:tplc="67C67C72">
      <w:numFmt w:val="bullet"/>
      <w:lvlText w:val="-"/>
      <w:lvlJc w:val="left"/>
      <w:pPr>
        <w:tabs>
          <w:tab w:val="num" w:pos="2073"/>
        </w:tabs>
        <w:ind w:left="2073" w:hanging="360"/>
      </w:pPr>
      <w:rPr>
        <w:rFonts w:ascii="Times New Roman" w:eastAsia="Times New Roman" w:hAnsi="Times New Roman" w:cs="Times New Roman" w:hint="default"/>
      </w:rPr>
    </w:lvl>
    <w:lvl w:ilvl="1" w:tplc="0C0A0003">
      <w:start w:val="1"/>
      <w:numFmt w:val="bullet"/>
      <w:lvlText w:val="o"/>
      <w:lvlJc w:val="left"/>
      <w:pPr>
        <w:tabs>
          <w:tab w:val="num" w:pos="3426"/>
        </w:tabs>
        <w:ind w:left="3426" w:hanging="360"/>
      </w:pPr>
      <w:rPr>
        <w:rFonts w:ascii="Courier New" w:hAnsi="Courier New" w:cs="Lucida Grande" w:hint="default"/>
      </w:rPr>
    </w:lvl>
    <w:lvl w:ilvl="2" w:tplc="0C0A0005" w:tentative="1">
      <w:start w:val="1"/>
      <w:numFmt w:val="bullet"/>
      <w:lvlText w:val=""/>
      <w:lvlJc w:val="left"/>
      <w:pPr>
        <w:tabs>
          <w:tab w:val="num" w:pos="4146"/>
        </w:tabs>
        <w:ind w:left="4146" w:hanging="360"/>
      </w:pPr>
      <w:rPr>
        <w:rFonts w:ascii="Wingdings" w:hAnsi="Wingdings" w:hint="default"/>
      </w:rPr>
    </w:lvl>
    <w:lvl w:ilvl="3" w:tplc="0C0A0001" w:tentative="1">
      <w:start w:val="1"/>
      <w:numFmt w:val="bullet"/>
      <w:lvlText w:val=""/>
      <w:lvlJc w:val="left"/>
      <w:pPr>
        <w:tabs>
          <w:tab w:val="num" w:pos="4866"/>
        </w:tabs>
        <w:ind w:left="4866" w:hanging="360"/>
      </w:pPr>
      <w:rPr>
        <w:rFonts w:ascii="Symbol" w:hAnsi="Symbol" w:hint="default"/>
      </w:rPr>
    </w:lvl>
    <w:lvl w:ilvl="4" w:tplc="0C0A0003" w:tentative="1">
      <w:start w:val="1"/>
      <w:numFmt w:val="bullet"/>
      <w:lvlText w:val="o"/>
      <w:lvlJc w:val="left"/>
      <w:pPr>
        <w:tabs>
          <w:tab w:val="num" w:pos="5586"/>
        </w:tabs>
        <w:ind w:left="5586" w:hanging="360"/>
      </w:pPr>
      <w:rPr>
        <w:rFonts w:ascii="Courier New" w:hAnsi="Courier New" w:cs="Lucida Grande" w:hint="default"/>
      </w:rPr>
    </w:lvl>
    <w:lvl w:ilvl="5" w:tplc="0C0A0005" w:tentative="1">
      <w:start w:val="1"/>
      <w:numFmt w:val="bullet"/>
      <w:lvlText w:val=""/>
      <w:lvlJc w:val="left"/>
      <w:pPr>
        <w:tabs>
          <w:tab w:val="num" w:pos="6306"/>
        </w:tabs>
        <w:ind w:left="6306" w:hanging="360"/>
      </w:pPr>
      <w:rPr>
        <w:rFonts w:ascii="Wingdings" w:hAnsi="Wingdings" w:hint="default"/>
      </w:rPr>
    </w:lvl>
    <w:lvl w:ilvl="6" w:tplc="0C0A0001" w:tentative="1">
      <w:start w:val="1"/>
      <w:numFmt w:val="bullet"/>
      <w:lvlText w:val=""/>
      <w:lvlJc w:val="left"/>
      <w:pPr>
        <w:tabs>
          <w:tab w:val="num" w:pos="7026"/>
        </w:tabs>
        <w:ind w:left="7026" w:hanging="360"/>
      </w:pPr>
      <w:rPr>
        <w:rFonts w:ascii="Symbol" w:hAnsi="Symbol" w:hint="default"/>
      </w:rPr>
    </w:lvl>
    <w:lvl w:ilvl="7" w:tplc="0C0A0003" w:tentative="1">
      <w:start w:val="1"/>
      <w:numFmt w:val="bullet"/>
      <w:lvlText w:val="o"/>
      <w:lvlJc w:val="left"/>
      <w:pPr>
        <w:tabs>
          <w:tab w:val="num" w:pos="7746"/>
        </w:tabs>
        <w:ind w:left="7746" w:hanging="360"/>
      </w:pPr>
      <w:rPr>
        <w:rFonts w:ascii="Courier New" w:hAnsi="Courier New" w:cs="Lucida Grande" w:hint="default"/>
      </w:rPr>
    </w:lvl>
    <w:lvl w:ilvl="8" w:tplc="0C0A0005" w:tentative="1">
      <w:start w:val="1"/>
      <w:numFmt w:val="bullet"/>
      <w:lvlText w:val=""/>
      <w:lvlJc w:val="left"/>
      <w:pPr>
        <w:tabs>
          <w:tab w:val="num" w:pos="8466"/>
        </w:tabs>
        <w:ind w:left="8466" w:hanging="360"/>
      </w:pPr>
      <w:rPr>
        <w:rFonts w:ascii="Wingdings" w:hAnsi="Wingdings" w:hint="default"/>
      </w:rPr>
    </w:lvl>
  </w:abstractNum>
  <w:abstractNum w:abstractNumId="15" w15:restartNumberingAfterBreak="0">
    <w:nsid w:val="456F6BFE"/>
    <w:multiLevelType w:val="hybridMultilevel"/>
    <w:tmpl w:val="9BB267B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15:restartNumberingAfterBreak="0">
    <w:nsid w:val="4627165A"/>
    <w:multiLevelType w:val="hybridMultilevel"/>
    <w:tmpl w:val="78AA8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4D3E20"/>
    <w:multiLevelType w:val="hybridMultilevel"/>
    <w:tmpl w:val="05D07D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Lucida Grande"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Lucida Grande"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Lucida Grande"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A8F0C5B"/>
    <w:multiLevelType w:val="hybridMultilevel"/>
    <w:tmpl w:val="55D66C86"/>
    <w:lvl w:ilvl="0" w:tplc="0C0A0001">
      <w:start w:val="1"/>
      <w:numFmt w:val="bullet"/>
      <w:lvlText w:val=""/>
      <w:lvlJc w:val="left"/>
      <w:pPr>
        <w:tabs>
          <w:tab w:val="num" w:pos="1713"/>
        </w:tabs>
        <w:ind w:left="1713" w:hanging="360"/>
      </w:pPr>
      <w:rPr>
        <w:rFonts w:ascii="Symbol" w:hAnsi="Symbol" w:hint="default"/>
      </w:rPr>
    </w:lvl>
    <w:lvl w:ilvl="1" w:tplc="0C0A0003">
      <w:start w:val="1"/>
      <w:numFmt w:val="bullet"/>
      <w:lvlText w:val="o"/>
      <w:lvlJc w:val="left"/>
      <w:pPr>
        <w:tabs>
          <w:tab w:val="num" w:pos="2433"/>
        </w:tabs>
        <w:ind w:left="2433" w:hanging="360"/>
      </w:pPr>
      <w:rPr>
        <w:rFonts w:ascii="Courier New" w:hAnsi="Courier New" w:cs="Lucida Grande" w:hint="default"/>
      </w:rPr>
    </w:lvl>
    <w:lvl w:ilvl="2" w:tplc="0C0A0001">
      <w:start w:val="1"/>
      <w:numFmt w:val="bullet"/>
      <w:lvlText w:val=""/>
      <w:lvlJc w:val="left"/>
      <w:pPr>
        <w:ind w:left="1778" w:hanging="360"/>
      </w:pPr>
      <w:rPr>
        <w:rFonts w:ascii="Symbol" w:hAnsi="Symbol"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Lucida Grande"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Lucida Grande"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4D8C2E64"/>
    <w:multiLevelType w:val="hybridMultilevel"/>
    <w:tmpl w:val="F0908188"/>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Lucida Grande" w:hint="default"/>
      </w:rPr>
    </w:lvl>
    <w:lvl w:ilvl="2" w:tplc="67C67C72">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Lucida Grande"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Lucida Grande"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017CB"/>
    <w:multiLevelType w:val="multilevel"/>
    <w:tmpl w:val="36A6FBD4"/>
    <w:lvl w:ilvl="0">
      <w:start w:val="1"/>
      <w:numFmt w:val="decimal"/>
      <w:lvlText w:val="%1."/>
      <w:lvlJc w:val="left"/>
      <w:pPr>
        <w:tabs>
          <w:tab w:val="num" w:pos="360"/>
        </w:tabs>
        <w:ind w:left="360" w:hanging="360"/>
      </w:pPr>
      <w:rPr>
        <w:rFonts w:hint="default"/>
        <w:b/>
      </w:rPr>
    </w:lvl>
    <w:lvl w:ilvl="1">
      <w:numFmt w:val="bullet"/>
      <w:lvlText w:val="-"/>
      <w:lvlJc w:val="left"/>
      <w:pPr>
        <w:tabs>
          <w:tab w:val="num" w:pos="720"/>
        </w:tabs>
        <w:ind w:left="720" w:hanging="360"/>
      </w:pPr>
      <w:rPr>
        <w:rFonts w:ascii="Times New Roman" w:eastAsia="Times New Roman" w:hAnsi="Times New Roman" w:cs="Times New Roman" w:hint="default"/>
        <w:b/>
      </w:rPr>
    </w:lvl>
    <w:lvl w:ilvl="2">
      <w:start w:val="1"/>
      <w:numFmt w:val="lowerLetter"/>
      <w:lvlText w:val="%3)"/>
      <w:lvlJc w:val="left"/>
      <w:pPr>
        <w:tabs>
          <w:tab w:val="num" w:pos="1353"/>
        </w:tabs>
        <w:ind w:left="1353" w:hanging="360"/>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641AF9"/>
    <w:multiLevelType w:val="multilevel"/>
    <w:tmpl w:val="36A6FBD4"/>
    <w:lvl w:ilvl="0">
      <w:start w:val="1"/>
      <w:numFmt w:val="decimal"/>
      <w:lvlText w:val="%1."/>
      <w:lvlJc w:val="left"/>
      <w:pPr>
        <w:tabs>
          <w:tab w:val="num" w:pos="360"/>
        </w:tabs>
        <w:ind w:left="360" w:hanging="360"/>
      </w:pPr>
      <w:rPr>
        <w:rFonts w:hint="default"/>
        <w:b/>
      </w:rPr>
    </w:lvl>
    <w:lvl w:ilvl="1">
      <w:numFmt w:val="bullet"/>
      <w:lvlText w:val="-"/>
      <w:lvlJc w:val="left"/>
      <w:pPr>
        <w:tabs>
          <w:tab w:val="num" w:pos="720"/>
        </w:tabs>
        <w:ind w:left="720" w:hanging="360"/>
      </w:pPr>
      <w:rPr>
        <w:rFonts w:ascii="Times New Roman" w:eastAsia="Times New Roman" w:hAnsi="Times New Roman" w:cs="Times New Roman" w:hint="default"/>
        <w:b/>
      </w:rPr>
    </w:lvl>
    <w:lvl w:ilvl="2">
      <w:start w:val="1"/>
      <w:numFmt w:val="lowerLetter"/>
      <w:lvlText w:val="%3)"/>
      <w:lvlJc w:val="left"/>
      <w:pPr>
        <w:tabs>
          <w:tab w:val="num" w:pos="1353"/>
        </w:tabs>
        <w:ind w:left="1353" w:hanging="360"/>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235F64"/>
    <w:multiLevelType w:val="multilevel"/>
    <w:tmpl w:val="36A6FBD4"/>
    <w:lvl w:ilvl="0">
      <w:start w:val="1"/>
      <w:numFmt w:val="decimal"/>
      <w:lvlText w:val="%1."/>
      <w:lvlJc w:val="left"/>
      <w:pPr>
        <w:tabs>
          <w:tab w:val="num" w:pos="360"/>
        </w:tabs>
        <w:ind w:left="360" w:hanging="360"/>
      </w:pPr>
      <w:rPr>
        <w:rFonts w:hint="default"/>
        <w:b/>
      </w:rPr>
    </w:lvl>
    <w:lvl w:ilvl="1">
      <w:numFmt w:val="bullet"/>
      <w:lvlText w:val="-"/>
      <w:lvlJc w:val="left"/>
      <w:pPr>
        <w:tabs>
          <w:tab w:val="num" w:pos="720"/>
        </w:tabs>
        <w:ind w:left="720" w:hanging="360"/>
      </w:pPr>
      <w:rPr>
        <w:rFonts w:ascii="Times New Roman" w:eastAsia="Times New Roman" w:hAnsi="Times New Roman" w:cs="Times New Roman" w:hint="default"/>
        <w:b/>
      </w:rPr>
    </w:lvl>
    <w:lvl w:ilvl="2">
      <w:start w:val="1"/>
      <w:numFmt w:val="lowerLetter"/>
      <w:lvlText w:val="%3)"/>
      <w:lvlJc w:val="left"/>
      <w:pPr>
        <w:tabs>
          <w:tab w:val="num" w:pos="1353"/>
        </w:tabs>
        <w:ind w:left="1353" w:hanging="360"/>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D037990"/>
    <w:multiLevelType w:val="multilevel"/>
    <w:tmpl w:val="36A6FBD4"/>
    <w:lvl w:ilvl="0">
      <w:start w:val="1"/>
      <w:numFmt w:val="decimal"/>
      <w:lvlText w:val="%1."/>
      <w:lvlJc w:val="left"/>
      <w:pPr>
        <w:tabs>
          <w:tab w:val="num" w:pos="360"/>
        </w:tabs>
        <w:ind w:left="360" w:hanging="360"/>
      </w:pPr>
      <w:rPr>
        <w:rFonts w:hint="default"/>
        <w:b/>
      </w:rPr>
    </w:lvl>
    <w:lvl w:ilvl="1">
      <w:numFmt w:val="bullet"/>
      <w:lvlText w:val="-"/>
      <w:lvlJc w:val="left"/>
      <w:pPr>
        <w:tabs>
          <w:tab w:val="num" w:pos="720"/>
        </w:tabs>
        <w:ind w:left="720" w:hanging="360"/>
      </w:pPr>
      <w:rPr>
        <w:rFonts w:ascii="Times New Roman" w:eastAsia="Times New Roman" w:hAnsi="Times New Roman" w:cs="Times New Roman" w:hint="default"/>
        <w:b/>
      </w:rPr>
    </w:lvl>
    <w:lvl w:ilvl="2">
      <w:start w:val="1"/>
      <w:numFmt w:val="lowerLetter"/>
      <w:lvlText w:val="%3)"/>
      <w:lvlJc w:val="left"/>
      <w:pPr>
        <w:tabs>
          <w:tab w:val="num" w:pos="1353"/>
        </w:tabs>
        <w:ind w:left="1353" w:hanging="360"/>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75E4D37"/>
    <w:multiLevelType w:val="hybridMultilevel"/>
    <w:tmpl w:val="0E006DE4"/>
    <w:lvl w:ilvl="0" w:tplc="0C0A000F">
      <w:start w:val="1"/>
      <w:numFmt w:val="decimal"/>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5" w15:restartNumberingAfterBreak="0">
    <w:nsid w:val="71854EEA"/>
    <w:multiLevelType w:val="hybridMultilevel"/>
    <w:tmpl w:val="40E27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68351D"/>
    <w:multiLevelType w:val="hybridMultilevel"/>
    <w:tmpl w:val="9A94859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B2939E9"/>
    <w:multiLevelType w:val="hybridMultilevel"/>
    <w:tmpl w:val="E2905544"/>
    <w:lvl w:ilvl="0" w:tplc="85429FE6">
      <w:start w:val="10"/>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10"/>
  </w:num>
  <w:num w:numId="5">
    <w:abstractNumId w:val="27"/>
  </w:num>
  <w:num w:numId="6">
    <w:abstractNumId w:val="8"/>
  </w:num>
  <w:num w:numId="7">
    <w:abstractNumId w:val="18"/>
  </w:num>
  <w:num w:numId="8">
    <w:abstractNumId w:val="5"/>
  </w:num>
  <w:num w:numId="9">
    <w:abstractNumId w:val="0"/>
  </w:num>
  <w:num w:numId="10">
    <w:abstractNumId w:val="19"/>
  </w:num>
  <w:num w:numId="11">
    <w:abstractNumId w:val="6"/>
  </w:num>
  <w:num w:numId="12">
    <w:abstractNumId w:val="13"/>
  </w:num>
  <w:num w:numId="13">
    <w:abstractNumId w:val="14"/>
  </w:num>
  <w:num w:numId="14">
    <w:abstractNumId w:val="2"/>
  </w:num>
  <w:num w:numId="15">
    <w:abstractNumId w:val="23"/>
  </w:num>
  <w:num w:numId="16">
    <w:abstractNumId w:val="22"/>
  </w:num>
  <w:num w:numId="17">
    <w:abstractNumId w:val="20"/>
  </w:num>
  <w:num w:numId="18">
    <w:abstractNumId w:val="21"/>
  </w:num>
  <w:num w:numId="19">
    <w:abstractNumId w:val="3"/>
  </w:num>
  <w:num w:numId="20">
    <w:abstractNumId w:val="17"/>
  </w:num>
  <w:num w:numId="21">
    <w:abstractNumId w:val="4"/>
  </w:num>
  <w:num w:numId="22">
    <w:abstractNumId w:val="11"/>
  </w:num>
  <w:num w:numId="23">
    <w:abstractNumId w:val="25"/>
  </w:num>
  <w:num w:numId="24">
    <w:abstractNumId w:val="16"/>
  </w:num>
  <w:num w:numId="25">
    <w:abstractNumId w:val="7"/>
  </w:num>
  <w:num w:numId="26">
    <w:abstractNumId w:val="26"/>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318A3"/>
    <w:rsid w:val="000318A3"/>
    <w:rsid w:val="00127C8C"/>
    <w:rsid w:val="0018588F"/>
    <w:rsid w:val="00212418"/>
    <w:rsid w:val="00231FB8"/>
    <w:rsid w:val="002E7F16"/>
    <w:rsid w:val="0034472F"/>
    <w:rsid w:val="00386B7A"/>
    <w:rsid w:val="00401F6B"/>
    <w:rsid w:val="004B603B"/>
    <w:rsid w:val="004D4ABD"/>
    <w:rsid w:val="00575936"/>
    <w:rsid w:val="00582933"/>
    <w:rsid w:val="006D678A"/>
    <w:rsid w:val="00797616"/>
    <w:rsid w:val="007B7CBF"/>
    <w:rsid w:val="00811824"/>
    <w:rsid w:val="008A53F3"/>
    <w:rsid w:val="008B6945"/>
    <w:rsid w:val="009E0D15"/>
    <w:rsid w:val="00A62CF2"/>
    <w:rsid w:val="00AA5366"/>
    <w:rsid w:val="00B93858"/>
    <w:rsid w:val="00BC74A1"/>
    <w:rsid w:val="00C60B8F"/>
    <w:rsid w:val="00C945AA"/>
    <w:rsid w:val="00D828DE"/>
    <w:rsid w:val="00E27863"/>
    <w:rsid w:val="00E65BF8"/>
    <w:rsid w:val="00FA3F5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C2FF4"/>
  <w14:defaultImageDpi w14:val="300"/>
  <w15:docId w15:val="{67E4C528-AEF8-465B-9C2F-918FB01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8A3"/>
    <w:pPr>
      <w:spacing w:after="200" w:line="276" w:lineRule="auto"/>
    </w:pPr>
    <w:rPr>
      <w:rFonts w:ascii="Cambria" w:eastAsia="Times New Roman" w:hAnsi="Cambria" w:cs="Times New Roman"/>
      <w:sz w:val="22"/>
      <w:szCs w:val="22"/>
      <w:lang w:val="en-US" w:eastAsia="en-US" w:bidi="en-US"/>
    </w:rPr>
  </w:style>
  <w:style w:type="paragraph" w:styleId="Ttulo1">
    <w:name w:val="heading 1"/>
    <w:basedOn w:val="Normal"/>
    <w:next w:val="Normal"/>
    <w:link w:val="Ttulo1Car"/>
    <w:uiPriority w:val="9"/>
    <w:qFormat/>
    <w:rsid w:val="000318A3"/>
    <w:pPr>
      <w:spacing w:before="480" w:after="0"/>
      <w:contextualSpacing/>
      <w:outlineLvl w:val="0"/>
    </w:pPr>
    <w:rPr>
      <w:smallCaps/>
      <w:spacing w:val="5"/>
      <w:sz w:val="36"/>
      <w:szCs w:val="36"/>
    </w:rPr>
  </w:style>
  <w:style w:type="paragraph" w:styleId="Ttulo2">
    <w:name w:val="heading 2"/>
    <w:basedOn w:val="Normal"/>
    <w:next w:val="Normal"/>
    <w:link w:val="Ttulo2Car"/>
    <w:uiPriority w:val="9"/>
    <w:unhideWhenUsed/>
    <w:qFormat/>
    <w:rsid w:val="000318A3"/>
    <w:pPr>
      <w:spacing w:before="200" w:after="0" w:line="271" w:lineRule="auto"/>
      <w:outlineLvl w:val="1"/>
    </w:pPr>
    <w:rPr>
      <w:smallCaps/>
      <w:sz w:val="28"/>
      <w:szCs w:val="28"/>
    </w:rPr>
  </w:style>
  <w:style w:type="paragraph" w:styleId="Ttulo3">
    <w:name w:val="heading 3"/>
    <w:basedOn w:val="Normal"/>
    <w:next w:val="Normal"/>
    <w:link w:val="Ttulo3Car"/>
    <w:uiPriority w:val="9"/>
    <w:unhideWhenUsed/>
    <w:qFormat/>
    <w:rsid w:val="000318A3"/>
    <w:pPr>
      <w:spacing w:before="200" w:after="0" w:line="271" w:lineRule="auto"/>
      <w:outlineLvl w:val="2"/>
    </w:pPr>
    <w:rPr>
      <w:i/>
      <w:iCs/>
      <w:smallCaps/>
      <w:spacing w:val="5"/>
      <w:sz w:val="26"/>
      <w:szCs w:val="26"/>
    </w:rPr>
  </w:style>
  <w:style w:type="paragraph" w:styleId="Ttulo4">
    <w:name w:val="heading 4"/>
    <w:basedOn w:val="Normal"/>
    <w:next w:val="Normal"/>
    <w:link w:val="Ttulo4Car"/>
    <w:uiPriority w:val="9"/>
    <w:unhideWhenUsed/>
    <w:qFormat/>
    <w:rsid w:val="000318A3"/>
    <w:pPr>
      <w:spacing w:after="0" w:line="271" w:lineRule="auto"/>
      <w:outlineLvl w:val="3"/>
    </w:pPr>
    <w:rPr>
      <w:b/>
      <w:bCs/>
      <w:spacing w:val="5"/>
      <w:sz w:val="24"/>
      <w:szCs w:val="24"/>
    </w:rPr>
  </w:style>
  <w:style w:type="paragraph" w:styleId="Ttulo5">
    <w:name w:val="heading 5"/>
    <w:basedOn w:val="Normal"/>
    <w:next w:val="Normal"/>
    <w:link w:val="Ttulo5Car"/>
    <w:uiPriority w:val="9"/>
    <w:unhideWhenUsed/>
    <w:qFormat/>
    <w:rsid w:val="000318A3"/>
    <w:pPr>
      <w:spacing w:after="0" w:line="271" w:lineRule="auto"/>
      <w:outlineLvl w:val="4"/>
    </w:pPr>
    <w:rPr>
      <w:i/>
      <w:iCs/>
      <w:sz w:val="24"/>
      <w:szCs w:val="24"/>
    </w:rPr>
  </w:style>
  <w:style w:type="paragraph" w:styleId="Ttulo6">
    <w:name w:val="heading 6"/>
    <w:basedOn w:val="Normal"/>
    <w:next w:val="Normal"/>
    <w:link w:val="Ttulo6Car"/>
    <w:uiPriority w:val="9"/>
    <w:unhideWhenUsed/>
    <w:qFormat/>
    <w:rsid w:val="000318A3"/>
    <w:pPr>
      <w:shd w:val="clear" w:color="auto" w:fill="FFFFFF"/>
      <w:spacing w:after="0" w:line="271" w:lineRule="auto"/>
      <w:outlineLvl w:val="5"/>
    </w:pPr>
    <w:rPr>
      <w:b/>
      <w:bCs/>
      <w:color w:val="595959"/>
      <w:spacing w:val="5"/>
    </w:rPr>
  </w:style>
  <w:style w:type="paragraph" w:styleId="Ttulo7">
    <w:name w:val="heading 7"/>
    <w:basedOn w:val="Normal"/>
    <w:next w:val="Normal"/>
    <w:link w:val="Ttulo7Car"/>
    <w:uiPriority w:val="9"/>
    <w:unhideWhenUsed/>
    <w:qFormat/>
    <w:rsid w:val="000318A3"/>
    <w:pPr>
      <w:spacing w:after="0"/>
      <w:outlineLvl w:val="6"/>
    </w:pPr>
    <w:rPr>
      <w:b/>
      <w:bCs/>
      <w:i/>
      <w:iCs/>
      <w:color w:val="5A5A5A"/>
      <w:sz w:val="20"/>
      <w:szCs w:val="20"/>
    </w:rPr>
  </w:style>
  <w:style w:type="paragraph" w:styleId="Ttulo8">
    <w:name w:val="heading 8"/>
    <w:basedOn w:val="Normal"/>
    <w:next w:val="Normal"/>
    <w:link w:val="Ttulo8Car"/>
    <w:uiPriority w:val="9"/>
    <w:unhideWhenUsed/>
    <w:qFormat/>
    <w:rsid w:val="000318A3"/>
    <w:pPr>
      <w:spacing w:after="0"/>
      <w:outlineLvl w:val="7"/>
    </w:pPr>
    <w:rPr>
      <w:b/>
      <w:bCs/>
      <w:color w:val="7F7F7F"/>
      <w:sz w:val="20"/>
      <w:szCs w:val="20"/>
    </w:rPr>
  </w:style>
  <w:style w:type="paragraph" w:styleId="Ttulo9">
    <w:name w:val="heading 9"/>
    <w:basedOn w:val="Normal"/>
    <w:next w:val="Normal"/>
    <w:link w:val="Ttulo9Car"/>
    <w:uiPriority w:val="9"/>
    <w:unhideWhenUsed/>
    <w:qFormat/>
    <w:rsid w:val="000318A3"/>
    <w:pPr>
      <w:spacing w:after="0" w:line="271" w:lineRule="auto"/>
      <w:outlineLvl w:val="8"/>
    </w:pPr>
    <w:rPr>
      <w:b/>
      <w:bCs/>
      <w:i/>
      <w:iCs/>
      <w:color w:val="7F7F7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18A3"/>
    <w:rPr>
      <w:rFonts w:ascii="Cambria" w:eastAsia="Times New Roman" w:hAnsi="Cambria" w:cs="Times New Roman"/>
      <w:smallCaps/>
      <w:spacing w:val="5"/>
      <w:sz w:val="36"/>
      <w:szCs w:val="36"/>
      <w:lang w:val="en-US" w:eastAsia="en-US" w:bidi="en-US"/>
    </w:rPr>
  </w:style>
  <w:style w:type="character" w:customStyle="1" w:styleId="Ttulo2Car">
    <w:name w:val="Título 2 Car"/>
    <w:basedOn w:val="Fuentedeprrafopredeter"/>
    <w:link w:val="Ttulo2"/>
    <w:uiPriority w:val="9"/>
    <w:rsid w:val="000318A3"/>
    <w:rPr>
      <w:rFonts w:ascii="Cambria" w:eastAsia="Times New Roman" w:hAnsi="Cambria" w:cs="Times New Roman"/>
      <w:smallCaps/>
      <w:sz w:val="28"/>
      <w:szCs w:val="28"/>
      <w:lang w:val="en-US" w:eastAsia="en-US" w:bidi="en-US"/>
    </w:rPr>
  </w:style>
  <w:style w:type="character" w:customStyle="1" w:styleId="Ttulo3Car">
    <w:name w:val="Título 3 Car"/>
    <w:basedOn w:val="Fuentedeprrafopredeter"/>
    <w:link w:val="Ttulo3"/>
    <w:uiPriority w:val="9"/>
    <w:rsid w:val="000318A3"/>
    <w:rPr>
      <w:rFonts w:ascii="Cambria" w:eastAsia="Times New Roman" w:hAnsi="Cambria" w:cs="Times New Roman"/>
      <w:i/>
      <w:iCs/>
      <w:smallCaps/>
      <w:spacing w:val="5"/>
      <w:sz w:val="26"/>
      <w:szCs w:val="26"/>
      <w:lang w:val="en-US" w:eastAsia="en-US" w:bidi="en-US"/>
    </w:rPr>
  </w:style>
  <w:style w:type="character" w:customStyle="1" w:styleId="Ttulo4Car">
    <w:name w:val="Título 4 Car"/>
    <w:basedOn w:val="Fuentedeprrafopredeter"/>
    <w:link w:val="Ttulo4"/>
    <w:uiPriority w:val="9"/>
    <w:rsid w:val="000318A3"/>
    <w:rPr>
      <w:rFonts w:ascii="Cambria" w:eastAsia="Times New Roman" w:hAnsi="Cambria" w:cs="Times New Roman"/>
      <w:b/>
      <w:bCs/>
      <w:spacing w:val="5"/>
      <w:lang w:val="en-US" w:eastAsia="en-US" w:bidi="en-US"/>
    </w:rPr>
  </w:style>
  <w:style w:type="character" w:customStyle="1" w:styleId="Ttulo5Car">
    <w:name w:val="Título 5 Car"/>
    <w:basedOn w:val="Fuentedeprrafopredeter"/>
    <w:link w:val="Ttulo5"/>
    <w:uiPriority w:val="9"/>
    <w:rsid w:val="000318A3"/>
    <w:rPr>
      <w:rFonts w:ascii="Cambria" w:eastAsia="Times New Roman" w:hAnsi="Cambria" w:cs="Times New Roman"/>
      <w:i/>
      <w:iCs/>
      <w:lang w:val="en-US" w:eastAsia="en-US" w:bidi="en-US"/>
    </w:rPr>
  </w:style>
  <w:style w:type="character" w:customStyle="1" w:styleId="Ttulo6Car">
    <w:name w:val="Título 6 Car"/>
    <w:basedOn w:val="Fuentedeprrafopredeter"/>
    <w:link w:val="Ttulo6"/>
    <w:uiPriority w:val="9"/>
    <w:rsid w:val="000318A3"/>
    <w:rPr>
      <w:rFonts w:ascii="Cambria" w:eastAsia="Times New Roman" w:hAnsi="Cambria" w:cs="Times New Roman"/>
      <w:b/>
      <w:bCs/>
      <w:color w:val="595959"/>
      <w:spacing w:val="5"/>
      <w:sz w:val="22"/>
      <w:szCs w:val="22"/>
      <w:shd w:val="clear" w:color="auto" w:fill="FFFFFF"/>
      <w:lang w:val="en-US" w:eastAsia="en-US" w:bidi="en-US"/>
    </w:rPr>
  </w:style>
  <w:style w:type="character" w:customStyle="1" w:styleId="Ttulo7Car">
    <w:name w:val="Título 7 Car"/>
    <w:basedOn w:val="Fuentedeprrafopredeter"/>
    <w:link w:val="Ttulo7"/>
    <w:uiPriority w:val="9"/>
    <w:rsid w:val="000318A3"/>
    <w:rPr>
      <w:rFonts w:ascii="Cambria" w:eastAsia="Times New Roman" w:hAnsi="Cambria" w:cs="Times New Roman"/>
      <w:b/>
      <w:bCs/>
      <w:i/>
      <w:iCs/>
      <w:color w:val="5A5A5A"/>
      <w:sz w:val="20"/>
      <w:szCs w:val="20"/>
      <w:lang w:val="en-US" w:eastAsia="en-US" w:bidi="en-US"/>
    </w:rPr>
  </w:style>
  <w:style w:type="character" w:customStyle="1" w:styleId="Ttulo8Car">
    <w:name w:val="Título 8 Car"/>
    <w:basedOn w:val="Fuentedeprrafopredeter"/>
    <w:link w:val="Ttulo8"/>
    <w:uiPriority w:val="9"/>
    <w:rsid w:val="000318A3"/>
    <w:rPr>
      <w:rFonts w:ascii="Cambria" w:eastAsia="Times New Roman" w:hAnsi="Cambria" w:cs="Times New Roman"/>
      <w:b/>
      <w:bCs/>
      <w:color w:val="7F7F7F"/>
      <w:sz w:val="20"/>
      <w:szCs w:val="20"/>
      <w:lang w:val="en-US" w:eastAsia="en-US" w:bidi="en-US"/>
    </w:rPr>
  </w:style>
  <w:style w:type="character" w:customStyle="1" w:styleId="Ttulo9Car">
    <w:name w:val="Título 9 Car"/>
    <w:basedOn w:val="Fuentedeprrafopredeter"/>
    <w:link w:val="Ttulo9"/>
    <w:uiPriority w:val="9"/>
    <w:rsid w:val="000318A3"/>
    <w:rPr>
      <w:rFonts w:ascii="Cambria" w:eastAsia="Times New Roman" w:hAnsi="Cambria" w:cs="Times New Roman"/>
      <w:b/>
      <w:bCs/>
      <w:i/>
      <w:iCs/>
      <w:color w:val="7F7F7F"/>
      <w:sz w:val="18"/>
      <w:szCs w:val="18"/>
      <w:lang w:val="en-US" w:eastAsia="en-US" w:bidi="en-US"/>
    </w:rPr>
  </w:style>
  <w:style w:type="paragraph" w:styleId="Textodeglobo">
    <w:name w:val="Balloon Text"/>
    <w:basedOn w:val="Normal"/>
    <w:link w:val="TextodegloboCar"/>
    <w:uiPriority w:val="99"/>
    <w:semiHidden/>
    <w:unhideWhenUsed/>
    <w:rsid w:val="000318A3"/>
    <w:rPr>
      <w:rFonts w:ascii="Tahoma" w:hAnsi="Tahoma" w:cs="Tahoma"/>
      <w:sz w:val="16"/>
      <w:szCs w:val="16"/>
    </w:rPr>
  </w:style>
  <w:style w:type="character" w:customStyle="1" w:styleId="TextodegloboCar">
    <w:name w:val="Texto de globo Car"/>
    <w:basedOn w:val="Fuentedeprrafopredeter"/>
    <w:link w:val="Textodeglobo"/>
    <w:uiPriority w:val="99"/>
    <w:semiHidden/>
    <w:rsid w:val="000318A3"/>
    <w:rPr>
      <w:rFonts w:ascii="Tahoma" w:eastAsia="Times New Roman" w:hAnsi="Tahoma" w:cs="Tahoma"/>
      <w:sz w:val="16"/>
      <w:szCs w:val="16"/>
      <w:lang w:val="en-US" w:eastAsia="en-US" w:bidi="en-US"/>
    </w:rPr>
  </w:style>
  <w:style w:type="paragraph" w:styleId="Encabezado">
    <w:name w:val="header"/>
    <w:basedOn w:val="Normal"/>
    <w:link w:val="EncabezadoCar"/>
    <w:uiPriority w:val="99"/>
    <w:unhideWhenUsed/>
    <w:rsid w:val="000318A3"/>
    <w:pPr>
      <w:tabs>
        <w:tab w:val="center" w:pos="4252"/>
        <w:tab w:val="right" w:pos="8504"/>
      </w:tabs>
    </w:pPr>
  </w:style>
  <w:style w:type="character" w:customStyle="1" w:styleId="EncabezadoCar">
    <w:name w:val="Encabezado Car"/>
    <w:basedOn w:val="Fuentedeprrafopredeter"/>
    <w:link w:val="Encabezado"/>
    <w:uiPriority w:val="99"/>
    <w:rsid w:val="000318A3"/>
    <w:rPr>
      <w:rFonts w:ascii="Cambria" w:eastAsia="Times New Roman" w:hAnsi="Cambria" w:cs="Times New Roman"/>
      <w:sz w:val="22"/>
      <w:szCs w:val="22"/>
      <w:lang w:val="en-US" w:eastAsia="en-US" w:bidi="en-US"/>
    </w:rPr>
  </w:style>
  <w:style w:type="paragraph" w:styleId="Piedepgina">
    <w:name w:val="footer"/>
    <w:basedOn w:val="Normal"/>
    <w:link w:val="PiedepginaCar"/>
    <w:uiPriority w:val="99"/>
    <w:unhideWhenUsed/>
    <w:rsid w:val="000318A3"/>
    <w:pPr>
      <w:tabs>
        <w:tab w:val="center" w:pos="4252"/>
        <w:tab w:val="right" w:pos="8504"/>
      </w:tabs>
    </w:pPr>
  </w:style>
  <w:style w:type="character" w:customStyle="1" w:styleId="PiedepginaCar">
    <w:name w:val="Pie de página Car"/>
    <w:basedOn w:val="Fuentedeprrafopredeter"/>
    <w:link w:val="Piedepgina"/>
    <w:uiPriority w:val="99"/>
    <w:rsid w:val="000318A3"/>
    <w:rPr>
      <w:rFonts w:ascii="Cambria" w:eastAsia="Times New Roman" w:hAnsi="Cambria" w:cs="Times New Roman"/>
      <w:sz w:val="22"/>
      <w:szCs w:val="22"/>
      <w:lang w:val="en-US" w:eastAsia="en-US" w:bidi="en-US"/>
    </w:rPr>
  </w:style>
  <w:style w:type="paragraph" w:styleId="Ttulo">
    <w:name w:val="Title"/>
    <w:basedOn w:val="Normal"/>
    <w:next w:val="Normal"/>
    <w:link w:val="TtuloCar"/>
    <w:uiPriority w:val="10"/>
    <w:qFormat/>
    <w:rsid w:val="000318A3"/>
    <w:pPr>
      <w:spacing w:after="300" w:line="240" w:lineRule="auto"/>
      <w:contextualSpacing/>
    </w:pPr>
    <w:rPr>
      <w:smallCaps/>
      <w:sz w:val="52"/>
      <w:szCs w:val="52"/>
    </w:rPr>
  </w:style>
  <w:style w:type="character" w:customStyle="1" w:styleId="TtuloCar">
    <w:name w:val="Título Car"/>
    <w:basedOn w:val="Fuentedeprrafopredeter"/>
    <w:link w:val="Ttulo"/>
    <w:uiPriority w:val="10"/>
    <w:rsid w:val="000318A3"/>
    <w:rPr>
      <w:rFonts w:ascii="Cambria" w:eastAsia="Times New Roman" w:hAnsi="Cambria" w:cs="Times New Roman"/>
      <w:smallCaps/>
      <w:sz w:val="52"/>
      <w:szCs w:val="52"/>
      <w:lang w:val="en-US" w:eastAsia="en-US" w:bidi="en-US"/>
    </w:rPr>
  </w:style>
  <w:style w:type="paragraph" w:customStyle="1" w:styleId="Estilo1">
    <w:name w:val="Estilo1"/>
    <w:basedOn w:val="Ttulo"/>
    <w:link w:val="Estilo1Car"/>
    <w:qFormat/>
    <w:rsid w:val="000318A3"/>
    <w:rPr>
      <w:sz w:val="28"/>
      <w:szCs w:val="36"/>
    </w:rPr>
  </w:style>
  <w:style w:type="character" w:customStyle="1" w:styleId="Estilo1Car">
    <w:name w:val="Estilo1 Car"/>
    <w:basedOn w:val="TtuloCar"/>
    <w:link w:val="Estilo1"/>
    <w:rsid w:val="000318A3"/>
    <w:rPr>
      <w:rFonts w:ascii="Cambria" w:eastAsia="Times New Roman" w:hAnsi="Cambria" w:cs="Times New Roman"/>
      <w:smallCaps/>
      <w:sz w:val="28"/>
      <w:szCs w:val="36"/>
      <w:lang w:val="en-US" w:eastAsia="en-US" w:bidi="en-US"/>
    </w:rPr>
  </w:style>
  <w:style w:type="paragraph" w:styleId="Descripcin">
    <w:name w:val="caption"/>
    <w:basedOn w:val="Normal"/>
    <w:next w:val="Normal"/>
    <w:uiPriority w:val="35"/>
    <w:qFormat/>
    <w:rsid w:val="000318A3"/>
    <w:rPr>
      <w:b/>
      <w:bCs/>
      <w:sz w:val="18"/>
      <w:szCs w:val="18"/>
    </w:rPr>
  </w:style>
  <w:style w:type="paragraph" w:styleId="Subttulo">
    <w:name w:val="Subtitle"/>
    <w:basedOn w:val="Normal"/>
    <w:next w:val="Normal"/>
    <w:link w:val="SubttuloCar"/>
    <w:uiPriority w:val="11"/>
    <w:qFormat/>
    <w:rsid w:val="000318A3"/>
    <w:rPr>
      <w:i/>
      <w:iCs/>
      <w:smallCaps/>
      <w:spacing w:val="10"/>
      <w:sz w:val="28"/>
      <w:szCs w:val="28"/>
    </w:rPr>
  </w:style>
  <w:style w:type="character" w:customStyle="1" w:styleId="SubttuloCar">
    <w:name w:val="Subtítulo Car"/>
    <w:basedOn w:val="Fuentedeprrafopredeter"/>
    <w:link w:val="Subttulo"/>
    <w:uiPriority w:val="11"/>
    <w:rsid w:val="000318A3"/>
    <w:rPr>
      <w:rFonts w:ascii="Cambria" w:eastAsia="Times New Roman" w:hAnsi="Cambria" w:cs="Times New Roman"/>
      <w:i/>
      <w:iCs/>
      <w:smallCaps/>
      <w:spacing w:val="10"/>
      <w:sz w:val="28"/>
      <w:szCs w:val="28"/>
      <w:lang w:val="en-US" w:eastAsia="en-US" w:bidi="en-US"/>
    </w:rPr>
  </w:style>
  <w:style w:type="character" w:styleId="Textoennegrita">
    <w:name w:val="Strong"/>
    <w:uiPriority w:val="22"/>
    <w:qFormat/>
    <w:rsid w:val="000318A3"/>
    <w:rPr>
      <w:b/>
      <w:bCs/>
    </w:rPr>
  </w:style>
  <w:style w:type="character" w:styleId="nfasis">
    <w:name w:val="Emphasis"/>
    <w:uiPriority w:val="20"/>
    <w:qFormat/>
    <w:rsid w:val="000318A3"/>
    <w:rPr>
      <w:b/>
      <w:bCs/>
      <w:i/>
      <w:iCs/>
      <w:spacing w:val="10"/>
    </w:rPr>
  </w:style>
  <w:style w:type="paragraph" w:customStyle="1" w:styleId="Sinespaciado1">
    <w:name w:val="Sin espaciado1"/>
    <w:basedOn w:val="Normal"/>
    <w:link w:val="SinespaciadoCar"/>
    <w:uiPriority w:val="1"/>
    <w:rsid w:val="000318A3"/>
  </w:style>
  <w:style w:type="paragraph" w:customStyle="1" w:styleId="Listamulticolor-nfasis11">
    <w:name w:val="Lista multicolor - Énfasis 11"/>
    <w:basedOn w:val="Normal"/>
    <w:uiPriority w:val="34"/>
    <w:qFormat/>
    <w:rsid w:val="000318A3"/>
    <w:pPr>
      <w:ind w:left="720"/>
      <w:contextualSpacing/>
    </w:pPr>
  </w:style>
  <w:style w:type="paragraph" w:customStyle="1" w:styleId="Cuadrculamulticolor-nfasis11">
    <w:name w:val="Cuadrícula multicolor - Énfasis 11"/>
    <w:basedOn w:val="Normal"/>
    <w:next w:val="Normal"/>
    <w:link w:val="Cuadrculamulticolor-nfasis1Car"/>
    <w:uiPriority w:val="29"/>
    <w:qFormat/>
    <w:rsid w:val="000318A3"/>
    <w:rPr>
      <w:i/>
      <w:iCs/>
      <w:color w:val="5A5A5A"/>
    </w:rPr>
  </w:style>
  <w:style w:type="character" w:customStyle="1" w:styleId="Cuadrculamulticolor-nfasis1Car">
    <w:name w:val="Cuadrícula multicolor - Énfasis 1 Car"/>
    <w:basedOn w:val="Fuentedeprrafopredeter"/>
    <w:link w:val="Cuadrculamulticolor-nfasis11"/>
    <w:uiPriority w:val="29"/>
    <w:rsid w:val="000318A3"/>
    <w:rPr>
      <w:rFonts w:ascii="Cambria" w:eastAsia="Times New Roman" w:hAnsi="Cambria" w:cs="Times New Roman"/>
      <w:i/>
      <w:iCs/>
      <w:color w:val="5A5A5A"/>
      <w:sz w:val="22"/>
      <w:szCs w:val="22"/>
      <w:lang w:val="en-US" w:eastAsia="en-US" w:bidi="en-US"/>
    </w:rPr>
  </w:style>
  <w:style w:type="paragraph" w:customStyle="1" w:styleId="Sombreadoclaro-nfasis21">
    <w:name w:val="Sombreado claro - Énfasis 21"/>
    <w:basedOn w:val="Normal"/>
    <w:next w:val="Normal"/>
    <w:link w:val="Sombreadoclaro-nfasis2Car"/>
    <w:uiPriority w:val="30"/>
    <w:rsid w:val="000318A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i/>
      <w:iCs/>
      <w:color w:val="FFFFFF"/>
      <w:sz w:val="24"/>
      <w:szCs w:val="24"/>
    </w:rPr>
  </w:style>
  <w:style w:type="character" w:customStyle="1" w:styleId="Sombreadoclaro-nfasis2Car">
    <w:name w:val="Sombreado claro - Énfasis 2 Car"/>
    <w:basedOn w:val="Fuentedeprrafopredeter"/>
    <w:link w:val="Sombreadoclaro-nfasis21"/>
    <w:uiPriority w:val="30"/>
    <w:rsid w:val="000318A3"/>
    <w:rPr>
      <w:rFonts w:ascii="Cambria" w:eastAsia="Times New Roman" w:hAnsi="Cambria" w:cs="Times New Roman"/>
      <w:i/>
      <w:iCs/>
      <w:color w:val="FFFFFF"/>
      <w:shd w:val="clear" w:color="auto" w:fill="4F81BD"/>
      <w:lang w:val="en-US" w:eastAsia="en-US" w:bidi="en-US"/>
    </w:rPr>
  </w:style>
  <w:style w:type="character" w:customStyle="1" w:styleId="nfasissutil1">
    <w:name w:val="Énfasis sutil1"/>
    <w:uiPriority w:val="19"/>
    <w:rsid w:val="000318A3"/>
    <w:rPr>
      <w:i/>
      <w:iCs/>
      <w:color w:val="5A5A5A"/>
    </w:rPr>
  </w:style>
  <w:style w:type="character" w:customStyle="1" w:styleId="nfasisintenso1">
    <w:name w:val="Énfasis intenso1"/>
    <w:uiPriority w:val="21"/>
    <w:rsid w:val="000318A3"/>
    <w:rPr>
      <w:b/>
      <w:bCs/>
      <w:i/>
      <w:iCs/>
      <w:color w:val="4F81BD"/>
      <w:sz w:val="22"/>
      <w:szCs w:val="22"/>
    </w:rPr>
  </w:style>
  <w:style w:type="character" w:customStyle="1" w:styleId="Referenciasutil1">
    <w:name w:val="Referencia sutil1"/>
    <w:uiPriority w:val="31"/>
    <w:rsid w:val="000318A3"/>
    <w:rPr>
      <w:color w:val="auto"/>
      <w:u w:val="single" w:color="9BBB59"/>
    </w:rPr>
  </w:style>
  <w:style w:type="character" w:customStyle="1" w:styleId="Referenciaintensa1">
    <w:name w:val="Referencia intensa1"/>
    <w:basedOn w:val="Fuentedeprrafopredeter"/>
    <w:uiPriority w:val="32"/>
    <w:rsid w:val="000318A3"/>
    <w:rPr>
      <w:b/>
      <w:bCs/>
      <w:color w:val="76923C"/>
      <w:u w:val="single" w:color="9BBB59"/>
    </w:rPr>
  </w:style>
  <w:style w:type="character" w:styleId="Ttulodellibro">
    <w:name w:val="Book Title"/>
    <w:basedOn w:val="Fuentedeprrafopredeter"/>
    <w:uiPriority w:val="33"/>
    <w:qFormat/>
    <w:rsid w:val="000318A3"/>
    <w:rPr>
      <w:i/>
      <w:iCs/>
      <w:smallCaps/>
      <w:spacing w:val="5"/>
    </w:rPr>
  </w:style>
  <w:style w:type="paragraph" w:styleId="TtuloTDC">
    <w:name w:val="TOC Heading"/>
    <w:basedOn w:val="Ttulo1"/>
    <w:next w:val="Normal"/>
    <w:uiPriority w:val="39"/>
    <w:semiHidden/>
    <w:unhideWhenUsed/>
    <w:qFormat/>
    <w:rsid w:val="000318A3"/>
    <w:pPr>
      <w:outlineLvl w:val="9"/>
    </w:pPr>
  </w:style>
  <w:style w:type="character" w:customStyle="1" w:styleId="SinespaciadoCar">
    <w:name w:val="Sin espaciado Car"/>
    <w:basedOn w:val="Fuentedeprrafopredeter"/>
    <w:link w:val="Sinespaciado1"/>
    <w:uiPriority w:val="1"/>
    <w:rsid w:val="000318A3"/>
    <w:rPr>
      <w:rFonts w:ascii="Cambria" w:eastAsia="Times New Roman" w:hAnsi="Cambria" w:cs="Times New Roman"/>
      <w:sz w:val="22"/>
      <w:szCs w:val="22"/>
      <w:lang w:val="en-US" w:eastAsia="en-US" w:bidi="en-US"/>
    </w:rPr>
  </w:style>
  <w:style w:type="paragraph" w:styleId="TDC2">
    <w:name w:val="toc 2"/>
    <w:basedOn w:val="Normal"/>
    <w:next w:val="Normal"/>
    <w:autoRedefine/>
    <w:uiPriority w:val="39"/>
    <w:unhideWhenUsed/>
    <w:rsid w:val="000318A3"/>
    <w:pPr>
      <w:ind w:left="220"/>
    </w:pPr>
  </w:style>
  <w:style w:type="paragraph" w:styleId="TDC1">
    <w:name w:val="toc 1"/>
    <w:basedOn w:val="Normal"/>
    <w:next w:val="Normal"/>
    <w:autoRedefine/>
    <w:uiPriority w:val="39"/>
    <w:unhideWhenUsed/>
    <w:rsid w:val="000318A3"/>
  </w:style>
  <w:style w:type="character" w:styleId="Hipervnculo">
    <w:name w:val="Hyperlink"/>
    <w:basedOn w:val="Fuentedeprrafopredeter"/>
    <w:uiPriority w:val="99"/>
    <w:unhideWhenUsed/>
    <w:rsid w:val="000318A3"/>
    <w:rPr>
      <w:color w:val="0000FF"/>
      <w:u w:val="single"/>
    </w:rPr>
  </w:style>
  <w:style w:type="paragraph" w:styleId="TDC3">
    <w:name w:val="toc 3"/>
    <w:basedOn w:val="Normal"/>
    <w:next w:val="Normal"/>
    <w:autoRedefine/>
    <w:uiPriority w:val="39"/>
    <w:semiHidden/>
    <w:unhideWhenUsed/>
    <w:rsid w:val="000318A3"/>
    <w:pPr>
      <w:spacing w:after="100"/>
      <w:ind w:left="440"/>
    </w:pPr>
    <w:rPr>
      <w:rFonts w:ascii="Calibri" w:hAnsi="Calibri"/>
      <w:lang w:val="es-ES" w:bidi="ar-SA"/>
    </w:rPr>
  </w:style>
  <w:style w:type="paragraph" w:styleId="Mapadeldocumento">
    <w:name w:val="Document Map"/>
    <w:basedOn w:val="Normal"/>
    <w:link w:val="MapadeldocumentoCar"/>
    <w:uiPriority w:val="99"/>
    <w:semiHidden/>
    <w:unhideWhenUsed/>
    <w:rsid w:val="000318A3"/>
    <w:rPr>
      <w:rFonts w:ascii="Lucida Grande" w:hAnsi="Lucida Grande"/>
      <w:sz w:val="24"/>
      <w:szCs w:val="24"/>
    </w:rPr>
  </w:style>
  <w:style w:type="character" w:customStyle="1" w:styleId="MapadeldocumentoCar">
    <w:name w:val="Mapa del documento Car"/>
    <w:basedOn w:val="Fuentedeprrafopredeter"/>
    <w:link w:val="Mapadeldocumento"/>
    <w:uiPriority w:val="99"/>
    <w:semiHidden/>
    <w:rsid w:val="000318A3"/>
    <w:rPr>
      <w:rFonts w:ascii="Lucida Grande" w:eastAsia="Times New Roman" w:hAnsi="Lucida Grande" w:cs="Times New Roman"/>
      <w:lang w:val="en-US" w:eastAsia="en-US" w:bidi="en-US"/>
    </w:rPr>
  </w:style>
  <w:style w:type="paragraph" w:styleId="Sinespaciado">
    <w:name w:val="No Spacing"/>
    <w:basedOn w:val="Normal"/>
    <w:uiPriority w:val="1"/>
    <w:qFormat/>
    <w:rsid w:val="000318A3"/>
    <w:pPr>
      <w:spacing w:after="0" w:line="240" w:lineRule="auto"/>
    </w:pPr>
  </w:style>
  <w:style w:type="paragraph" w:styleId="Prrafodelista">
    <w:name w:val="List Paragraph"/>
    <w:basedOn w:val="Normal"/>
    <w:uiPriority w:val="34"/>
    <w:qFormat/>
    <w:rsid w:val="000318A3"/>
    <w:pPr>
      <w:ind w:left="720"/>
      <w:contextualSpacing/>
    </w:pPr>
  </w:style>
  <w:style w:type="paragraph" w:styleId="Cita">
    <w:name w:val="Quote"/>
    <w:basedOn w:val="Normal"/>
    <w:next w:val="Normal"/>
    <w:link w:val="CitaCar"/>
    <w:uiPriority w:val="29"/>
    <w:qFormat/>
    <w:rsid w:val="000318A3"/>
    <w:rPr>
      <w:i/>
      <w:iCs/>
    </w:rPr>
  </w:style>
  <w:style w:type="character" w:customStyle="1" w:styleId="CitaCar">
    <w:name w:val="Cita Car"/>
    <w:basedOn w:val="Fuentedeprrafopredeter"/>
    <w:link w:val="Cita"/>
    <w:uiPriority w:val="29"/>
    <w:rsid w:val="000318A3"/>
    <w:rPr>
      <w:rFonts w:ascii="Cambria" w:eastAsia="Times New Roman" w:hAnsi="Cambria" w:cs="Times New Roman"/>
      <w:i/>
      <w:iCs/>
      <w:sz w:val="22"/>
      <w:szCs w:val="22"/>
      <w:lang w:val="en-US" w:eastAsia="en-US" w:bidi="en-US"/>
    </w:rPr>
  </w:style>
  <w:style w:type="paragraph" w:styleId="Citadestacada">
    <w:name w:val="Intense Quote"/>
    <w:basedOn w:val="Normal"/>
    <w:next w:val="Normal"/>
    <w:link w:val="CitadestacadaCar"/>
    <w:uiPriority w:val="30"/>
    <w:qFormat/>
    <w:rsid w:val="000318A3"/>
    <w:pPr>
      <w:pBdr>
        <w:top w:val="single" w:sz="4" w:space="10" w:color="auto"/>
        <w:bottom w:val="single" w:sz="4" w:space="10" w:color="auto"/>
      </w:pBdr>
      <w:spacing w:before="240" w:after="240" w:line="300" w:lineRule="auto"/>
      <w:ind w:left="1152" w:right="1152"/>
      <w:jc w:val="both"/>
    </w:pPr>
    <w:rPr>
      <w:i/>
      <w:iCs/>
    </w:rPr>
  </w:style>
  <w:style w:type="character" w:customStyle="1" w:styleId="CitadestacadaCar">
    <w:name w:val="Cita destacada Car"/>
    <w:basedOn w:val="Fuentedeprrafopredeter"/>
    <w:link w:val="Citadestacada"/>
    <w:uiPriority w:val="30"/>
    <w:rsid w:val="000318A3"/>
    <w:rPr>
      <w:rFonts w:ascii="Cambria" w:eastAsia="Times New Roman" w:hAnsi="Cambria" w:cs="Times New Roman"/>
      <w:i/>
      <w:iCs/>
      <w:sz w:val="22"/>
      <w:szCs w:val="22"/>
      <w:lang w:val="en-US" w:eastAsia="en-US" w:bidi="en-US"/>
    </w:rPr>
  </w:style>
  <w:style w:type="character" w:styleId="nfasissutil">
    <w:name w:val="Subtle Emphasis"/>
    <w:uiPriority w:val="19"/>
    <w:qFormat/>
    <w:rsid w:val="000318A3"/>
    <w:rPr>
      <w:i/>
      <w:iCs/>
    </w:rPr>
  </w:style>
  <w:style w:type="character" w:styleId="nfasisintenso">
    <w:name w:val="Intense Emphasis"/>
    <w:uiPriority w:val="21"/>
    <w:qFormat/>
    <w:rsid w:val="000318A3"/>
    <w:rPr>
      <w:b/>
      <w:bCs/>
      <w:i/>
      <w:iCs/>
    </w:rPr>
  </w:style>
  <w:style w:type="character" w:styleId="Referenciasutil">
    <w:name w:val="Subtle Reference"/>
    <w:basedOn w:val="Fuentedeprrafopredeter"/>
    <w:uiPriority w:val="31"/>
    <w:qFormat/>
    <w:rsid w:val="000318A3"/>
    <w:rPr>
      <w:smallCaps/>
    </w:rPr>
  </w:style>
  <w:style w:type="character" w:styleId="Referenciaintensa">
    <w:name w:val="Intense Reference"/>
    <w:uiPriority w:val="32"/>
    <w:qFormat/>
    <w:rsid w:val="000318A3"/>
    <w:rPr>
      <w:b/>
      <w:bCs/>
      <w:smallCaps/>
    </w:rPr>
  </w:style>
  <w:style w:type="paragraph" w:customStyle="1" w:styleId="EndNoteBibliographyTitle">
    <w:name w:val="EndNote Bibliography Title"/>
    <w:basedOn w:val="Normal"/>
    <w:rsid w:val="000318A3"/>
    <w:pPr>
      <w:spacing w:after="0"/>
      <w:jc w:val="center"/>
    </w:pPr>
    <w:rPr>
      <w:sz w:val="28"/>
    </w:rPr>
  </w:style>
  <w:style w:type="paragraph" w:customStyle="1" w:styleId="EndNoteBibliography">
    <w:name w:val="EndNote Bibliography"/>
    <w:basedOn w:val="Normal"/>
    <w:rsid w:val="000318A3"/>
    <w:pPr>
      <w:spacing w:line="240" w:lineRule="auto"/>
    </w:pPr>
    <w:rPr>
      <w:sz w:val="28"/>
    </w:rPr>
  </w:style>
  <w:style w:type="table" w:styleId="Tablaconcuadrcula">
    <w:name w:val="Table Grid"/>
    <w:basedOn w:val="Tablanormal"/>
    <w:uiPriority w:val="59"/>
    <w:rsid w:val="00AA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40645">
      <w:bodyDiv w:val="1"/>
      <w:marLeft w:val="0"/>
      <w:marRight w:val="0"/>
      <w:marTop w:val="0"/>
      <w:marBottom w:val="0"/>
      <w:divBdr>
        <w:top w:val="none" w:sz="0" w:space="0" w:color="auto"/>
        <w:left w:val="none" w:sz="0" w:space="0" w:color="auto"/>
        <w:bottom w:val="none" w:sz="0" w:space="0" w:color="auto"/>
        <w:right w:val="none" w:sz="0" w:space="0" w:color="auto"/>
      </w:divBdr>
    </w:div>
    <w:div w:id="1552884896">
      <w:bodyDiv w:val="1"/>
      <w:marLeft w:val="0"/>
      <w:marRight w:val="0"/>
      <w:marTop w:val="0"/>
      <w:marBottom w:val="0"/>
      <w:divBdr>
        <w:top w:val="none" w:sz="0" w:space="0" w:color="auto"/>
        <w:left w:val="none" w:sz="0" w:space="0" w:color="auto"/>
        <w:bottom w:val="none" w:sz="0" w:space="0" w:color="auto"/>
        <w:right w:val="none" w:sz="0" w:space="0" w:color="auto"/>
      </w:divBdr>
    </w:div>
    <w:div w:id="165224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onteagudo@aeh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5274</Words>
  <Characters>29010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Monteagudo Montesinos</dc:creator>
  <cp:keywords/>
  <dc:description/>
  <cp:lastModifiedBy>SERRANO, ESTHER (ELS-BCL)</cp:lastModifiedBy>
  <cp:revision>4</cp:revision>
  <dcterms:created xsi:type="dcterms:W3CDTF">2019-04-24T11:12:00Z</dcterms:created>
  <dcterms:modified xsi:type="dcterms:W3CDTF">2019-05-02T09:35:00Z</dcterms:modified>
</cp:coreProperties>
</file>